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546344" w14:textId="62169295" w:rsidR="007C4C75" w:rsidRDefault="007C4C75" w:rsidP="00A7374B">
      <w:pPr>
        <w:spacing w:line="240" w:lineRule="auto"/>
        <w:ind w:left="708" w:hanging="708"/>
        <w:jc w:val="both"/>
        <w:rPr>
          <w:rFonts w:ascii="Times New Roman" w:hAnsi="Times New Roman"/>
          <w:sz w:val="20"/>
          <w:szCs w:val="20"/>
          <w:u w:val="single"/>
          <w:lang w:val="en-GB"/>
        </w:rPr>
      </w:pPr>
      <w:bookmarkStart w:id="0" w:name="_Hlk96879588"/>
      <w:r w:rsidRPr="00857F85">
        <w:rPr>
          <w:rFonts w:ascii="Times New Roman" w:hAnsi="Times New Roman"/>
          <w:sz w:val="20"/>
          <w:szCs w:val="20"/>
          <w:u w:val="single"/>
          <w:lang w:val="en-GB"/>
        </w:rPr>
        <w:t xml:space="preserve">Supplementary </w:t>
      </w:r>
      <w:r w:rsidR="00B8379A">
        <w:rPr>
          <w:rFonts w:ascii="Times New Roman" w:hAnsi="Times New Roman"/>
          <w:sz w:val="20"/>
          <w:szCs w:val="20"/>
          <w:u w:val="single"/>
          <w:lang w:val="en-GB"/>
        </w:rPr>
        <w:t>Information</w:t>
      </w:r>
    </w:p>
    <w:p w14:paraId="36140DFA" w14:textId="253890BD" w:rsidR="002D71BC" w:rsidRPr="00107FC8" w:rsidRDefault="002D71BC" w:rsidP="002D71BC">
      <w:pPr>
        <w:spacing w:line="240" w:lineRule="auto"/>
        <w:jc w:val="both"/>
        <w:rPr>
          <w:rFonts w:ascii="Times New Roman" w:hAnsi="Times New Roman"/>
          <w:sz w:val="20"/>
          <w:szCs w:val="20"/>
          <w:u w:val="single"/>
          <w:lang w:val="en-GB" w:eastAsia="es-ES"/>
        </w:rPr>
      </w:pPr>
      <w:r w:rsidRPr="00107FC8">
        <w:rPr>
          <w:rFonts w:ascii="Times New Roman" w:hAnsi="Times New Roman"/>
          <w:sz w:val="20"/>
          <w:szCs w:val="20"/>
          <w:u w:val="single"/>
          <w:lang w:val="en-GB" w:eastAsia="es-ES"/>
        </w:rPr>
        <w:t xml:space="preserve">Table </w:t>
      </w:r>
      <w:r w:rsidR="002E51FC" w:rsidRPr="00107FC8">
        <w:rPr>
          <w:rFonts w:ascii="Times New Roman" w:hAnsi="Times New Roman"/>
          <w:sz w:val="20"/>
          <w:szCs w:val="20"/>
          <w:u w:val="single"/>
          <w:lang w:val="en-GB" w:eastAsia="es-ES"/>
        </w:rPr>
        <w:t>S</w:t>
      </w:r>
      <w:r w:rsidRPr="00107FC8">
        <w:rPr>
          <w:rFonts w:ascii="Times New Roman" w:hAnsi="Times New Roman"/>
          <w:sz w:val="20"/>
          <w:szCs w:val="20"/>
          <w:u w:val="single"/>
          <w:lang w:val="en-GB" w:eastAsia="es-ES"/>
        </w:rPr>
        <w:t xml:space="preserve">1. Toledo Study of Health Ageing Frailty Index.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
        <w:gridCol w:w="3146"/>
        <w:gridCol w:w="1668"/>
        <w:gridCol w:w="3214"/>
      </w:tblGrid>
      <w:tr w:rsidR="002D71BC" w:rsidRPr="00857F85" w14:paraId="417D84B0" w14:textId="77777777" w:rsidTr="00BB0649">
        <w:tc>
          <w:tcPr>
            <w:tcW w:w="265" w:type="pct"/>
            <w:shd w:val="clear" w:color="auto" w:fill="auto"/>
          </w:tcPr>
          <w:p w14:paraId="3A68F07C" w14:textId="77777777" w:rsidR="002D71BC" w:rsidRPr="00857F85" w:rsidRDefault="002D71BC" w:rsidP="00BB0649">
            <w:pPr>
              <w:spacing w:after="0" w:line="240" w:lineRule="auto"/>
              <w:jc w:val="both"/>
              <w:rPr>
                <w:rFonts w:ascii="Times New Roman" w:hAnsi="Times New Roman"/>
                <w:sz w:val="20"/>
                <w:szCs w:val="20"/>
                <w:lang w:val="en-US"/>
              </w:rPr>
            </w:pPr>
          </w:p>
        </w:tc>
        <w:tc>
          <w:tcPr>
            <w:tcW w:w="1855" w:type="pct"/>
            <w:shd w:val="clear" w:color="auto" w:fill="auto"/>
          </w:tcPr>
          <w:p w14:paraId="66DE9585" w14:textId="77777777" w:rsidR="002D71BC" w:rsidRPr="00857F85" w:rsidRDefault="002D71BC" w:rsidP="00BB0649">
            <w:pPr>
              <w:spacing w:after="0" w:line="240" w:lineRule="auto"/>
              <w:jc w:val="both"/>
              <w:rPr>
                <w:rFonts w:ascii="Times New Roman" w:hAnsi="Times New Roman"/>
                <w:sz w:val="20"/>
                <w:szCs w:val="20"/>
              </w:rPr>
            </w:pPr>
            <w:proofErr w:type="spellStart"/>
            <w:r w:rsidRPr="00857F85">
              <w:rPr>
                <w:rFonts w:ascii="Times New Roman" w:hAnsi="Times New Roman"/>
                <w:sz w:val="20"/>
                <w:szCs w:val="20"/>
              </w:rPr>
              <w:t>Rockwood</w:t>
            </w:r>
            <w:proofErr w:type="spellEnd"/>
            <w:r w:rsidRPr="00857F85">
              <w:rPr>
                <w:rFonts w:ascii="Times New Roman" w:hAnsi="Times New Roman"/>
                <w:sz w:val="20"/>
                <w:szCs w:val="20"/>
              </w:rPr>
              <w:t xml:space="preserve"> </w:t>
            </w:r>
            <w:proofErr w:type="spellStart"/>
            <w:r w:rsidRPr="00857F85">
              <w:rPr>
                <w:rFonts w:ascii="Times New Roman" w:hAnsi="Times New Roman"/>
                <w:sz w:val="20"/>
                <w:szCs w:val="20"/>
              </w:rPr>
              <w:t>Frailty</w:t>
            </w:r>
            <w:proofErr w:type="spellEnd"/>
            <w:r w:rsidRPr="00857F85">
              <w:rPr>
                <w:rFonts w:ascii="Times New Roman" w:hAnsi="Times New Roman"/>
                <w:sz w:val="20"/>
                <w:szCs w:val="20"/>
              </w:rPr>
              <w:t xml:space="preserve"> </w:t>
            </w:r>
            <w:proofErr w:type="spellStart"/>
            <w:r w:rsidRPr="00857F85">
              <w:rPr>
                <w:rFonts w:ascii="Times New Roman" w:hAnsi="Times New Roman"/>
                <w:sz w:val="20"/>
                <w:szCs w:val="20"/>
              </w:rPr>
              <w:t>Index</w:t>
            </w:r>
            <w:proofErr w:type="spellEnd"/>
          </w:p>
        </w:tc>
        <w:tc>
          <w:tcPr>
            <w:tcW w:w="985" w:type="pct"/>
            <w:shd w:val="clear" w:color="auto" w:fill="auto"/>
          </w:tcPr>
          <w:p w14:paraId="041AEC4E" w14:textId="77777777" w:rsidR="002D71BC" w:rsidRPr="00857F85" w:rsidRDefault="002D71BC" w:rsidP="00BB0649">
            <w:pPr>
              <w:spacing w:after="0" w:line="240" w:lineRule="auto"/>
              <w:jc w:val="both"/>
              <w:rPr>
                <w:rFonts w:ascii="Times New Roman" w:hAnsi="Times New Roman"/>
                <w:sz w:val="20"/>
                <w:szCs w:val="20"/>
              </w:rPr>
            </w:pPr>
            <w:r w:rsidRPr="00857F85">
              <w:rPr>
                <w:rFonts w:ascii="Times New Roman" w:hAnsi="Times New Roman"/>
                <w:sz w:val="20"/>
                <w:szCs w:val="20"/>
              </w:rPr>
              <w:t xml:space="preserve">TSHA </w:t>
            </w:r>
            <w:proofErr w:type="spellStart"/>
            <w:r w:rsidRPr="00857F85">
              <w:rPr>
                <w:rFonts w:ascii="Times New Roman" w:hAnsi="Times New Roman"/>
                <w:sz w:val="20"/>
                <w:szCs w:val="20"/>
              </w:rPr>
              <w:t>Frailty</w:t>
            </w:r>
            <w:proofErr w:type="spellEnd"/>
            <w:r w:rsidRPr="00857F85">
              <w:rPr>
                <w:rFonts w:ascii="Times New Roman" w:hAnsi="Times New Roman"/>
                <w:sz w:val="20"/>
                <w:szCs w:val="20"/>
              </w:rPr>
              <w:t xml:space="preserve"> </w:t>
            </w:r>
            <w:proofErr w:type="spellStart"/>
            <w:r w:rsidRPr="00857F85">
              <w:rPr>
                <w:rFonts w:ascii="Times New Roman" w:hAnsi="Times New Roman"/>
                <w:sz w:val="20"/>
                <w:szCs w:val="20"/>
              </w:rPr>
              <w:t>Index</w:t>
            </w:r>
            <w:proofErr w:type="spellEnd"/>
          </w:p>
        </w:tc>
        <w:tc>
          <w:tcPr>
            <w:tcW w:w="1895" w:type="pct"/>
            <w:shd w:val="clear" w:color="auto" w:fill="auto"/>
          </w:tcPr>
          <w:p w14:paraId="17E82FC6" w14:textId="77777777" w:rsidR="002D71BC" w:rsidRPr="00857F85" w:rsidRDefault="002D71BC" w:rsidP="00BB0649">
            <w:pPr>
              <w:spacing w:after="0" w:line="240" w:lineRule="auto"/>
              <w:jc w:val="both"/>
              <w:rPr>
                <w:rFonts w:ascii="Times New Roman" w:hAnsi="Times New Roman"/>
                <w:sz w:val="20"/>
                <w:szCs w:val="20"/>
              </w:rPr>
            </w:pPr>
            <w:r w:rsidRPr="00857F85">
              <w:rPr>
                <w:rFonts w:ascii="Times New Roman" w:hAnsi="Times New Roman"/>
                <w:sz w:val="20"/>
                <w:szCs w:val="20"/>
              </w:rPr>
              <w:t>Score</w:t>
            </w:r>
          </w:p>
        </w:tc>
      </w:tr>
      <w:tr w:rsidR="002D71BC" w:rsidRPr="00857F85" w14:paraId="4AAB0488" w14:textId="77777777" w:rsidTr="00BB0649">
        <w:tc>
          <w:tcPr>
            <w:tcW w:w="265" w:type="pct"/>
            <w:shd w:val="clear" w:color="auto" w:fill="auto"/>
          </w:tcPr>
          <w:p w14:paraId="075831E7" w14:textId="77777777" w:rsidR="002D71BC" w:rsidRPr="00857F85" w:rsidRDefault="002D71BC" w:rsidP="00BB0649">
            <w:pPr>
              <w:spacing w:after="0" w:line="240" w:lineRule="auto"/>
              <w:jc w:val="both"/>
              <w:rPr>
                <w:rFonts w:ascii="Times New Roman" w:hAnsi="Times New Roman"/>
                <w:sz w:val="20"/>
                <w:szCs w:val="20"/>
              </w:rPr>
            </w:pPr>
            <w:r w:rsidRPr="00857F85">
              <w:rPr>
                <w:rFonts w:ascii="Times New Roman" w:hAnsi="Times New Roman"/>
                <w:sz w:val="20"/>
                <w:szCs w:val="20"/>
              </w:rPr>
              <w:t>1.</w:t>
            </w:r>
          </w:p>
        </w:tc>
        <w:tc>
          <w:tcPr>
            <w:tcW w:w="1855" w:type="pct"/>
            <w:shd w:val="clear" w:color="auto" w:fill="auto"/>
          </w:tcPr>
          <w:p w14:paraId="5D7F15DA" w14:textId="77777777" w:rsidR="002D71BC" w:rsidRPr="00857F85" w:rsidRDefault="002D71BC" w:rsidP="00BB0649">
            <w:pPr>
              <w:spacing w:after="0" w:line="240" w:lineRule="auto"/>
              <w:jc w:val="both"/>
              <w:rPr>
                <w:rFonts w:ascii="Times New Roman" w:hAnsi="Times New Roman"/>
                <w:sz w:val="20"/>
                <w:szCs w:val="20"/>
              </w:rPr>
            </w:pPr>
            <w:proofErr w:type="spellStart"/>
            <w:r w:rsidRPr="00857F85">
              <w:rPr>
                <w:rFonts w:ascii="Times New Roman" w:hAnsi="Times New Roman"/>
                <w:sz w:val="20"/>
                <w:szCs w:val="20"/>
              </w:rPr>
              <w:t>Help</w:t>
            </w:r>
            <w:proofErr w:type="spellEnd"/>
            <w:r w:rsidRPr="00857F85">
              <w:rPr>
                <w:rFonts w:ascii="Times New Roman" w:hAnsi="Times New Roman"/>
                <w:sz w:val="20"/>
                <w:szCs w:val="20"/>
              </w:rPr>
              <w:t xml:space="preserve"> </w:t>
            </w:r>
            <w:proofErr w:type="spellStart"/>
            <w:r w:rsidRPr="00857F85">
              <w:rPr>
                <w:rFonts w:ascii="Times New Roman" w:hAnsi="Times New Roman"/>
                <w:sz w:val="20"/>
                <w:szCs w:val="20"/>
              </w:rPr>
              <w:t>bathing</w:t>
            </w:r>
            <w:proofErr w:type="spellEnd"/>
          </w:p>
        </w:tc>
        <w:tc>
          <w:tcPr>
            <w:tcW w:w="985" w:type="pct"/>
            <w:shd w:val="clear" w:color="auto" w:fill="auto"/>
          </w:tcPr>
          <w:p w14:paraId="6F76291B" w14:textId="77777777" w:rsidR="002D71BC" w:rsidRPr="00857F85" w:rsidRDefault="002D71BC" w:rsidP="00BB0649">
            <w:pPr>
              <w:spacing w:after="0" w:line="240" w:lineRule="auto"/>
              <w:jc w:val="both"/>
              <w:rPr>
                <w:rFonts w:ascii="Times New Roman" w:hAnsi="Times New Roman"/>
                <w:sz w:val="20"/>
                <w:szCs w:val="20"/>
              </w:rPr>
            </w:pPr>
            <w:proofErr w:type="spellStart"/>
            <w:r w:rsidRPr="00857F85">
              <w:rPr>
                <w:rFonts w:ascii="Times New Roman" w:hAnsi="Times New Roman"/>
                <w:sz w:val="20"/>
                <w:szCs w:val="20"/>
              </w:rPr>
              <w:t>Same</w:t>
            </w:r>
            <w:proofErr w:type="spellEnd"/>
          </w:p>
        </w:tc>
        <w:tc>
          <w:tcPr>
            <w:tcW w:w="1895" w:type="pct"/>
            <w:shd w:val="clear" w:color="auto" w:fill="auto"/>
          </w:tcPr>
          <w:p w14:paraId="2313D3A4" w14:textId="77777777" w:rsidR="002D71BC" w:rsidRPr="00857F85" w:rsidRDefault="002D71BC" w:rsidP="00BB0649">
            <w:pPr>
              <w:spacing w:after="0" w:line="240" w:lineRule="auto"/>
              <w:jc w:val="both"/>
              <w:rPr>
                <w:rFonts w:ascii="Times New Roman" w:hAnsi="Times New Roman"/>
                <w:sz w:val="20"/>
                <w:szCs w:val="20"/>
              </w:rPr>
            </w:pPr>
            <w:r w:rsidRPr="00857F85">
              <w:rPr>
                <w:rFonts w:ascii="Times New Roman" w:hAnsi="Times New Roman"/>
                <w:sz w:val="20"/>
                <w:szCs w:val="20"/>
              </w:rPr>
              <w:t>Yes =1, No =0</w:t>
            </w:r>
          </w:p>
        </w:tc>
      </w:tr>
      <w:tr w:rsidR="002D71BC" w:rsidRPr="00857F85" w14:paraId="37C707E6" w14:textId="77777777" w:rsidTr="00BB0649">
        <w:tc>
          <w:tcPr>
            <w:tcW w:w="265" w:type="pct"/>
            <w:shd w:val="clear" w:color="auto" w:fill="auto"/>
          </w:tcPr>
          <w:p w14:paraId="1DD9B9F6" w14:textId="77777777" w:rsidR="002D71BC" w:rsidRPr="00857F85" w:rsidRDefault="002D71BC" w:rsidP="00BB0649">
            <w:pPr>
              <w:spacing w:after="0" w:line="240" w:lineRule="auto"/>
              <w:jc w:val="both"/>
              <w:rPr>
                <w:rFonts w:ascii="Times New Roman" w:hAnsi="Times New Roman"/>
                <w:sz w:val="20"/>
                <w:szCs w:val="20"/>
              </w:rPr>
            </w:pPr>
            <w:r w:rsidRPr="00857F85">
              <w:rPr>
                <w:rFonts w:ascii="Times New Roman" w:hAnsi="Times New Roman"/>
                <w:sz w:val="20"/>
                <w:szCs w:val="20"/>
              </w:rPr>
              <w:t>2.</w:t>
            </w:r>
          </w:p>
        </w:tc>
        <w:tc>
          <w:tcPr>
            <w:tcW w:w="1855" w:type="pct"/>
            <w:shd w:val="clear" w:color="auto" w:fill="auto"/>
          </w:tcPr>
          <w:p w14:paraId="44BFE311" w14:textId="77777777" w:rsidR="002D71BC" w:rsidRPr="00857F85" w:rsidRDefault="002D71BC" w:rsidP="00BB0649">
            <w:pPr>
              <w:spacing w:after="0" w:line="240" w:lineRule="auto"/>
              <w:jc w:val="both"/>
              <w:rPr>
                <w:rFonts w:ascii="Times New Roman" w:hAnsi="Times New Roman"/>
                <w:sz w:val="20"/>
                <w:szCs w:val="20"/>
              </w:rPr>
            </w:pPr>
            <w:proofErr w:type="spellStart"/>
            <w:r w:rsidRPr="00857F85">
              <w:rPr>
                <w:rFonts w:ascii="Times New Roman" w:hAnsi="Times New Roman"/>
                <w:sz w:val="20"/>
                <w:szCs w:val="20"/>
              </w:rPr>
              <w:t>Help</w:t>
            </w:r>
            <w:proofErr w:type="spellEnd"/>
            <w:r w:rsidRPr="00857F85">
              <w:rPr>
                <w:rFonts w:ascii="Times New Roman" w:hAnsi="Times New Roman"/>
                <w:sz w:val="20"/>
                <w:szCs w:val="20"/>
              </w:rPr>
              <w:t xml:space="preserve"> </w:t>
            </w:r>
            <w:proofErr w:type="spellStart"/>
            <w:r w:rsidRPr="00857F85">
              <w:rPr>
                <w:rFonts w:ascii="Times New Roman" w:hAnsi="Times New Roman"/>
                <w:sz w:val="20"/>
                <w:szCs w:val="20"/>
              </w:rPr>
              <w:t>dressing</w:t>
            </w:r>
            <w:proofErr w:type="spellEnd"/>
          </w:p>
        </w:tc>
        <w:tc>
          <w:tcPr>
            <w:tcW w:w="985" w:type="pct"/>
            <w:shd w:val="clear" w:color="auto" w:fill="auto"/>
          </w:tcPr>
          <w:p w14:paraId="1076CEB5" w14:textId="77777777" w:rsidR="002D71BC" w:rsidRPr="00857F85" w:rsidRDefault="002D71BC" w:rsidP="00BB0649">
            <w:pPr>
              <w:spacing w:after="0" w:line="240" w:lineRule="auto"/>
              <w:jc w:val="both"/>
              <w:rPr>
                <w:rFonts w:ascii="Times New Roman" w:hAnsi="Times New Roman"/>
                <w:sz w:val="20"/>
                <w:szCs w:val="20"/>
              </w:rPr>
            </w:pPr>
            <w:proofErr w:type="spellStart"/>
            <w:r w:rsidRPr="00857F85">
              <w:rPr>
                <w:rFonts w:ascii="Times New Roman" w:hAnsi="Times New Roman"/>
                <w:sz w:val="20"/>
                <w:szCs w:val="20"/>
              </w:rPr>
              <w:t>Same</w:t>
            </w:r>
            <w:proofErr w:type="spellEnd"/>
          </w:p>
        </w:tc>
        <w:tc>
          <w:tcPr>
            <w:tcW w:w="1895" w:type="pct"/>
            <w:shd w:val="clear" w:color="auto" w:fill="auto"/>
          </w:tcPr>
          <w:p w14:paraId="38E4ACD4" w14:textId="77777777" w:rsidR="002D71BC" w:rsidRPr="00857F85" w:rsidRDefault="002D71BC" w:rsidP="00BB0649">
            <w:pPr>
              <w:spacing w:after="0" w:line="240" w:lineRule="auto"/>
              <w:jc w:val="both"/>
              <w:rPr>
                <w:rFonts w:ascii="Times New Roman" w:hAnsi="Times New Roman"/>
                <w:sz w:val="20"/>
                <w:szCs w:val="20"/>
              </w:rPr>
            </w:pPr>
            <w:r w:rsidRPr="00857F85">
              <w:rPr>
                <w:rFonts w:ascii="Times New Roman" w:hAnsi="Times New Roman"/>
                <w:sz w:val="20"/>
                <w:szCs w:val="20"/>
              </w:rPr>
              <w:t>Yes =1, No =0</w:t>
            </w:r>
          </w:p>
        </w:tc>
      </w:tr>
      <w:tr w:rsidR="002D71BC" w:rsidRPr="00857F85" w14:paraId="0735664C" w14:textId="77777777" w:rsidTr="00BB0649">
        <w:tc>
          <w:tcPr>
            <w:tcW w:w="265" w:type="pct"/>
            <w:shd w:val="clear" w:color="auto" w:fill="auto"/>
          </w:tcPr>
          <w:p w14:paraId="6986D5F3" w14:textId="77777777" w:rsidR="002D71BC" w:rsidRPr="00857F85" w:rsidRDefault="002D71BC" w:rsidP="00BB0649">
            <w:pPr>
              <w:spacing w:after="0" w:line="240" w:lineRule="auto"/>
              <w:jc w:val="both"/>
              <w:rPr>
                <w:rFonts w:ascii="Times New Roman" w:hAnsi="Times New Roman"/>
                <w:sz w:val="20"/>
                <w:szCs w:val="20"/>
                <w:lang w:val="en-GB"/>
              </w:rPr>
            </w:pPr>
            <w:r w:rsidRPr="00857F85">
              <w:rPr>
                <w:rFonts w:ascii="Times New Roman" w:hAnsi="Times New Roman"/>
                <w:sz w:val="20"/>
                <w:szCs w:val="20"/>
                <w:lang w:val="en-GB"/>
              </w:rPr>
              <w:t>3.</w:t>
            </w:r>
          </w:p>
        </w:tc>
        <w:tc>
          <w:tcPr>
            <w:tcW w:w="1855" w:type="pct"/>
            <w:shd w:val="clear" w:color="auto" w:fill="auto"/>
          </w:tcPr>
          <w:p w14:paraId="74CAAB7B" w14:textId="77777777" w:rsidR="002D71BC" w:rsidRPr="00857F85" w:rsidRDefault="002D71BC" w:rsidP="00BB0649">
            <w:pPr>
              <w:spacing w:after="0" w:line="240" w:lineRule="auto"/>
              <w:jc w:val="both"/>
              <w:rPr>
                <w:rFonts w:ascii="Times New Roman" w:hAnsi="Times New Roman"/>
                <w:sz w:val="20"/>
                <w:szCs w:val="20"/>
                <w:lang w:val="en-GB"/>
              </w:rPr>
            </w:pPr>
            <w:r w:rsidRPr="00857F85">
              <w:rPr>
                <w:rFonts w:ascii="Times New Roman" w:hAnsi="Times New Roman"/>
                <w:sz w:val="20"/>
                <w:szCs w:val="20"/>
                <w:lang w:val="en-GB"/>
              </w:rPr>
              <w:t>Help getting in/out of chair and bed</w:t>
            </w:r>
          </w:p>
        </w:tc>
        <w:tc>
          <w:tcPr>
            <w:tcW w:w="985" w:type="pct"/>
            <w:shd w:val="clear" w:color="auto" w:fill="auto"/>
          </w:tcPr>
          <w:p w14:paraId="1E219694" w14:textId="77777777" w:rsidR="002D71BC" w:rsidRPr="00857F85" w:rsidRDefault="002D71BC" w:rsidP="00BB0649">
            <w:pPr>
              <w:spacing w:after="0" w:line="240" w:lineRule="auto"/>
              <w:jc w:val="both"/>
              <w:rPr>
                <w:rFonts w:ascii="Times New Roman" w:hAnsi="Times New Roman"/>
                <w:sz w:val="20"/>
                <w:szCs w:val="20"/>
                <w:lang w:val="en-GB"/>
              </w:rPr>
            </w:pPr>
            <w:proofErr w:type="spellStart"/>
            <w:r w:rsidRPr="00857F85">
              <w:rPr>
                <w:rFonts w:ascii="Times New Roman" w:hAnsi="Times New Roman"/>
                <w:sz w:val="20"/>
                <w:szCs w:val="20"/>
              </w:rPr>
              <w:t>Same</w:t>
            </w:r>
            <w:proofErr w:type="spellEnd"/>
          </w:p>
        </w:tc>
        <w:tc>
          <w:tcPr>
            <w:tcW w:w="1895" w:type="pct"/>
            <w:shd w:val="clear" w:color="auto" w:fill="auto"/>
          </w:tcPr>
          <w:p w14:paraId="099A8037" w14:textId="77777777" w:rsidR="002D71BC" w:rsidRPr="00857F85" w:rsidRDefault="002D71BC" w:rsidP="00BB0649">
            <w:pPr>
              <w:spacing w:after="0" w:line="240" w:lineRule="auto"/>
              <w:jc w:val="both"/>
              <w:rPr>
                <w:rFonts w:ascii="Times New Roman" w:hAnsi="Times New Roman"/>
                <w:sz w:val="20"/>
                <w:szCs w:val="20"/>
                <w:lang w:val="en-GB"/>
              </w:rPr>
            </w:pPr>
            <w:r w:rsidRPr="00857F85">
              <w:rPr>
                <w:rFonts w:ascii="Times New Roman" w:hAnsi="Times New Roman"/>
                <w:sz w:val="20"/>
                <w:szCs w:val="20"/>
              </w:rPr>
              <w:t>Yes =1, No =0</w:t>
            </w:r>
          </w:p>
        </w:tc>
      </w:tr>
      <w:tr w:rsidR="002D71BC" w:rsidRPr="00857F85" w14:paraId="7828F942" w14:textId="77777777" w:rsidTr="00BB0649">
        <w:tc>
          <w:tcPr>
            <w:tcW w:w="265" w:type="pct"/>
            <w:shd w:val="clear" w:color="auto" w:fill="auto"/>
          </w:tcPr>
          <w:p w14:paraId="26A21A72" w14:textId="77777777" w:rsidR="002D71BC" w:rsidRPr="00857F85" w:rsidRDefault="002D71BC" w:rsidP="00BB0649">
            <w:pPr>
              <w:spacing w:after="0" w:line="240" w:lineRule="auto"/>
              <w:jc w:val="both"/>
              <w:rPr>
                <w:rFonts w:ascii="Times New Roman" w:hAnsi="Times New Roman"/>
                <w:sz w:val="20"/>
                <w:szCs w:val="20"/>
                <w:lang w:val="en-GB"/>
              </w:rPr>
            </w:pPr>
            <w:r w:rsidRPr="00857F85">
              <w:rPr>
                <w:rFonts w:ascii="Times New Roman" w:hAnsi="Times New Roman"/>
                <w:sz w:val="20"/>
                <w:szCs w:val="20"/>
                <w:lang w:val="en-GB"/>
              </w:rPr>
              <w:t>4.</w:t>
            </w:r>
          </w:p>
        </w:tc>
        <w:tc>
          <w:tcPr>
            <w:tcW w:w="1855" w:type="pct"/>
            <w:shd w:val="clear" w:color="auto" w:fill="auto"/>
          </w:tcPr>
          <w:p w14:paraId="33DD6108" w14:textId="77777777" w:rsidR="002D71BC" w:rsidRPr="00857F85" w:rsidRDefault="002D71BC" w:rsidP="00BB0649">
            <w:pPr>
              <w:spacing w:after="0" w:line="240" w:lineRule="auto"/>
              <w:jc w:val="both"/>
              <w:rPr>
                <w:rFonts w:ascii="Times New Roman" w:hAnsi="Times New Roman"/>
                <w:sz w:val="20"/>
                <w:szCs w:val="20"/>
                <w:lang w:val="en-GB"/>
              </w:rPr>
            </w:pPr>
            <w:r w:rsidRPr="00857F85">
              <w:rPr>
                <w:rFonts w:ascii="Times New Roman" w:hAnsi="Times New Roman"/>
                <w:sz w:val="20"/>
                <w:szCs w:val="20"/>
                <w:lang w:val="en-GB"/>
              </w:rPr>
              <w:t>Help walking a round house</w:t>
            </w:r>
          </w:p>
        </w:tc>
        <w:tc>
          <w:tcPr>
            <w:tcW w:w="985" w:type="pct"/>
            <w:shd w:val="clear" w:color="auto" w:fill="auto"/>
          </w:tcPr>
          <w:p w14:paraId="4EE02CAC" w14:textId="77777777" w:rsidR="002D71BC" w:rsidRPr="00857F85" w:rsidRDefault="002D71BC" w:rsidP="00BB0649">
            <w:pPr>
              <w:spacing w:after="0" w:line="240" w:lineRule="auto"/>
              <w:jc w:val="both"/>
              <w:rPr>
                <w:rFonts w:ascii="Times New Roman" w:hAnsi="Times New Roman"/>
                <w:sz w:val="20"/>
                <w:szCs w:val="20"/>
                <w:lang w:val="en-GB"/>
              </w:rPr>
            </w:pPr>
            <w:proofErr w:type="spellStart"/>
            <w:r w:rsidRPr="00857F85">
              <w:rPr>
                <w:rFonts w:ascii="Times New Roman" w:hAnsi="Times New Roman"/>
                <w:sz w:val="20"/>
                <w:szCs w:val="20"/>
              </w:rPr>
              <w:t>Same</w:t>
            </w:r>
            <w:proofErr w:type="spellEnd"/>
          </w:p>
        </w:tc>
        <w:tc>
          <w:tcPr>
            <w:tcW w:w="1895" w:type="pct"/>
            <w:shd w:val="clear" w:color="auto" w:fill="auto"/>
          </w:tcPr>
          <w:p w14:paraId="091EA83E" w14:textId="77777777" w:rsidR="002D71BC" w:rsidRPr="00857F85" w:rsidRDefault="002D71BC" w:rsidP="00BB0649">
            <w:pPr>
              <w:spacing w:after="0" w:line="240" w:lineRule="auto"/>
              <w:jc w:val="both"/>
              <w:rPr>
                <w:rFonts w:ascii="Times New Roman" w:hAnsi="Times New Roman"/>
                <w:sz w:val="20"/>
                <w:szCs w:val="20"/>
                <w:lang w:val="en-GB"/>
              </w:rPr>
            </w:pPr>
            <w:r w:rsidRPr="00857F85">
              <w:rPr>
                <w:rFonts w:ascii="Times New Roman" w:hAnsi="Times New Roman"/>
                <w:sz w:val="20"/>
                <w:szCs w:val="20"/>
              </w:rPr>
              <w:t>Yes =1, No =0</w:t>
            </w:r>
          </w:p>
        </w:tc>
      </w:tr>
      <w:tr w:rsidR="002D71BC" w:rsidRPr="00857F85" w14:paraId="3BD614FC" w14:textId="77777777" w:rsidTr="00BB0649">
        <w:tc>
          <w:tcPr>
            <w:tcW w:w="265" w:type="pct"/>
            <w:shd w:val="clear" w:color="auto" w:fill="auto"/>
          </w:tcPr>
          <w:p w14:paraId="56EF55A8" w14:textId="77777777" w:rsidR="002D71BC" w:rsidRPr="00857F85" w:rsidRDefault="002D71BC" w:rsidP="00BB0649">
            <w:pPr>
              <w:spacing w:after="0" w:line="240" w:lineRule="auto"/>
              <w:jc w:val="both"/>
              <w:rPr>
                <w:rFonts w:ascii="Times New Roman" w:hAnsi="Times New Roman"/>
                <w:sz w:val="20"/>
                <w:szCs w:val="20"/>
              </w:rPr>
            </w:pPr>
            <w:r w:rsidRPr="00857F85">
              <w:rPr>
                <w:rFonts w:ascii="Times New Roman" w:hAnsi="Times New Roman"/>
                <w:sz w:val="20"/>
                <w:szCs w:val="20"/>
              </w:rPr>
              <w:t>5.</w:t>
            </w:r>
          </w:p>
        </w:tc>
        <w:tc>
          <w:tcPr>
            <w:tcW w:w="1855" w:type="pct"/>
            <w:shd w:val="clear" w:color="auto" w:fill="auto"/>
          </w:tcPr>
          <w:p w14:paraId="36B5F176" w14:textId="77777777" w:rsidR="002D71BC" w:rsidRPr="00857F85" w:rsidRDefault="002D71BC" w:rsidP="00BB0649">
            <w:pPr>
              <w:spacing w:after="0" w:line="240" w:lineRule="auto"/>
              <w:jc w:val="both"/>
              <w:rPr>
                <w:rFonts w:ascii="Times New Roman" w:hAnsi="Times New Roman"/>
                <w:sz w:val="20"/>
                <w:szCs w:val="20"/>
              </w:rPr>
            </w:pPr>
            <w:proofErr w:type="spellStart"/>
            <w:r w:rsidRPr="00857F85">
              <w:rPr>
                <w:rFonts w:ascii="Times New Roman" w:hAnsi="Times New Roman"/>
                <w:sz w:val="20"/>
                <w:szCs w:val="20"/>
              </w:rPr>
              <w:t>Help</w:t>
            </w:r>
            <w:proofErr w:type="spellEnd"/>
            <w:r w:rsidRPr="00857F85">
              <w:rPr>
                <w:rFonts w:ascii="Times New Roman" w:hAnsi="Times New Roman"/>
                <w:sz w:val="20"/>
                <w:szCs w:val="20"/>
              </w:rPr>
              <w:t xml:space="preserve"> </w:t>
            </w:r>
            <w:proofErr w:type="spellStart"/>
            <w:r w:rsidRPr="00857F85">
              <w:rPr>
                <w:rFonts w:ascii="Times New Roman" w:hAnsi="Times New Roman"/>
                <w:sz w:val="20"/>
                <w:szCs w:val="20"/>
              </w:rPr>
              <w:t>eating</w:t>
            </w:r>
            <w:proofErr w:type="spellEnd"/>
          </w:p>
        </w:tc>
        <w:tc>
          <w:tcPr>
            <w:tcW w:w="985" w:type="pct"/>
            <w:shd w:val="clear" w:color="auto" w:fill="auto"/>
          </w:tcPr>
          <w:p w14:paraId="7CFD1720" w14:textId="77777777" w:rsidR="002D71BC" w:rsidRPr="00857F85" w:rsidRDefault="002D71BC" w:rsidP="00BB0649">
            <w:pPr>
              <w:spacing w:after="0" w:line="240" w:lineRule="auto"/>
              <w:jc w:val="both"/>
              <w:rPr>
                <w:rFonts w:ascii="Times New Roman" w:hAnsi="Times New Roman"/>
                <w:sz w:val="20"/>
                <w:szCs w:val="20"/>
              </w:rPr>
            </w:pPr>
            <w:proofErr w:type="spellStart"/>
            <w:r w:rsidRPr="00857F85">
              <w:rPr>
                <w:rFonts w:ascii="Times New Roman" w:hAnsi="Times New Roman"/>
                <w:sz w:val="20"/>
                <w:szCs w:val="20"/>
              </w:rPr>
              <w:t>Same</w:t>
            </w:r>
            <w:proofErr w:type="spellEnd"/>
          </w:p>
        </w:tc>
        <w:tc>
          <w:tcPr>
            <w:tcW w:w="1895" w:type="pct"/>
            <w:shd w:val="clear" w:color="auto" w:fill="auto"/>
          </w:tcPr>
          <w:p w14:paraId="146D2FF9" w14:textId="77777777" w:rsidR="002D71BC" w:rsidRPr="00857F85" w:rsidRDefault="002D71BC" w:rsidP="00BB0649">
            <w:pPr>
              <w:spacing w:after="0" w:line="240" w:lineRule="auto"/>
              <w:jc w:val="both"/>
              <w:rPr>
                <w:rFonts w:ascii="Times New Roman" w:hAnsi="Times New Roman"/>
                <w:sz w:val="20"/>
                <w:szCs w:val="20"/>
              </w:rPr>
            </w:pPr>
            <w:r w:rsidRPr="00857F85">
              <w:rPr>
                <w:rFonts w:ascii="Times New Roman" w:hAnsi="Times New Roman"/>
                <w:sz w:val="20"/>
                <w:szCs w:val="20"/>
              </w:rPr>
              <w:t>Yes =1, No =0</w:t>
            </w:r>
          </w:p>
        </w:tc>
      </w:tr>
      <w:tr w:rsidR="002D71BC" w:rsidRPr="00857F85" w14:paraId="667BA870" w14:textId="77777777" w:rsidTr="00BB0649">
        <w:tc>
          <w:tcPr>
            <w:tcW w:w="265" w:type="pct"/>
            <w:shd w:val="clear" w:color="auto" w:fill="auto"/>
          </w:tcPr>
          <w:p w14:paraId="1EEFE3DC" w14:textId="77777777" w:rsidR="002D71BC" w:rsidRPr="00857F85" w:rsidRDefault="002D71BC" w:rsidP="00BB0649">
            <w:pPr>
              <w:spacing w:after="0" w:line="240" w:lineRule="auto"/>
              <w:jc w:val="both"/>
              <w:rPr>
                <w:rFonts w:ascii="Times New Roman" w:hAnsi="Times New Roman"/>
                <w:sz w:val="20"/>
                <w:szCs w:val="20"/>
              </w:rPr>
            </w:pPr>
            <w:r w:rsidRPr="00857F85">
              <w:rPr>
                <w:rFonts w:ascii="Times New Roman" w:hAnsi="Times New Roman"/>
                <w:sz w:val="20"/>
                <w:szCs w:val="20"/>
              </w:rPr>
              <w:t>6.</w:t>
            </w:r>
          </w:p>
        </w:tc>
        <w:tc>
          <w:tcPr>
            <w:tcW w:w="1855" w:type="pct"/>
            <w:shd w:val="clear" w:color="auto" w:fill="auto"/>
          </w:tcPr>
          <w:p w14:paraId="7405405E" w14:textId="77777777" w:rsidR="002D71BC" w:rsidRPr="00857F85" w:rsidRDefault="002D71BC" w:rsidP="00BB0649">
            <w:pPr>
              <w:spacing w:after="0" w:line="240" w:lineRule="auto"/>
              <w:jc w:val="both"/>
              <w:rPr>
                <w:rFonts w:ascii="Times New Roman" w:hAnsi="Times New Roman"/>
                <w:sz w:val="20"/>
                <w:szCs w:val="20"/>
              </w:rPr>
            </w:pPr>
            <w:proofErr w:type="spellStart"/>
            <w:r w:rsidRPr="00857F85">
              <w:rPr>
                <w:rFonts w:ascii="Times New Roman" w:hAnsi="Times New Roman"/>
                <w:sz w:val="20"/>
                <w:szCs w:val="20"/>
              </w:rPr>
              <w:t>Help</w:t>
            </w:r>
            <w:proofErr w:type="spellEnd"/>
            <w:r w:rsidRPr="00857F85">
              <w:rPr>
                <w:rFonts w:ascii="Times New Roman" w:hAnsi="Times New Roman"/>
                <w:sz w:val="20"/>
                <w:szCs w:val="20"/>
              </w:rPr>
              <w:t xml:space="preserve"> grooming</w:t>
            </w:r>
          </w:p>
        </w:tc>
        <w:tc>
          <w:tcPr>
            <w:tcW w:w="985" w:type="pct"/>
            <w:shd w:val="clear" w:color="auto" w:fill="auto"/>
          </w:tcPr>
          <w:p w14:paraId="08834100" w14:textId="77777777" w:rsidR="002D71BC" w:rsidRPr="00857F85" w:rsidRDefault="002D71BC" w:rsidP="00BB0649">
            <w:pPr>
              <w:spacing w:after="0" w:line="240" w:lineRule="auto"/>
              <w:jc w:val="both"/>
              <w:rPr>
                <w:rFonts w:ascii="Times New Roman" w:hAnsi="Times New Roman"/>
                <w:sz w:val="20"/>
                <w:szCs w:val="20"/>
              </w:rPr>
            </w:pPr>
            <w:proofErr w:type="spellStart"/>
            <w:r w:rsidRPr="00857F85">
              <w:rPr>
                <w:rFonts w:ascii="Times New Roman" w:hAnsi="Times New Roman"/>
                <w:sz w:val="20"/>
                <w:szCs w:val="20"/>
              </w:rPr>
              <w:t>Same</w:t>
            </w:r>
            <w:proofErr w:type="spellEnd"/>
          </w:p>
        </w:tc>
        <w:tc>
          <w:tcPr>
            <w:tcW w:w="1895" w:type="pct"/>
            <w:shd w:val="clear" w:color="auto" w:fill="auto"/>
          </w:tcPr>
          <w:p w14:paraId="2E615160" w14:textId="77777777" w:rsidR="002D71BC" w:rsidRPr="00857F85" w:rsidRDefault="002D71BC" w:rsidP="00BB0649">
            <w:pPr>
              <w:spacing w:after="0" w:line="240" w:lineRule="auto"/>
              <w:jc w:val="both"/>
              <w:rPr>
                <w:rFonts w:ascii="Times New Roman" w:hAnsi="Times New Roman"/>
                <w:sz w:val="20"/>
                <w:szCs w:val="20"/>
              </w:rPr>
            </w:pPr>
            <w:r w:rsidRPr="00857F85">
              <w:rPr>
                <w:rFonts w:ascii="Times New Roman" w:hAnsi="Times New Roman"/>
                <w:sz w:val="20"/>
                <w:szCs w:val="20"/>
              </w:rPr>
              <w:t>Yes =1, No =0</w:t>
            </w:r>
          </w:p>
        </w:tc>
      </w:tr>
      <w:tr w:rsidR="002D71BC" w:rsidRPr="00857F85" w14:paraId="1114E5E3" w14:textId="77777777" w:rsidTr="00BB0649">
        <w:tc>
          <w:tcPr>
            <w:tcW w:w="265" w:type="pct"/>
            <w:shd w:val="clear" w:color="auto" w:fill="auto"/>
          </w:tcPr>
          <w:p w14:paraId="30F9C55A" w14:textId="77777777" w:rsidR="002D71BC" w:rsidRPr="00857F85" w:rsidRDefault="002D71BC" w:rsidP="00BB0649">
            <w:pPr>
              <w:spacing w:after="0" w:line="240" w:lineRule="auto"/>
              <w:jc w:val="both"/>
              <w:rPr>
                <w:rFonts w:ascii="Times New Roman" w:hAnsi="Times New Roman"/>
                <w:sz w:val="20"/>
                <w:szCs w:val="20"/>
              </w:rPr>
            </w:pPr>
            <w:r w:rsidRPr="00857F85">
              <w:rPr>
                <w:rFonts w:ascii="Times New Roman" w:hAnsi="Times New Roman"/>
                <w:sz w:val="20"/>
                <w:szCs w:val="20"/>
              </w:rPr>
              <w:t>7.</w:t>
            </w:r>
          </w:p>
        </w:tc>
        <w:tc>
          <w:tcPr>
            <w:tcW w:w="1855" w:type="pct"/>
            <w:shd w:val="clear" w:color="auto" w:fill="auto"/>
          </w:tcPr>
          <w:p w14:paraId="7914E06A" w14:textId="77777777" w:rsidR="002D71BC" w:rsidRPr="00857F85" w:rsidRDefault="002D71BC" w:rsidP="00BB0649">
            <w:pPr>
              <w:spacing w:after="0" w:line="240" w:lineRule="auto"/>
              <w:jc w:val="both"/>
              <w:rPr>
                <w:rFonts w:ascii="Times New Roman" w:hAnsi="Times New Roman"/>
                <w:sz w:val="20"/>
                <w:szCs w:val="20"/>
              </w:rPr>
            </w:pPr>
            <w:proofErr w:type="spellStart"/>
            <w:r w:rsidRPr="00857F85">
              <w:rPr>
                <w:rFonts w:ascii="Times New Roman" w:hAnsi="Times New Roman"/>
                <w:sz w:val="20"/>
                <w:szCs w:val="20"/>
              </w:rPr>
              <w:t>Help</w:t>
            </w:r>
            <w:proofErr w:type="spellEnd"/>
            <w:r w:rsidRPr="00857F85">
              <w:rPr>
                <w:rFonts w:ascii="Times New Roman" w:hAnsi="Times New Roman"/>
                <w:sz w:val="20"/>
                <w:szCs w:val="20"/>
              </w:rPr>
              <w:t xml:space="preserve"> </w:t>
            </w:r>
            <w:proofErr w:type="spellStart"/>
            <w:r w:rsidRPr="00857F85">
              <w:rPr>
                <w:rFonts w:ascii="Times New Roman" w:hAnsi="Times New Roman"/>
                <w:sz w:val="20"/>
                <w:szCs w:val="20"/>
              </w:rPr>
              <w:t>using</w:t>
            </w:r>
            <w:proofErr w:type="spellEnd"/>
            <w:r w:rsidRPr="00857F85">
              <w:rPr>
                <w:rFonts w:ascii="Times New Roman" w:hAnsi="Times New Roman"/>
                <w:sz w:val="20"/>
                <w:szCs w:val="20"/>
              </w:rPr>
              <w:t xml:space="preserve"> </w:t>
            </w:r>
            <w:proofErr w:type="spellStart"/>
            <w:r w:rsidRPr="00857F85">
              <w:rPr>
                <w:rFonts w:ascii="Times New Roman" w:hAnsi="Times New Roman"/>
                <w:sz w:val="20"/>
                <w:szCs w:val="20"/>
              </w:rPr>
              <w:t>toilet</w:t>
            </w:r>
            <w:proofErr w:type="spellEnd"/>
          </w:p>
        </w:tc>
        <w:tc>
          <w:tcPr>
            <w:tcW w:w="985" w:type="pct"/>
            <w:shd w:val="clear" w:color="auto" w:fill="auto"/>
          </w:tcPr>
          <w:p w14:paraId="30F230BB" w14:textId="77777777" w:rsidR="002D71BC" w:rsidRPr="00857F85" w:rsidRDefault="002D71BC" w:rsidP="00BB0649">
            <w:pPr>
              <w:spacing w:after="0" w:line="240" w:lineRule="auto"/>
              <w:jc w:val="both"/>
              <w:rPr>
                <w:rFonts w:ascii="Times New Roman" w:hAnsi="Times New Roman"/>
                <w:sz w:val="20"/>
                <w:szCs w:val="20"/>
              </w:rPr>
            </w:pPr>
            <w:proofErr w:type="spellStart"/>
            <w:r w:rsidRPr="00857F85">
              <w:rPr>
                <w:rFonts w:ascii="Times New Roman" w:hAnsi="Times New Roman"/>
                <w:sz w:val="20"/>
                <w:szCs w:val="20"/>
              </w:rPr>
              <w:t>Same</w:t>
            </w:r>
            <w:proofErr w:type="spellEnd"/>
          </w:p>
        </w:tc>
        <w:tc>
          <w:tcPr>
            <w:tcW w:w="1895" w:type="pct"/>
            <w:shd w:val="clear" w:color="auto" w:fill="auto"/>
          </w:tcPr>
          <w:p w14:paraId="564430E7" w14:textId="77777777" w:rsidR="002D71BC" w:rsidRPr="00857F85" w:rsidRDefault="002D71BC" w:rsidP="00BB0649">
            <w:pPr>
              <w:spacing w:after="0" w:line="240" w:lineRule="auto"/>
              <w:jc w:val="both"/>
              <w:rPr>
                <w:rFonts w:ascii="Times New Roman" w:hAnsi="Times New Roman"/>
                <w:sz w:val="20"/>
                <w:szCs w:val="20"/>
              </w:rPr>
            </w:pPr>
            <w:r w:rsidRPr="00857F85">
              <w:rPr>
                <w:rFonts w:ascii="Times New Roman" w:hAnsi="Times New Roman"/>
                <w:sz w:val="20"/>
                <w:szCs w:val="20"/>
              </w:rPr>
              <w:t>Yes =1, No =0</w:t>
            </w:r>
          </w:p>
        </w:tc>
      </w:tr>
      <w:tr w:rsidR="002D71BC" w:rsidRPr="00857F85" w14:paraId="3DC872F2" w14:textId="77777777" w:rsidTr="00BB0649">
        <w:tc>
          <w:tcPr>
            <w:tcW w:w="265" w:type="pct"/>
            <w:shd w:val="clear" w:color="auto" w:fill="auto"/>
          </w:tcPr>
          <w:p w14:paraId="69C3F261" w14:textId="77777777" w:rsidR="002D71BC" w:rsidRPr="00857F85" w:rsidRDefault="002D71BC" w:rsidP="00BB0649">
            <w:pPr>
              <w:spacing w:after="0" w:line="240" w:lineRule="auto"/>
              <w:jc w:val="both"/>
              <w:rPr>
                <w:rFonts w:ascii="Times New Roman" w:hAnsi="Times New Roman"/>
                <w:sz w:val="20"/>
                <w:szCs w:val="20"/>
              </w:rPr>
            </w:pPr>
            <w:r w:rsidRPr="00857F85">
              <w:rPr>
                <w:rFonts w:ascii="Times New Roman" w:hAnsi="Times New Roman"/>
                <w:sz w:val="20"/>
                <w:szCs w:val="20"/>
              </w:rPr>
              <w:t>8.</w:t>
            </w:r>
          </w:p>
        </w:tc>
        <w:tc>
          <w:tcPr>
            <w:tcW w:w="1855" w:type="pct"/>
            <w:shd w:val="clear" w:color="auto" w:fill="auto"/>
          </w:tcPr>
          <w:p w14:paraId="1D3666EE" w14:textId="77777777" w:rsidR="002D71BC" w:rsidRPr="00857F85" w:rsidRDefault="002D71BC" w:rsidP="00BB0649">
            <w:pPr>
              <w:spacing w:after="0" w:line="240" w:lineRule="auto"/>
              <w:jc w:val="both"/>
              <w:rPr>
                <w:rFonts w:ascii="Times New Roman" w:hAnsi="Times New Roman"/>
                <w:sz w:val="20"/>
                <w:szCs w:val="20"/>
              </w:rPr>
            </w:pPr>
            <w:proofErr w:type="spellStart"/>
            <w:r w:rsidRPr="00857F85">
              <w:rPr>
                <w:rFonts w:ascii="Times New Roman" w:hAnsi="Times New Roman"/>
                <w:sz w:val="20"/>
                <w:szCs w:val="20"/>
              </w:rPr>
              <w:t>Help</w:t>
            </w:r>
            <w:proofErr w:type="spellEnd"/>
            <w:r w:rsidRPr="00857F85">
              <w:rPr>
                <w:rFonts w:ascii="Times New Roman" w:hAnsi="Times New Roman"/>
                <w:sz w:val="20"/>
                <w:szCs w:val="20"/>
              </w:rPr>
              <w:t xml:space="preserve"> up </w:t>
            </w:r>
            <w:proofErr w:type="spellStart"/>
            <w:r w:rsidRPr="00857F85">
              <w:rPr>
                <w:rFonts w:ascii="Times New Roman" w:hAnsi="Times New Roman"/>
                <w:sz w:val="20"/>
                <w:szCs w:val="20"/>
              </w:rPr>
              <w:t>stairs</w:t>
            </w:r>
            <w:proofErr w:type="spellEnd"/>
          </w:p>
        </w:tc>
        <w:tc>
          <w:tcPr>
            <w:tcW w:w="985" w:type="pct"/>
            <w:shd w:val="clear" w:color="auto" w:fill="auto"/>
          </w:tcPr>
          <w:p w14:paraId="4B177D52" w14:textId="77777777" w:rsidR="002D71BC" w:rsidRPr="00857F85" w:rsidRDefault="002D71BC" w:rsidP="00BB0649">
            <w:pPr>
              <w:spacing w:after="0" w:line="240" w:lineRule="auto"/>
              <w:jc w:val="both"/>
              <w:rPr>
                <w:rFonts w:ascii="Times New Roman" w:hAnsi="Times New Roman"/>
                <w:sz w:val="20"/>
                <w:szCs w:val="20"/>
              </w:rPr>
            </w:pPr>
            <w:proofErr w:type="spellStart"/>
            <w:r w:rsidRPr="00857F85">
              <w:rPr>
                <w:rFonts w:ascii="Times New Roman" w:hAnsi="Times New Roman"/>
                <w:sz w:val="20"/>
                <w:szCs w:val="20"/>
              </w:rPr>
              <w:t>Same</w:t>
            </w:r>
            <w:proofErr w:type="spellEnd"/>
          </w:p>
        </w:tc>
        <w:tc>
          <w:tcPr>
            <w:tcW w:w="1895" w:type="pct"/>
            <w:shd w:val="clear" w:color="auto" w:fill="auto"/>
          </w:tcPr>
          <w:p w14:paraId="5F2F89DB" w14:textId="77777777" w:rsidR="002D71BC" w:rsidRPr="00857F85" w:rsidRDefault="002D71BC" w:rsidP="00BB0649">
            <w:pPr>
              <w:spacing w:after="0" w:line="240" w:lineRule="auto"/>
              <w:jc w:val="both"/>
              <w:rPr>
                <w:rFonts w:ascii="Times New Roman" w:hAnsi="Times New Roman"/>
                <w:sz w:val="20"/>
                <w:szCs w:val="20"/>
              </w:rPr>
            </w:pPr>
            <w:r w:rsidRPr="00857F85">
              <w:rPr>
                <w:rFonts w:ascii="Times New Roman" w:hAnsi="Times New Roman"/>
                <w:sz w:val="20"/>
                <w:szCs w:val="20"/>
              </w:rPr>
              <w:t>Yes =1, No =0</w:t>
            </w:r>
          </w:p>
        </w:tc>
      </w:tr>
      <w:tr w:rsidR="002D71BC" w:rsidRPr="00857F85" w14:paraId="2B5FCE54" w14:textId="77777777" w:rsidTr="00BB0649">
        <w:tc>
          <w:tcPr>
            <w:tcW w:w="265" w:type="pct"/>
            <w:shd w:val="clear" w:color="auto" w:fill="auto"/>
          </w:tcPr>
          <w:p w14:paraId="4DEE8654" w14:textId="77777777" w:rsidR="002D71BC" w:rsidRPr="00857F85" w:rsidRDefault="002D71BC" w:rsidP="00BB0649">
            <w:pPr>
              <w:spacing w:after="0" w:line="240" w:lineRule="auto"/>
              <w:jc w:val="both"/>
              <w:rPr>
                <w:rFonts w:ascii="Times New Roman" w:hAnsi="Times New Roman"/>
                <w:sz w:val="20"/>
                <w:szCs w:val="20"/>
              </w:rPr>
            </w:pPr>
            <w:r w:rsidRPr="00857F85">
              <w:rPr>
                <w:rFonts w:ascii="Times New Roman" w:hAnsi="Times New Roman"/>
                <w:sz w:val="20"/>
                <w:szCs w:val="20"/>
              </w:rPr>
              <w:t>9.</w:t>
            </w:r>
          </w:p>
        </w:tc>
        <w:tc>
          <w:tcPr>
            <w:tcW w:w="1855" w:type="pct"/>
            <w:shd w:val="clear" w:color="auto" w:fill="auto"/>
          </w:tcPr>
          <w:p w14:paraId="52A42B3E" w14:textId="77777777" w:rsidR="002D71BC" w:rsidRPr="00857F85" w:rsidRDefault="002D71BC" w:rsidP="00BB0649">
            <w:pPr>
              <w:spacing w:after="0" w:line="240" w:lineRule="auto"/>
              <w:jc w:val="both"/>
              <w:rPr>
                <w:rFonts w:ascii="Times New Roman" w:hAnsi="Times New Roman"/>
                <w:sz w:val="20"/>
                <w:szCs w:val="20"/>
              </w:rPr>
            </w:pPr>
            <w:proofErr w:type="spellStart"/>
            <w:r w:rsidRPr="00857F85">
              <w:rPr>
                <w:rFonts w:ascii="Times New Roman" w:hAnsi="Times New Roman"/>
                <w:sz w:val="20"/>
                <w:szCs w:val="20"/>
              </w:rPr>
              <w:t>Help</w:t>
            </w:r>
            <w:proofErr w:type="spellEnd"/>
            <w:r w:rsidRPr="00857F85">
              <w:rPr>
                <w:rFonts w:ascii="Times New Roman" w:hAnsi="Times New Roman"/>
                <w:sz w:val="20"/>
                <w:szCs w:val="20"/>
              </w:rPr>
              <w:t xml:space="preserve"> </w:t>
            </w:r>
            <w:proofErr w:type="gramStart"/>
            <w:r w:rsidRPr="00857F85">
              <w:rPr>
                <w:rFonts w:ascii="Times New Roman" w:hAnsi="Times New Roman"/>
                <w:sz w:val="20"/>
                <w:szCs w:val="20"/>
              </w:rPr>
              <w:t>lifting</w:t>
            </w:r>
            <w:proofErr w:type="gramEnd"/>
            <w:r w:rsidRPr="00857F85">
              <w:rPr>
                <w:rFonts w:ascii="Times New Roman" w:hAnsi="Times New Roman"/>
                <w:sz w:val="20"/>
                <w:szCs w:val="20"/>
              </w:rPr>
              <w:t xml:space="preserve"> 10 </w:t>
            </w:r>
            <w:proofErr w:type="spellStart"/>
            <w:r w:rsidRPr="00857F85">
              <w:rPr>
                <w:rFonts w:ascii="Times New Roman" w:hAnsi="Times New Roman"/>
                <w:sz w:val="20"/>
                <w:szCs w:val="20"/>
              </w:rPr>
              <w:t>lbs</w:t>
            </w:r>
            <w:proofErr w:type="spellEnd"/>
          </w:p>
        </w:tc>
        <w:tc>
          <w:tcPr>
            <w:tcW w:w="985" w:type="pct"/>
            <w:shd w:val="clear" w:color="auto" w:fill="auto"/>
          </w:tcPr>
          <w:p w14:paraId="7F1BC47C" w14:textId="77777777" w:rsidR="002D71BC" w:rsidRPr="00857F85" w:rsidRDefault="002D71BC" w:rsidP="00BB0649">
            <w:pPr>
              <w:spacing w:after="0" w:line="240" w:lineRule="auto"/>
              <w:jc w:val="both"/>
              <w:rPr>
                <w:rFonts w:ascii="Times New Roman" w:hAnsi="Times New Roman"/>
                <w:sz w:val="20"/>
                <w:szCs w:val="20"/>
              </w:rPr>
            </w:pPr>
            <w:proofErr w:type="spellStart"/>
            <w:r w:rsidRPr="00857F85">
              <w:rPr>
                <w:rFonts w:ascii="Times New Roman" w:hAnsi="Times New Roman"/>
                <w:sz w:val="20"/>
                <w:szCs w:val="20"/>
              </w:rPr>
              <w:t>Same</w:t>
            </w:r>
            <w:proofErr w:type="spellEnd"/>
          </w:p>
        </w:tc>
        <w:tc>
          <w:tcPr>
            <w:tcW w:w="1895" w:type="pct"/>
            <w:shd w:val="clear" w:color="auto" w:fill="auto"/>
          </w:tcPr>
          <w:p w14:paraId="674DB684" w14:textId="77777777" w:rsidR="002D71BC" w:rsidRPr="00857F85" w:rsidRDefault="002D71BC" w:rsidP="00BB0649">
            <w:pPr>
              <w:spacing w:after="0" w:line="240" w:lineRule="auto"/>
              <w:jc w:val="both"/>
              <w:rPr>
                <w:rFonts w:ascii="Times New Roman" w:hAnsi="Times New Roman"/>
                <w:sz w:val="20"/>
                <w:szCs w:val="20"/>
              </w:rPr>
            </w:pPr>
            <w:r w:rsidRPr="00857F85">
              <w:rPr>
                <w:rFonts w:ascii="Times New Roman" w:hAnsi="Times New Roman"/>
                <w:sz w:val="20"/>
                <w:szCs w:val="20"/>
              </w:rPr>
              <w:t>Yes =1, No =0</w:t>
            </w:r>
          </w:p>
        </w:tc>
      </w:tr>
      <w:tr w:rsidR="002D71BC" w:rsidRPr="00857F85" w14:paraId="1A524BCA" w14:textId="77777777" w:rsidTr="00BB0649">
        <w:tc>
          <w:tcPr>
            <w:tcW w:w="265" w:type="pct"/>
            <w:shd w:val="clear" w:color="auto" w:fill="auto"/>
          </w:tcPr>
          <w:p w14:paraId="157B4755" w14:textId="77777777" w:rsidR="002D71BC" w:rsidRPr="00857F85" w:rsidRDefault="002D71BC" w:rsidP="00BB0649">
            <w:pPr>
              <w:spacing w:after="0" w:line="240" w:lineRule="auto"/>
              <w:jc w:val="both"/>
              <w:rPr>
                <w:rFonts w:ascii="Times New Roman" w:hAnsi="Times New Roman"/>
                <w:sz w:val="20"/>
                <w:szCs w:val="20"/>
              </w:rPr>
            </w:pPr>
            <w:r w:rsidRPr="00857F85">
              <w:rPr>
                <w:rFonts w:ascii="Times New Roman" w:hAnsi="Times New Roman"/>
                <w:sz w:val="20"/>
                <w:szCs w:val="20"/>
              </w:rPr>
              <w:t>10.</w:t>
            </w:r>
          </w:p>
        </w:tc>
        <w:tc>
          <w:tcPr>
            <w:tcW w:w="1855" w:type="pct"/>
            <w:shd w:val="clear" w:color="auto" w:fill="auto"/>
          </w:tcPr>
          <w:p w14:paraId="356C410D" w14:textId="77777777" w:rsidR="002D71BC" w:rsidRPr="00857F85" w:rsidRDefault="002D71BC" w:rsidP="00BB0649">
            <w:pPr>
              <w:spacing w:after="0" w:line="240" w:lineRule="auto"/>
              <w:jc w:val="both"/>
              <w:rPr>
                <w:rFonts w:ascii="Times New Roman" w:hAnsi="Times New Roman"/>
                <w:sz w:val="20"/>
                <w:szCs w:val="20"/>
              </w:rPr>
            </w:pPr>
            <w:proofErr w:type="spellStart"/>
            <w:r w:rsidRPr="00857F85">
              <w:rPr>
                <w:rFonts w:ascii="Times New Roman" w:hAnsi="Times New Roman"/>
                <w:sz w:val="20"/>
                <w:szCs w:val="20"/>
              </w:rPr>
              <w:t>Help</w:t>
            </w:r>
            <w:proofErr w:type="spellEnd"/>
            <w:r w:rsidRPr="00857F85">
              <w:rPr>
                <w:rFonts w:ascii="Times New Roman" w:hAnsi="Times New Roman"/>
                <w:sz w:val="20"/>
                <w:szCs w:val="20"/>
              </w:rPr>
              <w:t xml:space="preserve"> shopping</w:t>
            </w:r>
          </w:p>
        </w:tc>
        <w:tc>
          <w:tcPr>
            <w:tcW w:w="985" w:type="pct"/>
            <w:shd w:val="clear" w:color="auto" w:fill="auto"/>
          </w:tcPr>
          <w:p w14:paraId="150859E8" w14:textId="77777777" w:rsidR="002D71BC" w:rsidRPr="00857F85" w:rsidRDefault="002D71BC" w:rsidP="00BB0649">
            <w:pPr>
              <w:spacing w:after="0" w:line="240" w:lineRule="auto"/>
              <w:jc w:val="both"/>
              <w:rPr>
                <w:rFonts w:ascii="Times New Roman" w:hAnsi="Times New Roman"/>
                <w:sz w:val="20"/>
                <w:szCs w:val="20"/>
              </w:rPr>
            </w:pPr>
            <w:proofErr w:type="spellStart"/>
            <w:r w:rsidRPr="00857F85">
              <w:rPr>
                <w:rFonts w:ascii="Times New Roman" w:hAnsi="Times New Roman"/>
                <w:sz w:val="20"/>
                <w:szCs w:val="20"/>
              </w:rPr>
              <w:t>Same</w:t>
            </w:r>
            <w:proofErr w:type="spellEnd"/>
          </w:p>
        </w:tc>
        <w:tc>
          <w:tcPr>
            <w:tcW w:w="1895" w:type="pct"/>
            <w:shd w:val="clear" w:color="auto" w:fill="auto"/>
          </w:tcPr>
          <w:p w14:paraId="7C6DC603" w14:textId="77777777" w:rsidR="002D71BC" w:rsidRPr="00857F85" w:rsidRDefault="002D71BC" w:rsidP="00BB0649">
            <w:pPr>
              <w:spacing w:after="0" w:line="240" w:lineRule="auto"/>
              <w:jc w:val="both"/>
              <w:rPr>
                <w:rFonts w:ascii="Times New Roman" w:hAnsi="Times New Roman"/>
                <w:sz w:val="20"/>
                <w:szCs w:val="20"/>
              </w:rPr>
            </w:pPr>
            <w:r w:rsidRPr="00857F85">
              <w:rPr>
                <w:rFonts w:ascii="Times New Roman" w:hAnsi="Times New Roman"/>
                <w:sz w:val="20"/>
                <w:szCs w:val="20"/>
              </w:rPr>
              <w:t>Yes =1, No =0</w:t>
            </w:r>
          </w:p>
        </w:tc>
      </w:tr>
      <w:tr w:rsidR="002D71BC" w:rsidRPr="00857F85" w14:paraId="3C68194A" w14:textId="77777777" w:rsidTr="00BB0649">
        <w:tc>
          <w:tcPr>
            <w:tcW w:w="265" w:type="pct"/>
            <w:shd w:val="clear" w:color="auto" w:fill="auto"/>
          </w:tcPr>
          <w:p w14:paraId="62325108" w14:textId="77777777" w:rsidR="002D71BC" w:rsidRPr="00857F85" w:rsidRDefault="002D71BC" w:rsidP="00BB0649">
            <w:pPr>
              <w:spacing w:after="0" w:line="240" w:lineRule="auto"/>
              <w:jc w:val="both"/>
              <w:rPr>
                <w:rFonts w:ascii="Times New Roman" w:hAnsi="Times New Roman"/>
                <w:sz w:val="20"/>
                <w:szCs w:val="20"/>
              </w:rPr>
            </w:pPr>
            <w:r w:rsidRPr="00857F85">
              <w:rPr>
                <w:rFonts w:ascii="Times New Roman" w:hAnsi="Times New Roman"/>
                <w:sz w:val="20"/>
                <w:szCs w:val="20"/>
              </w:rPr>
              <w:t>11.</w:t>
            </w:r>
          </w:p>
        </w:tc>
        <w:tc>
          <w:tcPr>
            <w:tcW w:w="1855" w:type="pct"/>
            <w:shd w:val="clear" w:color="auto" w:fill="auto"/>
          </w:tcPr>
          <w:p w14:paraId="3F5B9924" w14:textId="77777777" w:rsidR="002D71BC" w:rsidRPr="00857F85" w:rsidRDefault="002D71BC" w:rsidP="00BB0649">
            <w:pPr>
              <w:spacing w:after="0" w:line="240" w:lineRule="auto"/>
              <w:jc w:val="both"/>
              <w:rPr>
                <w:rFonts w:ascii="Times New Roman" w:hAnsi="Times New Roman"/>
                <w:sz w:val="20"/>
                <w:szCs w:val="20"/>
              </w:rPr>
            </w:pPr>
            <w:proofErr w:type="spellStart"/>
            <w:r w:rsidRPr="00857F85">
              <w:rPr>
                <w:rFonts w:ascii="Times New Roman" w:hAnsi="Times New Roman"/>
                <w:sz w:val="20"/>
                <w:szCs w:val="20"/>
              </w:rPr>
              <w:t>Help</w:t>
            </w:r>
            <w:proofErr w:type="spellEnd"/>
            <w:r w:rsidRPr="00857F85">
              <w:rPr>
                <w:rFonts w:ascii="Times New Roman" w:hAnsi="Times New Roman"/>
                <w:sz w:val="20"/>
                <w:szCs w:val="20"/>
              </w:rPr>
              <w:t xml:space="preserve"> </w:t>
            </w:r>
            <w:proofErr w:type="spellStart"/>
            <w:r w:rsidRPr="00857F85">
              <w:rPr>
                <w:rFonts w:ascii="Times New Roman" w:hAnsi="Times New Roman"/>
                <w:sz w:val="20"/>
                <w:szCs w:val="20"/>
              </w:rPr>
              <w:t>with</w:t>
            </w:r>
            <w:proofErr w:type="spellEnd"/>
            <w:r w:rsidRPr="00857F85">
              <w:rPr>
                <w:rFonts w:ascii="Times New Roman" w:hAnsi="Times New Roman"/>
                <w:sz w:val="20"/>
                <w:szCs w:val="20"/>
              </w:rPr>
              <w:t xml:space="preserve"> </w:t>
            </w:r>
            <w:proofErr w:type="spellStart"/>
            <w:r w:rsidRPr="00857F85">
              <w:rPr>
                <w:rFonts w:ascii="Times New Roman" w:hAnsi="Times New Roman"/>
                <w:sz w:val="20"/>
                <w:szCs w:val="20"/>
              </w:rPr>
              <w:t>housework</w:t>
            </w:r>
            <w:proofErr w:type="spellEnd"/>
          </w:p>
        </w:tc>
        <w:tc>
          <w:tcPr>
            <w:tcW w:w="985" w:type="pct"/>
            <w:shd w:val="clear" w:color="auto" w:fill="auto"/>
          </w:tcPr>
          <w:p w14:paraId="380ECFDF" w14:textId="77777777" w:rsidR="002D71BC" w:rsidRPr="00857F85" w:rsidRDefault="002D71BC" w:rsidP="00BB0649">
            <w:pPr>
              <w:spacing w:after="0" w:line="240" w:lineRule="auto"/>
              <w:jc w:val="both"/>
              <w:rPr>
                <w:rFonts w:ascii="Times New Roman" w:hAnsi="Times New Roman"/>
                <w:sz w:val="20"/>
                <w:szCs w:val="20"/>
              </w:rPr>
            </w:pPr>
            <w:proofErr w:type="spellStart"/>
            <w:r w:rsidRPr="00857F85">
              <w:rPr>
                <w:rFonts w:ascii="Times New Roman" w:hAnsi="Times New Roman"/>
                <w:sz w:val="20"/>
                <w:szCs w:val="20"/>
              </w:rPr>
              <w:t>Same</w:t>
            </w:r>
            <w:proofErr w:type="spellEnd"/>
          </w:p>
        </w:tc>
        <w:tc>
          <w:tcPr>
            <w:tcW w:w="1895" w:type="pct"/>
            <w:shd w:val="clear" w:color="auto" w:fill="auto"/>
          </w:tcPr>
          <w:p w14:paraId="2B497707" w14:textId="77777777" w:rsidR="002D71BC" w:rsidRPr="00857F85" w:rsidRDefault="002D71BC" w:rsidP="00BB0649">
            <w:pPr>
              <w:spacing w:after="0" w:line="240" w:lineRule="auto"/>
              <w:jc w:val="both"/>
              <w:rPr>
                <w:rFonts w:ascii="Times New Roman" w:hAnsi="Times New Roman"/>
                <w:sz w:val="20"/>
                <w:szCs w:val="20"/>
              </w:rPr>
            </w:pPr>
            <w:r w:rsidRPr="00857F85">
              <w:rPr>
                <w:rFonts w:ascii="Times New Roman" w:hAnsi="Times New Roman"/>
                <w:sz w:val="20"/>
                <w:szCs w:val="20"/>
              </w:rPr>
              <w:t>Yes =1, No =0</w:t>
            </w:r>
          </w:p>
        </w:tc>
      </w:tr>
      <w:tr w:rsidR="002D71BC" w:rsidRPr="00857F85" w14:paraId="4B7946EB" w14:textId="77777777" w:rsidTr="00BB0649">
        <w:tc>
          <w:tcPr>
            <w:tcW w:w="265" w:type="pct"/>
            <w:shd w:val="clear" w:color="auto" w:fill="auto"/>
          </w:tcPr>
          <w:p w14:paraId="009F0C3F" w14:textId="77777777" w:rsidR="002D71BC" w:rsidRPr="00857F85" w:rsidRDefault="002D71BC" w:rsidP="00BB0649">
            <w:pPr>
              <w:spacing w:after="0" w:line="240" w:lineRule="auto"/>
              <w:jc w:val="both"/>
              <w:rPr>
                <w:rFonts w:ascii="Times New Roman" w:hAnsi="Times New Roman"/>
                <w:sz w:val="20"/>
                <w:szCs w:val="20"/>
              </w:rPr>
            </w:pPr>
            <w:r w:rsidRPr="00857F85">
              <w:rPr>
                <w:rFonts w:ascii="Times New Roman" w:hAnsi="Times New Roman"/>
                <w:sz w:val="20"/>
                <w:szCs w:val="20"/>
              </w:rPr>
              <w:t>12.</w:t>
            </w:r>
          </w:p>
        </w:tc>
        <w:tc>
          <w:tcPr>
            <w:tcW w:w="1855" w:type="pct"/>
            <w:shd w:val="clear" w:color="auto" w:fill="auto"/>
          </w:tcPr>
          <w:p w14:paraId="70A570A0" w14:textId="77777777" w:rsidR="002D71BC" w:rsidRPr="00857F85" w:rsidRDefault="002D71BC" w:rsidP="00BB0649">
            <w:pPr>
              <w:spacing w:after="0" w:line="240" w:lineRule="auto"/>
              <w:jc w:val="both"/>
              <w:rPr>
                <w:rFonts w:ascii="Times New Roman" w:hAnsi="Times New Roman"/>
                <w:sz w:val="20"/>
                <w:szCs w:val="20"/>
              </w:rPr>
            </w:pPr>
            <w:proofErr w:type="spellStart"/>
            <w:r w:rsidRPr="00857F85">
              <w:rPr>
                <w:rFonts w:ascii="Times New Roman" w:hAnsi="Times New Roman"/>
                <w:sz w:val="20"/>
                <w:szCs w:val="20"/>
              </w:rPr>
              <w:t>Help</w:t>
            </w:r>
            <w:proofErr w:type="spellEnd"/>
            <w:r w:rsidRPr="00857F85">
              <w:rPr>
                <w:rFonts w:ascii="Times New Roman" w:hAnsi="Times New Roman"/>
                <w:sz w:val="20"/>
                <w:szCs w:val="20"/>
              </w:rPr>
              <w:t xml:space="preserve"> </w:t>
            </w:r>
            <w:proofErr w:type="spellStart"/>
            <w:r w:rsidRPr="00857F85">
              <w:rPr>
                <w:rFonts w:ascii="Times New Roman" w:hAnsi="Times New Roman"/>
                <w:sz w:val="20"/>
                <w:szCs w:val="20"/>
              </w:rPr>
              <w:t>with</w:t>
            </w:r>
            <w:proofErr w:type="spellEnd"/>
            <w:r w:rsidRPr="00857F85">
              <w:rPr>
                <w:rFonts w:ascii="Times New Roman" w:hAnsi="Times New Roman"/>
                <w:sz w:val="20"/>
                <w:szCs w:val="20"/>
              </w:rPr>
              <w:t xml:space="preserve"> </w:t>
            </w:r>
            <w:proofErr w:type="spellStart"/>
            <w:r w:rsidRPr="00857F85">
              <w:rPr>
                <w:rFonts w:ascii="Times New Roman" w:hAnsi="Times New Roman"/>
                <w:sz w:val="20"/>
                <w:szCs w:val="20"/>
              </w:rPr>
              <w:t>meal</w:t>
            </w:r>
            <w:proofErr w:type="spellEnd"/>
            <w:r w:rsidRPr="00857F85">
              <w:rPr>
                <w:rFonts w:ascii="Times New Roman" w:hAnsi="Times New Roman"/>
                <w:sz w:val="20"/>
                <w:szCs w:val="20"/>
              </w:rPr>
              <w:t xml:space="preserve"> </w:t>
            </w:r>
            <w:proofErr w:type="spellStart"/>
            <w:r w:rsidRPr="00857F85">
              <w:rPr>
                <w:rFonts w:ascii="Times New Roman" w:hAnsi="Times New Roman"/>
                <w:sz w:val="20"/>
                <w:szCs w:val="20"/>
              </w:rPr>
              <w:t>preparations</w:t>
            </w:r>
            <w:proofErr w:type="spellEnd"/>
          </w:p>
        </w:tc>
        <w:tc>
          <w:tcPr>
            <w:tcW w:w="985" w:type="pct"/>
            <w:shd w:val="clear" w:color="auto" w:fill="auto"/>
          </w:tcPr>
          <w:p w14:paraId="15DE9C9F" w14:textId="77777777" w:rsidR="002D71BC" w:rsidRPr="00857F85" w:rsidRDefault="002D71BC" w:rsidP="00BB0649">
            <w:pPr>
              <w:spacing w:after="0" w:line="240" w:lineRule="auto"/>
              <w:jc w:val="both"/>
              <w:rPr>
                <w:rFonts w:ascii="Times New Roman" w:hAnsi="Times New Roman"/>
                <w:sz w:val="20"/>
                <w:szCs w:val="20"/>
              </w:rPr>
            </w:pPr>
            <w:proofErr w:type="spellStart"/>
            <w:r w:rsidRPr="00857F85">
              <w:rPr>
                <w:rFonts w:ascii="Times New Roman" w:hAnsi="Times New Roman"/>
                <w:sz w:val="20"/>
                <w:szCs w:val="20"/>
              </w:rPr>
              <w:t>Same</w:t>
            </w:r>
            <w:proofErr w:type="spellEnd"/>
          </w:p>
        </w:tc>
        <w:tc>
          <w:tcPr>
            <w:tcW w:w="1895" w:type="pct"/>
            <w:shd w:val="clear" w:color="auto" w:fill="auto"/>
          </w:tcPr>
          <w:p w14:paraId="182B2D65" w14:textId="77777777" w:rsidR="002D71BC" w:rsidRPr="00857F85" w:rsidRDefault="002D71BC" w:rsidP="00BB0649">
            <w:pPr>
              <w:spacing w:after="0" w:line="240" w:lineRule="auto"/>
              <w:jc w:val="both"/>
              <w:rPr>
                <w:rFonts w:ascii="Times New Roman" w:hAnsi="Times New Roman"/>
                <w:sz w:val="20"/>
                <w:szCs w:val="20"/>
              </w:rPr>
            </w:pPr>
            <w:r w:rsidRPr="00857F85">
              <w:rPr>
                <w:rFonts w:ascii="Times New Roman" w:hAnsi="Times New Roman"/>
                <w:sz w:val="20"/>
                <w:szCs w:val="20"/>
              </w:rPr>
              <w:t>Yes =1, No =0</w:t>
            </w:r>
          </w:p>
        </w:tc>
      </w:tr>
      <w:tr w:rsidR="002D71BC" w:rsidRPr="00857F85" w14:paraId="5C0B0D27" w14:textId="77777777" w:rsidTr="00BB0649">
        <w:tc>
          <w:tcPr>
            <w:tcW w:w="265" w:type="pct"/>
            <w:shd w:val="clear" w:color="auto" w:fill="auto"/>
          </w:tcPr>
          <w:p w14:paraId="06A28D4D" w14:textId="77777777" w:rsidR="002D71BC" w:rsidRPr="00857F85" w:rsidRDefault="002D71BC" w:rsidP="00BB0649">
            <w:pPr>
              <w:spacing w:after="0" w:line="240" w:lineRule="auto"/>
              <w:jc w:val="both"/>
              <w:rPr>
                <w:rFonts w:ascii="Times New Roman" w:hAnsi="Times New Roman"/>
                <w:sz w:val="20"/>
                <w:szCs w:val="20"/>
              </w:rPr>
            </w:pPr>
            <w:r w:rsidRPr="00857F85">
              <w:rPr>
                <w:rFonts w:ascii="Times New Roman" w:hAnsi="Times New Roman"/>
                <w:sz w:val="20"/>
                <w:szCs w:val="20"/>
              </w:rPr>
              <w:t>13.</w:t>
            </w:r>
          </w:p>
        </w:tc>
        <w:tc>
          <w:tcPr>
            <w:tcW w:w="1855" w:type="pct"/>
            <w:shd w:val="clear" w:color="auto" w:fill="auto"/>
          </w:tcPr>
          <w:p w14:paraId="251373FA" w14:textId="77777777" w:rsidR="002D71BC" w:rsidRPr="00857F85" w:rsidRDefault="002D71BC" w:rsidP="00BB0649">
            <w:pPr>
              <w:spacing w:after="0" w:line="240" w:lineRule="auto"/>
              <w:jc w:val="both"/>
              <w:rPr>
                <w:rFonts w:ascii="Times New Roman" w:hAnsi="Times New Roman"/>
                <w:sz w:val="20"/>
                <w:szCs w:val="20"/>
              </w:rPr>
            </w:pPr>
            <w:proofErr w:type="spellStart"/>
            <w:r w:rsidRPr="00857F85">
              <w:rPr>
                <w:rFonts w:ascii="Times New Roman" w:hAnsi="Times New Roman"/>
                <w:sz w:val="20"/>
                <w:szCs w:val="20"/>
              </w:rPr>
              <w:t>Help</w:t>
            </w:r>
            <w:proofErr w:type="spellEnd"/>
            <w:r w:rsidRPr="00857F85">
              <w:rPr>
                <w:rFonts w:ascii="Times New Roman" w:hAnsi="Times New Roman"/>
                <w:sz w:val="20"/>
                <w:szCs w:val="20"/>
              </w:rPr>
              <w:t xml:space="preserve"> </w:t>
            </w:r>
            <w:proofErr w:type="spellStart"/>
            <w:r w:rsidRPr="00857F85">
              <w:rPr>
                <w:rFonts w:ascii="Times New Roman" w:hAnsi="Times New Roman"/>
                <w:sz w:val="20"/>
                <w:szCs w:val="20"/>
              </w:rPr>
              <w:t>taking</w:t>
            </w:r>
            <w:proofErr w:type="spellEnd"/>
            <w:r w:rsidRPr="00857F85">
              <w:rPr>
                <w:rFonts w:ascii="Times New Roman" w:hAnsi="Times New Roman"/>
                <w:sz w:val="20"/>
                <w:szCs w:val="20"/>
              </w:rPr>
              <w:t xml:space="preserve"> </w:t>
            </w:r>
            <w:proofErr w:type="spellStart"/>
            <w:r w:rsidRPr="00857F85">
              <w:rPr>
                <w:rFonts w:ascii="Times New Roman" w:hAnsi="Times New Roman"/>
                <w:sz w:val="20"/>
                <w:szCs w:val="20"/>
              </w:rPr>
              <w:t>medication</w:t>
            </w:r>
            <w:proofErr w:type="spellEnd"/>
          </w:p>
        </w:tc>
        <w:tc>
          <w:tcPr>
            <w:tcW w:w="985" w:type="pct"/>
            <w:shd w:val="clear" w:color="auto" w:fill="auto"/>
          </w:tcPr>
          <w:p w14:paraId="76550FB7" w14:textId="77777777" w:rsidR="002D71BC" w:rsidRPr="00857F85" w:rsidRDefault="002D71BC" w:rsidP="00BB0649">
            <w:pPr>
              <w:spacing w:after="0" w:line="240" w:lineRule="auto"/>
              <w:jc w:val="both"/>
              <w:rPr>
                <w:rFonts w:ascii="Times New Roman" w:hAnsi="Times New Roman"/>
                <w:sz w:val="20"/>
                <w:szCs w:val="20"/>
              </w:rPr>
            </w:pPr>
            <w:proofErr w:type="spellStart"/>
            <w:r w:rsidRPr="00857F85">
              <w:rPr>
                <w:rFonts w:ascii="Times New Roman" w:hAnsi="Times New Roman"/>
                <w:sz w:val="20"/>
                <w:szCs w:val="20"/>
              </w:rPr>
              <w:t>Same</w:t>
            </w:r>
            <w:proofErr w:type="spellEnd"/>
          </w:p>
        </w:tc>
        <w:tc>
          <w:tcPr>
            <w:tcW w:w="1895" w:type="pct"/>
            <w:shd w:val="clear" w:color="auto" w:fill="auto"/>
          </w:tcPr>
          <w:p w14:paraId="3848CDC7" w14:textId="77777777" w:rsidR="002D71BC" w:rsidRPr="00857F85" w:rsidRDefault="002D71BC" w:rsidP="00BB0649">
            <w:pPr>
              <w:spacing w:after="0" w:line="240" w:lineRule="auto"/>
              <w:jc w:val="both"/>
              <w:rPr>
                <w:rFonts w:ascii="Times New Roman" w:hAnsi="Times New Roman"/>
                <w:sz w:val="20"/>
                <w:szCs w:val="20"/>
              </w:rPr>
            </w:pPr>
            <w:r w:rsidRPr="00857F85">
              <w:rPr>
                <w:rFonts w:ascii="Times New Roman" w:hAnsi="Times New Roman"/>
                <w:sz w:val="20"/>
                <w:szCs w:val="20"/>
              </w:rPr>
              <w:t>Yes =1, No =0</w:t>
            </w:r>
          </w:p>
        </w:tc>
      </w:tr>
      <w:tr w:rsidR="002D71BC" w:rsidRPr="00857F85" w14:paraId="223AAB7F" w14:textId="77777777" w:rsidTr="00BB0649">
        <w:tc>
          <w:tcPr>
            <w:tcW w:w="265" w:type="pct"/>
            <w:shd w:val="clear" w:color="auto" w:fill="auto"/>
          </w:tcPr>
          <w:p w14:paraId="2F048469" w14:textId="77777777" w:rsidR="002D71BC" w:rsidRPr="00857F85" w:rsidRDefault="002D71BC" w:rsidP="00BB0649">
            <w:pPr>
              <w:spacing w:after="0" w:line="240" w:lineRule="auto"/>
              <w:jc w:val="both"/>
              <w:rPr>
                <w:rFonts w:ascii="Times New Roman" w:hAnsi="Times New Roman"/>
                <w:sz w:val="20"/>
                <w:szCs w:val="20"/>
              </w:rPr>
            </w:pPr>
            <w:r w:rsidRPr="00857F85">
              <w:rPr>
                <w:rFonts w:ascii="Times New Roman" w:hAnsi="Times New Roman"/>
                <w:sz w:val="20"/>
                <w:szCs w:val="20"/>
              </w:rPr>
              <w:t>14.</w:t>
            </w:r>
          </w:p>
        </w:tc>
        <w:tc>
          <w:tcPr>
            <w:tcW w:w="1855" w:type="pct"/>
            <w:shd w:val="clear" w:color="auto" w:fill="auto"/>
          </w:tcPr>
          <w:p w14:paraId="5B58718E" w14:textId="77777777" w:rsidR="002D71BC" w:rsidRPr="00857F85" w:rsidRDefault="002D71BC" w:rsidP="00BB0649">
            <w:pPr>
              <w:spacing w:after="0" w:line="240" w:lineRule="auto"/>
              <w:jc w:val="both"/>
              <w:rPr>
                <w:rFonts w:ascii="Times New Roman" w:hAnsi="Times New Roman"/>
                <w:sz w:val="20"/>
                <w:szCs w:val="20"/>
              </w:rPr>
            </w:pPr>
            <w:proofErr w:type="spellStart"/>
            <w:r w:rsidRPr="00857F85">
              <w:rPr>
                <w:rFonts w:ascii="Times New Roman" w:hAnsi="Times New Roman"/>
                <w:sz w:val="20"/>
                <w:szCs w:val="20"/>
              </w:rPr>
              <w:t>Help</w:t>
            </w:r>
            <w:proofErr w:type="spellEnd"/>
            <w:r w:rsidRPr="00857F85">
              <w:rPr>
                <w:rFonts w:ascii="Times New Roman" w:hAnsi="Times New Roman"/>
                <w:sz w:val="20"/>
                <w:szCs w:val="20"/>
              </w:rPr>
              <w:t xml:space="preserve"> </w:t>
            </w:r>
            <w:proofErr w:type="spellStart"/>
            <w:r w:rsidRPr="00857F85">
              <w:rPr>
                <w:rFonts w:ascii="Times New Roman" w:hAnsi="Times New Roman"/>
                <w:sz w:val="20"/>
                <w:szCs w:val="20"/>
              </w:rPr>
              <w:t>with</w:t>
            </w:r>
            <w:proofErr w:type="spellEnd"/>
            <w:r w:rsidRPr="00857F85">
              <w:rPr>
                <w:rFonts w:ascii="Times New Roman" w:hAnsi="Times New Roman"/>
                <w:sz w:val="20"/>
                <w:szCs w:val="20"/>
              </w:rPr>
              <w:t xml:space="preserve"> </w:t>
            </w:r>
            <w:proofErr w:type="spellStart"/>
            <w:r w:rsidRPr="00857F85">
              <w:rPr>
                <w:rFonts w:ascii="Times New Roman" w:hAnsi="Times New Roman"/>
                <w:sz w:val="20"/>
                <w:szCs w:val="20"/>
              </w:rPr>
              <w:t>finances</w:t>
            </w:r>
            <w:proofErr w:type="spellEnd"/>
          </w:p>
        </w:tc>
        <w:tc>
          <w:tcPr>
            <w:tcW w:w="985" w:type="pct"/>
            <w:shd w:val="clear" w:color="auto" w:fill="auto"/>
          </w:tcPr>
          <w:p w14:paraId="6B094460" w14:textId="77777777" w:rsidR="002D71BC" w:rsidRPr="00857F85" w:rsidRDefault="002D71BC" w:rsidP="00BB0649">
            <w:pPr>
              <w:spacing w:after="0" w:line="240" w:lineRule="auto"/>
              <w:jc w:val="both"/>
              <w:rPr>
                <w:rFonts w:ascii="Times New Roman" w:hAnsi="Times New Roman"/>
                <w:sz w:val="20"/>
                <w:szCs w:val="20"/>
              </w:rPr>
            </w:pPr>
            <w:proofErr w:type="spellStart"/>
            <w:r w:rsidRPr="00857F85">
              <w:rPr>
                <w:rFonts w:ascii="Times New Roman" w:hAnsi="Times New Roman"/>
                <w:sz w:val="20"/>
                <w:szCs w:val="20"/>
              </w:rPr>
              <w:t>Same</w:t>
            </w:r>
            <w:proofErr w:type="spellEnd"/>
          </w:p>
        </w:tc>
        <w:tc>
          <w:tcPr>
            <w:tcW w:w="1895" w:type="pct"/>
            <w:shd w:val="clear" w:color="auto" w:fill="auto"/>
          </w:tcPr>
          <w:p w14:paraId="5D911760" w14:textId="77777777" w:rsidR="002D71BC" w:rsidRPr="00857F85" w:rsidRDefault="002D71BC" w:rsidP="00BB0649">
            <w:pPr>
              <w:spacing w:after="0" w:line="240" w:lineRule="auto"/>
              <w:jc w:val="both"/>
              <w:rPr>
                <w:rFonts w:ascii="Times New Roman" w:hAnsi="Times New Roman"/>
                <w:sz w:val="20"/>
                <w:szCs w:val="20"/>
              </w:rPr>
            </w:pPr>
            <w:r w:rsidRPr="00857F85">
              <w:rPr>
                <w:rFonts w:ascii="Times New Roman" w:hAnsi="Times New Roman"/>
                <w:sz w:val="20"/>
                <w:szCs w:val="20"/>
              </w:rPr>
              <w:t>Yes =1, No =0</w:t>
            </w:r>
          </w:p>
        </w:tc>
      </w:tr>
      <w:tr w:rsidR="002D71BC" w:rsidRPr="00857F85" w14:paraId="53DBCCB9" w14:textId="77777777" w:rsidTr="00BB0649">
        <w:tc>
          <w:tcPr>
            <w:tcW w:w="265" w:type="pct"/>
            <w:shd w:val="clear" w:color="auto" w:fill="auto"/>
          </w:tcPr>
          <w:p w14:paraId="3FD1F703" w14:textId="77777777" w:rsidR="002D71BC" w:rsidRPr="00857F85" w:rsidRDefault="002D71BC" w:rsidP="00BB0649">
            <w:pPr>
              <w:spacing w:after="0" w:line="240" w:lineRule="auto"/>
              <w:jc w:val="both"/>
              <w:rPr>
                <w:rFonts w:ascii="Times New Roman" w:hAnsi="Times New Roman"/>
                <w:sz w:val="20"/>
                <w:szCs w:val="20"/>
                <w:lang w:val="en-GB"/>
              </w:rPr>
            </w:pPr>
            <w:r w:rsidRPr="00857F85">
              <w:rPr>
                <w:rFonts w:ascii="Times New Roman" w:hAnsi="Times New Roman"/>
                <w:sz w:val="20"/>
                <w:szCs w:val="20"/>
                <w:lang w:val="en-GB"/>
              </w:rPr>
              <w:t>15.</w:t>
            </w:r>
          </w:p>
        </w:tc>
        <w:tc>
          <w:tcPr>
            <w:tcW w:w="1855" w:type="pct"/>
            <w:shd w:val="clear" w:color="auto" w:fill="auto"/>
          </w:tcPr>
          <w:p w14:paraId="74FDF9B1" w14:textId="77777777" w:rsidR="002D71BC" w:rsidRPr="00857F85" w:rsidRDefault="002D71BC" w:rsidP="00BB0649">
            <w:pPr>
              <w:spacing w:after="0" w:line="240" w:lineRule="auto"/>
              <w:jc w:val="both"/>
              <w:rPr>
                <w:rFonts w:ascii="Times New Roman" w:hAnsi="Times New Roman"/>
                <w:sz w:val="20"/>
                <w:szCs w:val="20"/>
                <w:lang w:val="en-GB"/>
              </w:rPr>
            </w:pPr>
            <w:r w:rsidRPr="00857F85">
              <w:rPr>
                <w:rFonts w:ascii="Times New Roman" w:hAnsi="Times New Roman"/>
                <w:sz w:val="20"/>
                <w:szCs w:val="20"/>
                <w:lang w:val="en-GB"/>
              </w:rPr>
              <w:t>Lost more than 10 lbs in the last year</w:t>
            </w:r>
          </w:p>
        </w:tc>
        <w:tc>
          <w:tcPr>
            <w:tcW w:w="985" w:type="pct"/>
            <w:shd w:val="clear" w:color="auto" w:fill="auto"/>
          </w:tcPr>
          <w:p w14:paraId="4E60DFB4" w14:textId="77777777" w:rsidR="002D71BC" w:rsidRPr="00857F85" w:rsidRDefault="002D71BC" w:rsidP="00BB0649">
            <w:pPr>
              <w:spacing w:after="0" w:line="240" w:lineRule="auto"/>
              <w:jc w:val="both"/>
              <w:rPr>
                <w:rFonts w:ascii="Times New Roman" w:hAnsi="Times New Roman"/>
                <w:sz w:val="20"/>
                <w:szCs w:val="20"/>
                <w:lang w:val="en-GB"/>
              </w:rPr>
            </w:pPr>
            <w:proofErr w:type="spellStart"/>
            <w:r w:rsidRPr="00857F85">
              <w:rPr>
                <w:rFonts w:ascii="Times New Roman" w:hAnsi="Times New Roman"/>
                <w:sz w:val="20"/>
                <w:szCs w:val="20"/>
              </w:rPr>
              <w:t>Same</w:t>
            </w:r>
            <w:proofErr w:type="spellEnd"/>
          </w:p>
        </w:tc>
        <w:tc>
          <w:tcPr>
            <w:tcW w:w="1895" w:type="pct"/>
            <w:shd w:val="clear" w:color="auto" w:fill="auto"/>
          </w:tcPr>
          <w:p w14:paraId="7572E583" w14:textId="77777777" w:rsidR="002D71BC" w:rsidRPr="00857F85" w:rsidRDefault="002D71BC" w:rsidP="00BB0649">
            <w:pPr>
              <w:spacing w:after="0" w:line="240" w:lineRule="auto"/>
              <w:jc w:val="both"/>
              <w:rPr>
                <w:rFonts w:ascii="Times New Roman" w:hAnsi="Times New Roman"/>
                <w:sz w:val="20"/>
                <w:szCs w:val="20"/>
                <w:lang w:val="en-GB"/>
              </w:rPr>
            </w:pPr>
            <w:r w:rsidRPr="00857F85">
              <w:rPr>
                <w:rFonts w:ascii="Times New Roman" w:hAnsi="Times New Roman"/>
                <w:sz w:val="20"/>
                <w:szCs w:val="20"/>
              </w:rPr>
              <w:t>Yes =1, No =0</w:t>
            </w:r>
          </w:p>
        </w:tc>
      </w:tr>
      <w:tr w:rsidR="002D71BC" w:rsidRPr="00F358E1" w14:paraId="648BB241" w14:textId="77777777" w:rsidTr="00BB0649">
        <w:tc>
          <w:tcPr>
            <w:tcW w:w="265" w:type="pct"/>
            <w:shd w:val="clear" w:color="auto" w:fill="auto"/>
          </w:tcPr>
          <w:p w14:paraId="3249B20B" w14:textId="77777777" w:rsidR="002D71BC" w:rsidRPr="00857F85" w:rsidRDefault="002D71BC" w:rsidP="00BB0649">
            <w:pPr>
              <w:spacing w:after="0" w:line="240" w:lineRule="auto"/>
              <w:jc w:val="both"/>
              <w:rPr>
                <w:rFonts w:ascii="Times New Roman" w:hAnsi="Times New Roman"/>
                <w:sz w:val="20"/>
                <w:szCs w:val="20"/>
                <w:lang w:val="en-GB"/>
              </w:rPr>
            </w:pPr>
            <w:r w:rsidRPr="00857F85">
              <w:rPr>
                <w:rFonts w:ascii="Times New Roman" w:hAnsi="Times New Roman"/>
                <w:sz w:val="20"/>
                <w:szCs w:val="20"/>
                <w:lang w:val="en-GB"/>
              </w:rPr>
              <w:t>16.</w:t>
            </w:r>
          </w:p>
        </w:tc>
        <w:tc>
          <w:tcPr>
            <w:tcW w:w="1855" w:type="pct"/>
            <w:shd w:val="clear" w:color="auto" w:fill="auto"/>
          </w:tcPr>
          <w:p w14:paraId="50402BDC" w14:textId="77777777" w:rsidR="002D71BC" w:rsidRPr="00857F85" w:rsidRDefault="002D71BC" w:rsidP="00BB0649">
            <w:pPr>
              <w:spacing w:after="0" w:line="240" w:lineRule="auto"/>
              <w:jc w:val="both"/>
              <w:rPr>
                <w:rFonts w:ascii="Times New Roman" w:hAnsi="Times New Roman"/>
                <w:sz w:val="20"/>
                <w:szCs w:val="20"/>
                <w:lang w:val="en-GB"/>
              </w:rPr>
            </w:pPr>
            <w:proofErr w:type="spellStart"/>
            <w:r w:rsidRPr="00857F85">
              <w:rPr>
                <w:rFonts w:ascii="Times New Roman" w:hAnsi="Times New Roman"/>
                <w:sz w:val="20"/>
                <w:szCs w:val="20"/>
                <w:lang w:val="en-GB"/>
              </w:rPr>
              <w:t>Selfrating</w:t>
            </w:r>
            <w:proofErr w:type="spellEnd"/>
            <w:r w:rsidRPr="00857F85">
              <w:rPr>
                <w:rFonts w:ascii="Times New Roman" w:hAnsi="Times New Roman"/>
                <w:sz w:val="20"/>
                <w:szCs w:val="20"/>
                <w:lang w:val="en-GB"/>
              </w:rPr>
              <w:t xml:space="preserve"> of health </w:t>
            </w:r>
          </w:p>
        </w:tc>
        <w:tc>
          <w:tcPr>
            <w:tcW w:w="985" w:type="pct"/>
            <w:shd w:val="clear" w:color="auto" w:fill="auto"/>
          </w:tcPr>
          <w:p w14:paraId="48DF64EC" w14:textId="77777777" w:rsidR="002D71BC" w:rsidRPr="00857F85" w:rsidRDefault="002D71BC" w:rsidP="00BB0649">
            <w:pPr>
              <w:spacing w:after="0" w:line="240" w:lineRule="auto"/>
              <w:jc w:val="both"/>
              <w:rPr>
                <w:rFonts w:ascii="Times New Roman" w:hAnsi="Times New Roman"/>
                <w:sz w:val="20"/>
                <w:szCs w:val="20"/>
                <w:lang w:val="en-GB"/>
              </w:rPr>
            </w:pPr>
            <w:proofErr w:type="spellStart"/>
            <w:r w:rsidRPr="00857F85">
              <w:rPr>
                <w:rFonts w:ascii="Times New Roman" w:hAnsi="Times New Roman"/>
                <w:sz w:val="20"/>
                <w:szCs w:val="20"/>
              </w:rPr>
              <w:t>Same</w:t>
            </w:r>
            <w:proofErr w:type="spellEnd"/>
          </w:p>
        </w:tc>
        <w:tc>
          <w:tcPr>
            <w:tcW w:w="1895" w:type="pct"/>
            <w:shd w:val="clear" w:color="auto" w:fill="auto"/>
          </w:tcPr>
          <w:p w14:paraId="3D2F8EF2" w14:textId="77777777" w:rsidR="002D71BC" w:rsidRPr="00857F85" w:rsidRDefault="002D71BC" w:rsidP="00BB0649">
            <w:pPr>
              <w:spacing w:after="0" w:line="240" w:lineRule="auto"/>
              <w:jc w:val="both"/>
              <w:rPr>
                <w:rFonts w:ascii="Times New Roman" w:hAnsi="Times New Roman"/>
                <w:sz w:val="20"/>
                <w:szCs w:val="20"/>
                <w:lang w:val="en-GB"/>
              </w:rPr>
            </w:pPr>
            <w:r w:rsidRPr="00857F85">
              <w:rPr>
                <w:rFonts w:ascii="Times New Roman" w:hAnsi="Times New Roman"/>
                <w:sz w:val="20"/>
                <w:szCs w:val="20"/>
                <w:lang w:val="en-GB"/>
              </w:rPr>
              <w:t>Very poor =1, Poor =0.75, Regular =0.5, Good =0.25, Very good =0</w:t>
            </w:r>
          </w:p>
        </w:tc>
      </w:tr>
      <w:tr w:rsidR="002D71BC" w:rsidRPr="00F358E1" w14:paraId="10E3E08E" w14:textId="77777777" w:rsidTr="00BB0649">
        <w:tc>
          <w:tcPr>
            <w:tcW w:w="265" w:type="pct"/>
            <w:shd w:val="clear" w:color="auto" w:fill="auto"/>
          </w:tcPr>
          <w:p w14:paraId="5E42475F" w14:textId="77777777" w:rsidR="002D71BC" w:rsidRPr="00857F85" w:rsidRDefault="002D71BC" w:rsidP="00BB0649">
            <w:pPr>
              <w:spacing w:after="0" w:line="240" w:lineRule="auto"/>
              <w:jc w:val="both"/>
              <w:rPr>
                <w:rFonts w:ascii="Times New Roman" w:hAnsi="Times New Roman"/>
                <w:sz w:val="20"/>
                <w:szCs w:val="20"/>
                <w:lang w:val="en-GB"/>
              </w:rPr>
            </w:pPr>
            <w:r w:rsidRPr="00857F85">
              <w:rPr>
                <w:rFonts w:ascii="Times New Roman" w:hAnsi="Times New Roman"/>
                <w:sz w:val="20"/>
                <w:szCs w:val="20"/>
                <w:lang w:val="en-GB"/>
              </w:rPr>
              <w:t>17.</w:t>
            </w:r>
          </w:p>
        </w:tc>
        <w:tc>
          <w:tcPr>
            <w:tcW w:w="1855" w:type="pct"/>
            <w:shd w:val="clear" w:color="auto" w:fill="auto"/>
          </w:tcPr>
          <w:p w14:paraId="2FB8E699" w14:textId="77777777" w:rsidR="002D71BC" w:rsidRPr="00857F85" w:rsidRDefault="002D71BC" w:rsidP="00BB0649">
            <w:pPr>
              <w:spacing w:after="0" w:line="240" w:lineRule="auto"/>
              <w:jc w:val="both"/>
              <w:rPr>
                <w:rFonts w:ascii="Times New Roman" w:hAnsi="Times New Roman"/>
                <w:sz w:val="20"/>
                <w:szCs w:val="20"/>
                <w:lang w:val="en-GB"/>
              </w:rPr>
            </w:pPr>
            <w:r w:rsidRPr="00857F85">
              <w:rPr>
                <w:rFonts w:ascii="Times New Roman" w:hAnsi="Times New Roman"/>
                <w:sz w:val="20"/>
                <w:szCs w:val="20"/>
                <w:lang w:val="en-GB"/>
              </w:rPr>
              <w:t>How health has changed in last year</w:t>
            </w:r>
          </w:p>
        </w:tc>
        <w:tc>
          <w:tcPr>
            <w:tcW w:w="985" w:type="pct"/>
            <w:shd w:val="clear" w:color="auto" w:fill="auto"/>
          </w:tcPr>
          <w:p w14:paraId="63734250" w14:textId="77777777" w:rsidR="002D71BC" w:rsidRPr="00857F85" w:rsidRDefault="002D71BC" w:rsidP="00BB0649">
            <w:pPr>
              <w:spacing w:after="0" w:line="240" w:lineRule="auto"/>
              <w:jc w:val="both"/>
              <w:rPr>
                <w:rFonts w:ascii="Times New Roman" w:hAnsi="Times New Roman"/>
                <w:sz w:val="20"/>
                <w:szCs w:val="20"/>
                <w:lang w:val="en-GB"/>
              </w:rPr>
            </w:pPr>
            <w:proofErr w:type="spellStart"/>
            <w:r w:rsidRPr="00857F85">
              <w:rPr>
                <w:rFonts w:ascii="Times New Roman" w:hAnsi="Times New Roman"/>
                <w:sz w:val="20"/>
                <w:szCs w:val="20"/>
              </w:rPr>
              <w:t>Same</w:t>
            </w:r>
            <w:proofErr w:type="spellEnd"/>
          </w:p>
        </w:tc>
        <w:tc>
          <w:tcPr>
            <w:tcW w:w="1895" w:type="pct"/>
            <w:shd w:val="clear" w:color="auto" w:fill="auto"/>
          </w:tcPr>
          <w:p w14:paraId="57C3E2E2" w14:textId="77777777" w:rsidR="002D71BC" w:rsidRPr="00857F85" w:rsidRDefault="002D71BC" w:rsidP="00BB0649">
            <w:pPr>
              <w:spacing w:after="0" w:line="240" w:lineRule="auto"/>
              <w:jc w:val="both"/>
              <w:rPr>
                <w:rFonts w:ascii="Times New Roman" w:hAnsi="Times New Roman"/>
                <w:sz w:val="20"/>
                <w:szCs w:val="20"/>
                <w:lang w:val="en-GB"/>
              </w:rPr>
            </w:pPr>
            <w:r w:rsidRPr="00857F85">
              <w:rPr>
                <w:rFonts w:ascii="Times New Roman" w:hAnsi="Times New Roman"/>
                <w:sz w:val="20"/>
                <w:szCs w:val="20"/>
                <w:lang w:val="en-GB"/>
              </w:rPr>
              <w:t>Much better =0, Better =0, Same =0, Worse =1, Much worse =1</w:t>
            </w:r>
          </w:p>
        </w:tc>
      </w:tr>
      <w:tr w:rsidR="002D71BC" w:rsidRPr="00F358E1" w14:paraId="57254406" w14:textId="77777777" w:rsidTr="00BB0649">
        <w:tc>
          <w:tcPr>
            <w:tcW w:w="265" w:type="pct"/>
            <w:shd w:val="clear" w:color="auto" w:fill="auto"/>
          </w:tcPr>
          <w:p w14:paraId="112A6302" w14:textId="77777777" w:rsidR="002D71BC" w:rsidRPr="00857F85" w:rsidRDefault="002D71BC" w:rsidP="00BB0649">
            <w:pPr>
              <w:spacing w:after="0" w:line="240" w:lineRule="auto"/>
              <w:jc w:val="both"/>
              <w:rPr>
                <w:rFonts w:ascii="Times New Roman" w:hAnsi="Times New Roman"/>
                <w:sz w:val="20"/>
                <w:szCs w:val="20"/>
                <w:lang w:val="en-GB"/>
              </w:rPr>
            </w:pPr>
            <w:r w:rsidRPr="00857F85">
              <w:rPr>
                <w:rFonts w:ascii="Times New Roman" w:hAnsi="Times New Roman"/>
                <w:sz w:val="20"/>
                <w:szCs w:val="20"/>
                <w:lang w:val="en-GB"/>
              </w:rPr>
              <w:t>18.</w:t>
            </w:r>
          </w:p>
        </w:tc>
        <w:tc>
          <w:tcPr>
            <w:tcW w:w="1855" w:type="pct"/>
            <w:shd w:val="clear" w:color="auto" w:fill="auto"/>
          </w:tcPr>
          <w:p w14:paraId="2224F8C7" w14:textId="77777777" w:rsidR="002D71BC" w:rsidRPr="00857F85" w:rsidRDefault="002D71BC" w:rsidP="00BB0649">
            <w:pPr>
              <w:spacing w:after="0" w:line="240" w:lineRule="auto"/>
              <w:jc w:val="both"/>
              <w:rPr>
                <w:rFonts w:ascii="Times New Roman" w:hAnsi="Times New Roman"/>
                <w:sz w:val="20"/>
                <w:szCs w:val="20"/>
                <w:lang w:val="en-GB"/>
              </w:rPr>
            </w:pPr>
            <w:r w:rsidRPr="00857F85">
              <w:rPr>
                <w:rFonts w:ascii="Times New Roman" w:hAnsi="Times New Roman"/>
                <w:sz w:val="20"/>
                <w:szCs w:val="20"/>
                <w:lang w:val="en-GB"/>
              </w:rPr>
              <w:t>Stayed in bed at least half the day due to health (in las month)</w:t>
            </w:r>
          </w:p>
        </w:tc>
        <w:tc>
          <w:tcPr>
            <w:tcW w:w="985" w:type="pct"/>
            <w:shd w:val="clear" w:color="auto" w:fill="auto"/>
          </w:tcPr>
          <w:p w14:paraId="7F68B4D8" w14:textId="77777777" w:rsidR="002D71BC" w:rsidRPr="00857F85" w:rsidRDefault="002D71BC" w:rsidP="00BB0649">
            <w:pPr>
              <w:spacing w:after="0" w:line="240" w:lineRule="auto"/>
              <w:jc w:val="both"/>
              <w:rPr>
                <w:rFonts w:ascii="Times New Roman" w:hAnsi="Times New Roman"/>
                <w:sz w:val="20"/>
                <w:szCs w:val="20"/>
                <w:lang w:val="en-GB"/>
              </w:rPr>
            </w:pPr>
            <w:r w:rsidRPr="00857F85">
              <w:rPr>
                <w:rFonts w:ascii="Times New Roman" w:hAnsi="Times New Roman"/>
                <w:sz w:val="20"/>
                <w:szCs w:val="20"/>
                <w:lang w:val="en-GB"/>
              </w:rPr>
              <w:t xml:space="preserve">During the past moth how often have </w:t>
            </w:r>
            <w:proofErr w:type="spellStart"/>
            <w:r w:rsidRPr="00857F85">
              <w:rPr>
                <w:rFonts w:ascii="Times New Roman" w:hAnsi="Times New Roman"/>
                <w:sz w:val="20"/>
                <w:szCs w:val="20"/>
                <w:lang w:val="en-GB"/>
              </w:rPr>
              <w:t>yo</w:t>
            </w:r>
            <w:proofErr w:type="spellEnd"/>
            <w:r w:rsidRPr="00857F85">
              <w:rPr>
                <w:rFonts w:ascii="Times New Roman" w:hAnsi="Times New Roman"/>
                <w:sz w:val="20"/>
                <w:szCs w:val="20"/>
                <w:lang w:val="en-GB"/>
              </w:rPr>
              <w:t xml:space="preserve"> gone or has visited the doctor for being</w:t>
            </w:r>
          </w:p>
        </w:tc>
        <w:tc>
          <w:tcPr>
            <w:tcW w:w="1895" w:type="pct"/>
            <w:shd w:val="clear" w:color="auto" w:fill="auto"/>
          </w:tcPr>
          <w:p w14:paraId="6EEEB867" w14:textId="77777777" w:rsidR="002D71BC" w:rsidRPr="00857F85" w:rsidRDefault="002D71BC" w:rsidP="00BB0649">
            <w:pPr>
              <w:spacing w:after="0" w:line="240" w:lineRule="auto"/>
              <w:jc w:val="both"/>
              <w:rPr>
                <w:rFonts w:ascii="Times New Roman" w:hAnsi="Times New Roman"/>
                <w:sz w:val="20"/>
                <w:szCs w:val="20"/>
                <w:lang w:val="en-GB"/>
              </w:rPr>
            </w:pPr>
            <w:r w:rsidRPr="00857F85">
              <w:rPr>
                <w:rFonts w:ascii="Times New Roman" w:hAnsi="Times New Roman"/>
                <w:sz w:val="20"/>
                <w:szCs w:val="20"/>
                <w:lang w:val="en-GB"/>
              </w:rPr>
              <w:t>Any time =0, Once =0.5, Twice or more =1</w:t>
            </w:r>
          </w:p>
        </w:tc>
      </w:tr>
      <w:tr w:rsidR="002D71BC" w:rsidRPr="00857F85" w14:paraId="6BFE5310" w14:textId="77777777" w:rsidTr="00BB0649">
        <w:tc>
          <w:tcPr>
            <w:tcW w:w="265" w:type="pct"/>
            <w:shd w:val="clear" w:color="auto" w:fill="auto"/>
          </w:tcPr>
          <w:p w14:paraId="4BAF76B7" w14:textId="77777777" w:rsidR="002D71BC" w:rsidRPr="00857F85" w:rsidRDefault="002D71BC" w:rsidP="00BB0649">
            <w:pPr>
              <w:spacing w:after="0" w:line="240" w:lineRule="auto"/>
              <w:jc w:val="both"/>
              <w:rPr>
                <w:rFonts w:ascii="Times New Roman" w:hAnsi="Times New Roman"/>
                <w:sz w:val="20"/>
                <w:szCs w:val="20"/>
                <w:lang w:val="en-GB"/>
              </w:rPr>
            </w:pPr>
            <w:r w:rsidRPr="00857F85">
              <w:rPr>
                <w:rFonts w:ascii="Times New Roman" w:hAnsi="Times New Roman"/>
                <w:sz w:val="20"/>
                <w:szCs w:val="20"/>
                <w:lang w:val="en-GB"/>
              </w:rPr>
              <w:t>19.</w:t>
            </w:r>
          </w:p>
        </w:tc>
        <w:tc>
          <w:tcPr>
            <w:tcW w:w="1855" w:type="pct"/>
            <w:shd w:val="clear" w:color="auto" w:fill="auto"/>
          </w:tcPr>
          <w:p w14:paraId="256A30D6" w14:textId="77777777" w:rsidR="002D71BC" w:rsidRPr="00857F85" w:rsidRDefault="002D71BC" w:rsidP="00BB0649">
            <w:pPr>
              <w:spacing w:after="0" w:line="240" w:lineRule="auto"/>
              <w:jc w:val="both"/>
              <w:rPr>
                <w:rFonts w:ascii="Times New Roman" w:hAnsi="Times New Roman"/>
                <w:sz w:val="20"/>
                <w:szCs w:val="20"/>
                <w:lang w:val="en-GB"/>
              </w:rPr>
            </w:pPr>
            <w:r w:rsidRPr="00857F85">
              <w:rPr>
                <w:rFonts w:ascii="Times New Roman" w:hAnsi="Times New Roman"/>
                <w:sz w:val="20"/>
                <w:szCs w:val="20"/>
                <w:lang w:val="en-GB"/>
              </w:rPr>
              <w:t>Cut down on usual activity (in the last month): Activity. Worst quintile of PASE</w:t>
            </w:r>
          </w:p>
        </w:tc>
        <w:tc>
          <w:tcPr>
            <w:tcW w:w="985" w:type="pct"/>
            <w:shd w:val="clear" w:color="auto" w:fill="auto"/>
          </w:tcPr>
          <w:p w14:paraId="75E039DC" w14:textId="77777777" w:rsidR="002D71BC" w:rsidRPr="00857F85" w:rsidRDefault="002D71BC" w:rsidP="00BB0649">
            <w:pPr>
              <w:spacing w:after="0" w:line="240" w:lineRule="auto"/>
              <w:jc w:val="both"/>
              <w:rPr>
                <w:rFonts w:ascii="Times New Roman" w:hAnsi="Times New Roman"/>
                <w:sz w:val="20"/>
                <w:szCs w:val="20"/>
                <w:lang w:val="en-GB"/>
              </w:rPr>
            </w:pPr>
            <w:r w:rsidRPr="00857F85">
              <w:rPr>
                <w:rFonts w:ascii="Times New Roman" w:hAnsi="Times New Roman"/>
                <w:sz w:val="20"/>
                <w:szCs w:val="20"/>
                <w:lang w:val="en-GB"/>
              </w:rPr>
              <w:t>Activity (Physical Activity Scale for the Elderly, PASE)</w:t>
            </w:r>
          </w:p>
        </w:tc>
        <w:tc>
          <w:tcPr>
            <w:tcW w:w="1895" w:type="pct"/>
            <w:shd w:val="clear" w:color="auto" w:fill="auto"/>
          </w:tcPr>
          <w:p w14:paraId="3618AF00" w14:textId="77777777" w:rsidR="002D71BC" w:rsidRPr="00857F85" w:rsidRDefault="002D71BC" w:rsidP="00BB0649">
            <w:pPr>
              <w:spacing w:after="0" w:line="240" w:lineRule="auto"/>
              <w:jc w:val="both"/>
              <w:rPr>
                <w:rFonts w:ascii="Times New Roman" w:hAnsi="Times New Roman"/>
                <w:sz w:val="20"/>
                <w:szCs w:val="20"/>
                <w:lang w:val="en-GB"/>
              </w:rPr>
            </w:pPr>
            <w:r w:rsidRPr="00857F85">
              <w:rPr>
                <w:rFonts w:ascii="Times New Roman" w:hAnsi="Times New Roman"/>
                <w:sz w:val="20"/>
                <w:szCs w:val="20"/>
                <w:lang w:val="en-GB"/>
              </w:rPr>
              <w:t>Worst quintile =1, Rest =0</w:t>
            </w:r>
          </w:p>
        </w:tc>
      </w:tr>
      <w:tr w:rsidR="002D71BC" w:rsidRPr="00F358E1" w14:paraId="7E2554A2" w14:textId="77777777" w:rsidTr="00BB0649">
        <w:tc>
          <w:tcPr>
            <w:tcW w:w="265" w:type="pct"/>
            <w:shd w:val="clear" w:color="auto" w:fill="auto"/>
          </w:tcPr>
          <w:p w14:paraId="16C57245" w14:textId="77777777" w:rsidR="002D71BC" w:rsidRPr="00857F85" w:rsidRDefault="002D71BC" w:rsidP="00BB0649">
            <w:pPr>
              <w:spacing w:after="0" w:line="240" w:lineRule="auto"/>
              <w:jc w:val="both"/>
              <w:rPr>
                <w:rFonts w:ascii="Times New Roman" w:hAnsi="Times New Roman"/>
                <w:sz w:val="20"/>
                <w:szCs w:val="20"/>
                <w:lang w:val="en-GB"/>
              </w:rPr>
            </w:pPr>
            <w:r w:rsidRPr="00857F85">
              <w:rPr>
                <w:rFonts w:ascii="Times New Roman" w:hAnsi="Times New Roman"/>
                <w:sz w:val="20"/>
                <w:szCs w:val="20"/>
                <w:lang w:val="en-GB"/>
              </w:rPr>
              <w:t>20.</w:t>
            </w:r>
          </w:p>
        </w:tc>
        <w:tc>
          <w:tcPr>
            <w:tcW w:w="1855" w:type="pct"/>
            <w:shd w:val="clear" w:color="auto" w:fill="auto"/>
          </w:tcPr>
          <w:p w14:paraId="2FBD7272" w14:textId="77777777" w:rsidR="002D71BC" w:rsidRPr="00857F85" w:rsidRDefault="002D71BC" w:rsidP="00BB0649">
            <w:pPr>
              <w:spacing w:after="0" w:line="240" w:lineRule="auto"/>
              <w:jc w:val="both"/>
              <w:rPr>
                <w:rFonts w:ascii="Times New Roman" w:hAnsi="Times New Roman"/>
                <w:sz w:val="20"/>
                <w:szCs w:val="20"/>
                <w:lang w:val="en-GB"/>
              </w:rPr>
            </w:pPr>
            <w:r w:rsidRPr="00857F85">
              <w:rPr>
                <w:rFonts w:ascii="Times New Roman" w:hAnsi="Times New Roman"/>
                <w:sz w:val="20"/>
                <w:szCs w:val="20"/>
                <w:lang w:val="en-GB"/>
              </w:rPr>
              <w:t>Walk outside</w:t>
            </w:r>
          </w:p>
        </w:tc>
        <w:tc>
          <w:tcPr>
            <w:tcW w:w="985" w:type="pct"/>
            <w:shd w:val="clear" w:color="auto" w:fill="auto"/>
          </w:tcPr>
          <w:p w14:paraId="11DC4DCB" w14:textId="77777777" w:rsidR="002D71BC" w:rsidRPr="00857F85" w:rsidRDefault="002D71BC" w:rsidP="00BB0649">
            <w:pPr>
              <w:spacing w:after="0" w:line="240" w:lineRule="auto"/>
              <w:jc w:val="both"/>
              <w:rPr>
                <w:rFonts w:ascii="Times New Roman" w:hAnsi="Times New Roman"/>
                <w:sz w:val="20"/>
                <w:szCs w:val="20"/>
                <w:lang w:val="en-GB"/>
              </w:rPr>
            </w:pPr>
            <w:proofErr w:type="spellStart"/>
            <w:r w:rsidRPr="00857F85">
              <w:rPr>
                <w:rFonts w:ascii="Times New Roman" w:hAnsi="Times New Roman"/>
                <w:sz w:val="20"/>
                <w:szCs w:val="20"/>
              </w:rPr>
              <w:t>Same</w:t>
            </w:r>
            <w:proofErr w:type="spellEnd"/>
          </w:p>
        </w:tc>
        <w:tc>
          <w:tcPr>
            <w:tcW w:w="1895" w:type="pct"/>
            <w:shd w:val="clear" w:color="auto" w:fill="auto"/>
          </w:tcPr>
          <w:p w14:paraId="4BA11812" w14:textId="77777777" w:rsidR="002D71BC" w:rsidRPr="00857F85" w:rsidRDefault="002D71BC" w:rsidP="00BB0649">
            <w:pPr>
              <w:spacing w:after="0" w:line="240" w:lineRule="auto"/>
              <w:jc w:val="both"/>
              <w:rPr>
                <w:rFonts w:ascii="Times New Roman" w:hAnsi="Times New Roman"/>
                <w:sz w:val="20"/>
                <w:szCs w:val="20"/>
                <w:lang w:val="en-GB"/>
              </w:rPr>
            </w:pPr>
            <w:r w:rsidRPr="00857F85">
              <w:rPr>
                <w:rFonts w:ascii="Times New Roman" w:hAnsi="Times New Roman"/>
                <w:sz w:val="20"/>
                <w:szCs w:val="20"/>
                <w:lang w:val="en-GB"/>
              </w:rPr>
              <w:t>Any time =1, Once or twice=0.5, Three times or more =0</w:t>
            </w:r>
          </w:p>
        </w:tc>
      </w:tr>
      <w:tr w:rsidR="002D71BC" w:rsidRPr="00F358E1" w14:paraId="6F42EF98" w14:textId="77777777" w:rsidTr="00BB0649">
        <w:tc>
          <w:tcPr>
            <w:tcW w:w="265" w:type="pct"/>
            <w:shd w:val="clear" w:color="auto" w:fill="auto"/>
          </w:tcPr>
          <w:p w14:paraId="792CD2D8" w14:textId="77777777" w:rsidR="002D71BC" w:rsidRPr="00857F85" w:rsidRDefault="002D71BC" w:rsidP="00BB0649">
            <w:pPr>
              <w:spacing w:after="0" w:line="240" w:lineRule="auto"/>
              <w:jc w:val="both"/>
              <w:rPr>
                <w:rFonts w:ascii="Times New Roman" w:hAnsi="Times New Roman"/>
                <w:sz w:val="20"/>
                <w:szCs w:val="20"/>
                <w:lang w:val="en-GB"/>
              </w:rPr>
            </w:pPr>
            <w:r w:rsidRPr="00857F85">
              <w:rPr>
                <w:rFonts w:ascii="Times New Roman" w:hAnsi="Times New Roman"/>
                <w:sz w:val="20"/>
                <w:szCs w:val="20"/>
                <w:lang w:val="en-GB"/>
              </w:rPr>
              <w:t>21.</w:t>
            </w:r>
          </w:p>
        </w:tc>
        <w:tc>
          <w:tcPr>
            <w:tcW w:w="1855" w:type="pct"/>
            <w:shd w:val="clear" w:color="auto" w:fill="auto"/>
          </w:tcPr>
          <w:p w14:paraId="47A19C62" w14:textId="77777777" w:rsidR="002D71BC" w:rsidRPr="00857F85" w:rsidRDefault="002D71BC" w:rsidP="00BB0649">
            <w:pPr>
              <w:spacing w:after="0" w:line="240" w:lineRule="auto"/>
              <w:jc w:val="both"/>
              <w:rPr>
                <w:rFonts w:ascii="Times New Roman" w:hAnsi="Times New Roman"/>
                <w:sz w:val="20"/>
                <w:szCs w:val="20"/>
                <w:lang w:val="en-GB"/>
              </w:rPr>
            </w:pPr>
            <w:r w:rsidRPr="00857F85">
              <w:rPr>
                <w:rFonts w:ascii="Times New Roman" w:hAnsi="Times New Roman"/>
                <w:sz w:val="20"/>
                <w:szCs w:val="20"/>
                <w:lang w:val="en-GB"/>
              </w:rPr>
              <w:t>Feel everything is an effort</w:t>
            </w:r>
          </w:p>
        </w:tc>
        <w:tc>
          <w:tcPr>
            <w:tcW w:w="985" w:type="pct"/>
            <w:shd w:val="clear" w:color="auto" w:fill="auto"/>
          </w:tcPr>
          <w:p w14:paraId="1DF93571" w14:textId="77777777" w:rsidR="002D71BC" w:rsidRPr="00857F85" w:rsidRDefault="002D71BC" w:rsidP="00BB0649">
            <w:pPr>
              <w:spacing w:after="0" w:line="240" w:lineRule="auto"/>
              <w:jc w:val="both"/>
              <w:rPr>
                <w:rFonts w:ascii="Times New Roman" w:hAnsi="Times New Roman"/>
                <w:sz w:val="20"/>
                <w:szCs w:val="20"/>
                <w:lang w:val="en-GB"/>
              </w:rPr>
            </w:pPr>
            <w:proofErr w:type="spellStart"/>
            <w:r w:rsidRPr="00857F85">
              <w:rPr>
                <w:rFonts w:ascii="Times New Roman" w:hAnsi="Times New Roman"/>
                <w:sz w:val="20"/>
                <w:szCs w:val="20"/>
              </w:rPr>
              <w:t>Same</w:t>
            </w:r>
            <w:proofErr w:type="spellEnd"/>
          </w:p>
        </w:tc>
        <w:tc>
          <w:tcPr>
            <w:tcW w:w="1895" w:type="pct"/>
            <w:shd w:val="clear" w:color="auto" w:fill="auto"/>
          </w:tcPr>
          <w:p w14:paraId="7C8401B8" w14:textId="77777777" w:rsidR="002D71BC" w:rsidRPr="00857F85" w:rsidRDefault="002D71BC" w:rsidP="00BB0649">
            <w:pPr>
              <w:spacing w:after="0" w:line="240" w:lineRule="auto"/>
              <w:jc w:val="both"/>
              <w:rPr>
                <w:rFonts w:ascii="Times New Roman" w:hAnsi="Times New Roman"/>
                <w:sz w:val="20"/>
                <w:szCs w:val="20"/>
                <w:lang w:val="en-GB"/>
              </w:rPr>
            </w:pPr>
            <w:r w:rsidRPr="00857F85">
              <w:rPr>
                <w:rFonts w:ascii="Times New Roman" w:hAnsi="Times New Roman"/>
                <w:sz w:val="20"/>
                <w:szCs w:val="20"/>
                <w:lang w:val="en-GB"/>
              </w:rPr>
              <w:t xml:space="preserve">Most of time =1, </w:t>
            </w:r>
            <w:proofErr w:type="spellStart"/>
            <w:r w:rsidRPr="00857F85">
              <w:rPr>
                <w:rFonts w:ascii="Times New Roman" w:hAnsi="Times New Roman"/>
                <w:sz w:val="20"/>
                <w:szCs w:val="20"/>
                <w:lang w:val="en-GB"/>
              </w:rPr>
              <w:t>Some time</w:t>
            </w:r>
            <w:proofErr w:type="spellEnd"/>
            <w:r w:rsidRPr="00857F85">
              <w:rPr>
                <w:rFonts w:ascii="Times New Roman" w:hAnsi="Times New Roman"/>
                <w:sz w:val="20"/>
                <w:szCs w:val="20"/>
                <w:lang w:val="en-GB"/>
              </w:rPr>
              <w:t xml:space="preserve"> =0.5, Rarely =0</w:t>
            </w:r>
          </w:p>
        </w:tc>
      </w:tr>
      <w:tr w:rsidR="002D71BC" w:rsidRPr="00857F85" w14:paraId="00930024" w14:textId="77777777" w:rsidTr="00BB0649">
        <w:tc>
          <w:tcPr>
            <w:tcW w:w="265" w:type="pct"/>
            <w:shd w:val="clear" w:color="auto" w:fill="auto"/>
          </w:tcPr>
          <w:p w14:paraId="75EE8EE1" w14:textId="77777777" w:rsidR="002D71BC" w:rsidRPr="00857F85" w:rsidRDefault="002D71BC" w:rsidP="00BB0649">
            <w:pPr>
              <w:spacing w:after="0" w:line="240" w:lineRule="auto"/>
              <w:jc w:val="both"/>
              <w:rPr>
                <w:rFonts w:ascii="Times New Roman" w:hAnsi="Times New Roman"/>
                <w:sz w:val="20"/>
                <w:szCs w:val="20"/>
                <w:lang w:val="en-GB"/>
              </w:rPr>
            </w:pPr>
            <w:r w:rsidRPr="00857F85">
              <w:rPr>
                <w:rFonts w:ascii="Times New Roman" w:hAnsi="Times New Roman"/>
                <w:sz w:val="20"/>
                <w:szCs w:val="20"/>
                <w:lang w:val="en-GB"/>
              </w:rPr>
              <w:t>22.</w:t>
            </w:r>
          </w:p>
        </w:tc>
        <w:tc>
          <w:tcPr>
            <w:tcW w:w="1855" w:type="pct"/>
            <w:shd w:val="clear" w:color="auto" w:fill="auto"/>
          </w:tcPr>
          <w:p w14:paraId="5BEC46E5" w14:textId="77777777" w:rsidR="002D71BC" w:rsidRPr="00857F85" w:rsidRDefault="002D71BC" w:rsidP="00BB0649">
            <w:pPr>
              <w:spacing w:after="0" w:line="240" w:lineRule="auto"/>
              <w:jc w:val="both"/>
              <w:rPr>
                <w:rFonts w:ascii="Times New Roman" w:hAnsi="Times New Roman"/>
                <w:sz w:val="20"/>
                <w:szCs w:val="20"/>
                <w:lang w:val="en-GB"/>
              </w:rPr>
            </w:pPr>
            <w:r w:rsidRPr="00857F85">
              <w:rPr>
                <w:rFonts w:ascii="Times New Roman" w:hAnsi="Times New Roman"/>
                <w:sz w:val="20"/>
                <w:szCs w:val="20"/>
                <w:lang w:val="en-GB"/>
              </w:rPr>
              <w:t>Feel depressed</w:t>
            </w:r>
          </w:p>
        </w:tc>
        <w:tc>
          <w:tcPr>
            <w:tcW w:w="985" w:type="pct"/>
            <w:shd w:val="clear" w:color="auto" w:fill="auto"/>
          </w:tcPr>
          <w:p w14:paraId="1268B475" w14:textId="77777777" w:rsidR="002D71BC" w:rsidRPr="00857F85" w:rsidRDefault="002D71BC" w:rsidP="00BB0649">
            <w:pPr>
              <w:spacing w:after="0" w:line="240" w:lineRule="auto"/>
              <w:jc w:val="both"/>
              <w:rPr>
                <w:rFonts w:ascii="Times New Roman" w:hAnsi="Times New Roman"/>
                <w:sz w:val="20"/>
                <w:szCs w:val="20"/>
                <w:lang w:val="en-GB"/>
              </w:rPr>
            </w:pPr>
            <w:r w:rsidRPr="00857F85">
              <w:rPr>
                <w:rFonts w:ascii="Times New Roman" w:hAnsi="Times New Roman"/>
                <w:sz w:val="20"/>
                <w:szCs w:val="20"/>
                <w:lang w:val="en-GB"/>
              </w:rPr>
              <w:t>Feel depressed or anxious</w:t>
            </w:r>
          </w:p>
        </w:tc>
        <w:tc>
          <w:tcPr>
            <w:tcW w:w="1895" w:type="pct"/>
            <w:shd w:val="clear" w:color="auto" w:fill="auto"/>
          </w:tcPr>
          <w:p w14:paraId="55DFAA3E" w14:textId="77777777" w:rsidR="002D71BC" w:rsidRPr="00857F85" w:rsidRDefault="002D71BC" w:rsidP="00BB0649">
            <w:pPr>
              <w:spacing w:after="0" w:line="240" w:lineRule="auto"/>
              <w:jc w:val="both"/>
              <w:rPr>
                <w:rFonts w:ascii="Times New Roman" w:hAnsi="Times New Roman"/>
                <w:sz w:val="20"/>
                <w:szCs w:val="20"/>
                <w:lang w:val="en-GB"/>
              </w:rPr>
            </w:pPr>
            <w:r w:rsidRPr="00857F85">
              <w:rPr>
                <w:rFonts w:ascii="Times New Roman" w:hAnsi="Times New Roman"/>
                <w:sz w:val="20"/>
                <w:szCs w:val="20"/>
                <w:lang w:val="en-GB"/>
              </w:rPr>
              <w:t>Not =0, Moderately =0.5, Very =1</w:t>
            </w:r>
          </w:p>
        </w:tc>
      </w:tr>
      <w:tr w:rsidR="002D71BC" w:rsidRPr="00F358E1" w14:paraId="5F5FEB2C" w14:textId="77777777" w:rsidTr="00BB0649">
        <w:tc>
          <w:tcPr>
            <w:tcW w:w="265" w:type="pct"/>
            <w:shd w:val="clear" w:color="auto" w:fill="auto"/>
          </w:tcPr>
          <w:p w14:paraId="227922F9" w14:textId="77777777" w:rsidR="002D71BC" w:rsidRPr="00857F85" w:rsidRDefault="002D71BC" w:rsidP="00BB0649">
            <w:pPr>
              <w:spacing w:after="0" w:line="240" w:lineRule="auto"/>
              <w:jc w:val="both"/>
              <w:rPr>
                <w:rFonts w:ascii="Times New Roman" w:hAnsi="Times New Roman"/>
                <w:sz w:val="20"/>
                <w:szCs w:val="20"/>
                <w:lang w:val="en-GB"/>
              </w:rPr>
            </w:pPr>
            <w:r w:rsidRPr="00857F85">
              <w:rPr>
                <w:rFonts w:ascii="Times New Roman" w:hAnsi="Times New Roman"/>
                <w:sz w:val="20"/>
                <w:szCs w:val="20"/>
                <w:lang w:val="en-GB"/>
              </w:rPr>
              <w:t>23.</w:t>
            </w:r>
          </w:p>
        </w:tc>
        <w:tc>
          <w:tcPr>
            <w:tcW w:w="1855" w:type="pct"/>
            <w:shd w:val="clear" w:color="auto" w:fill="auto"/>
          </w:tcPr>
          <w:p w14:paraId="1C3F5F49" w14:textId="77777777" w:rsidR="002D71BC" w:rsidRPr="00857F85" w:rsidRDefault="002D71BC" w:rsidP="00BB0649">
            <w:pPr>
              <w:spacing w:after="0" w:line="240" w:lineRule="auto"/>
              <w:jc w:val="both"/>
              <w:rPr>
                <w:rFonts w:ascii="Times New Roman" w:hAnsi="Times New Roman"/>
                <w:sz w:val="20"/>
                <w:szCs w:val="20"/>
                <w:lang w:val="en-GB"/>
              </w:rPr>
            </w:pPr>
            <w:r w:rsidRPr="00857F85">
              <w:rPr>
                <w:rFonts w:ascii="Times New Roman" w:hAnsi="Times New Roman"/>
                <w:sz w:val="20"/>
                <w:szCs w:val="20"/>
                <w:lang w:val="en-GB"/>
              </w:rPr>
              <w:t>Feel happy</w:t>
            </w:r>
          </w:p>
        </w:tc>
        <w:tc>
          <w:tcPr>
            <w:tcW w:w="985" w:type="pct"/>
            <w:shd w:val="clear" w:color="auto" w:fill="auto"/>
          </w:tcPr>
          <w:p w14:paraId="463734AB" w14:textId="77777777" w:rsidR="002D71BC" w:rsidRPr="00857F85" w:rsidRDefault="002D71BC" w:rsidP="00BB0649">
            <w:pPr>
              <w:spacing w:after="0" w:line="240" w:lineRule="auto"/>
              <w:jc w:val="both"/>
              <w:rPr>
                <w:rFonts w:ascii="Times New Roman" w:hAnsi="Times New Roman"/>
                <w:sz w:val="20"/>
                <w:szCs w:val="20"/>
                <w:lang w:val="en-GB"/>
              </w:rPr>
            </w:pPr>
            <w:proofErr w:type="spellStart"/>
            <w:r w:rsidRPr="00857F85">
              <w:rPr>
                <w:rFonts w:ascii="Times New Roman" w:hAnsi="Times New Roman"/>
                <w:sz w:val="20"/>
                <w:szCs w:val="20"/>
              </w:rPr>
              <w:t>Same</w:t>
            </w:r>
            <w:proofErr w:type="spellEnd"/>
          </w:p>
        </w:tc>
        <w:tc>
          <w:tcPr>
            <w:tcW w:w="1895" w:type="pct"/>
            <w:shd w:val="clear" w:color="auto" w:fill="auto"/>
          </w:tcPr>
          <w:p w14:paraId="4EEC6EB5" w14:textId="77777777" w:rsidR="002D71BC" w:rsidRPr="00857F85" w:rsidRDefault="002D71BC" w:rsidP="00BB0649">
            <w:pPr>
              <w:spacing w:after="0" w:line="240" w:lineRule="auto"/>
              <w:jc w:val="both"/>
              <w:rPr>
                <w:rFonts w:ascii="Times New Roman" w:hAnsi="Times New Roman"/>
                <w:sz w:val="20"/>
                <w:szCs w:val="20"/>
                <w:lang w:val="en-GB"/>
              </w:rPr>
            </w:pPr>
            <w:r w:rsidRPr="00857F85">
              <w:rPr>
                <w:rFonts w:ascii="Times New Roman" w:hAnsi="Times New Roman"/>
                <w:sz w:val="20"/>
                <w:szCs w:val="20"/>
                <w:lang w:val="en-GB"/>
              </w:rPr>
              <w:t xml:space="preserve">Very or </w:t>
            </w:r>
            <w:proofErr w:type="gramStart"/>
            <w:r w:rsidRPr="00857F85">
              <w:rPr>
                <w:rFonts w:ascii="Times New Roman" w:hAnsi="Times New Roman"/>
                <w:sz w:val="20"/>
                <w:szCs w:val="20"/>
                <w:lang w:val="en-GB"/>
              </w:rPr>
              <w:t>pretty happy</w:t>
            </w:r>
            <w:proofErr w:type="gramEnd"/>
            <w:r w:rsidRPr="00857F85">
              <w:rPr>
                <w:rFonts w:ascii="Times New Roman" w:hAnsi="Times New Roman"/>
                <w:sz w:val="20"/>
                <w:szCs w:val="20"/>
                <w:lang w:val="en-GB"/>
              </w:rPr>
              <w:t xml:space="preserve"> =0, neither happy nor unhappy =0.5, Very o rather unhappy =1</w:t>
            </w:r>
          </w:p>
        </w:tc>
      </w:tr>
      <w:tr w:rsidR="002D71BC" w:rsidRPr="00F358E1" w14:paraId="3B6BCD2D" w14:textId="77777777" w:rsidTr="00BB0649">
        <w:tc>
          <w:tcPr>
            <w:tcW w:w="265" w:type="pct"/>
            <w:shd w:val="clear" w:color="auto" w:fill="auto"/>
          </w:tcPr>
          <w:p w14:paraId="7DCDD384" w14:textId="77777777" w:rsidR="002D71BC" w:rsidRPr="00857F85" w:rsidRDefault="002D71BC" w:rsidP="00BB0649">
            <w:pPr>
              <w:spacing w:after="0" w:line="240" w:lineRule="auto"/>
              <w:jc w:val="both"/>
              <w:rPr>
                <w:rFonts w:ascii="Times New Roman" w:hAnsi="Times New Roman"/>
                <w:sz w:val="20"/>
                <w:szCs w:val="20"/>
                <w:lang w:val="en-GB"/>
              </w:rPr>
            </w:pPr>
            <w:r w:rsidRPr="00857F85">
              <w:rPr>
                <w:rFonts w:ascii="Times New Roman" w:hAnsi="Times New Roman"/>
                <w:sz w:val="20"/>
                <w:szCs w:val="20"/>
                <w:lang w:val="en-GB"/>
              </w:rPr>
              <w:t>24.</w:t>
            </w:r>
          </w:p>
        </w:tc>
        <w:tc>
          <w:tcPr>
            <w:tcW w:w="1855" w:type="pct"/>
            <w:shd w:val="clear" w:color="auto" w:fill="auto"/>
          </w:tcPr>
          <w:p w14:paraId="5C387BAB" w14:textId="77777777" w:rsidR="002D71BC" w:rsidRPr="00857F85" w:rsidRDefault="002D71BC" w:rsidP="00BB0649">
            <w:pPr>
              <w:spacing w:after="0" w:line="240" w:lineRule="auto"/>
              <w:jc w:val="both"/>
              <w:rPr>
                <w:rFonts w:ascii="Times New Roman" w:hAnsi="Times New Roman"/>
                <w:sz w:val="20"/>
                <w:szCs w:val="20"/>
                <w:lang w:val="en-GB"/>
              </w:rPr>
            </w:pPr>
            <w:r w:rsidRPr="00857F85">
              <w:rPr>
                <w:rFonts w:ascii="Times New Roman" w:hAnsi="Times New Roman"/>
                <w:sz w:val="20"/>
                <w:szCs w:val="20"/>
                <w:lang w:val="en-GB"/>
              </w:rPr>
              <w:t>Feel lonely</w:t>
            </w:r>
          </w:p>
        </w:tc>
        <w:tc>
          <w:tcPr>
            <w:tcW w:w="985" w:type="pct"/>
            <w:shd w:val="clear" w:color="auto" w:fill="auto"/>
          </w:tcPr>
          <w:p w14:paraId="7DED2DC1" w14:textId="77777777" w:rsidR="002D71BC" w:rsidRPr="00857F85" w:rsidRDefault="002D71BC" w:rsidP="00BB0649">
            <w:pPr>
              <w:spacing w:after="0" w:line="240" w:lineRule="auto"/>
              <w:jc w:val="both"/>
              <w:rPr>
                <w:rFonts w:ascii="Times New Roman" w:hAnsi="Times New Roman"/>
                <w:sz w:val="20"/>
                <w:szCs w:val="20"/>
                <w:lang w:val="en-GB"/>
              </w:rPr>
            </w:pPr>
            <w:r w:rsidRPr="00857F85">
              <w:rPr>
                <w:rFonts w:ascii="Times New Roman" w:hAnsi="Times New Roman"/>
                <w:sz w:val="20"/>
                <w:szCs w:val="20"/>
                <w:lang w:val="en-GB"/>
              </w:rPr>
              <w:t>Can you talk about your problems with someone close at least your family and friends</w:t>
            </w:r>
          </w:p>
        </w:tc>
        <w:tc>
          <w:tcPr>
            <w:tcW w:w="1895" w:type="pct"/>
            <w:shd w:val="clear" w:color="auto" w:fill="auto"/>
          </w:tcPr>
          <w:p w14:paraId="0F012EC4" w14:textId="77777777" w:rsidR="002D71BC" w:rsidRPr="00857F85" w:rsidRDefault="002D71BC" w:rsidP="00BB0649">
            <w:pPr>
              <w:spacing w:after="0" w:line="240" w:lineRule="auto"/>
              <w:jc w:val="both"/>
              <w:rPr>
                <w:rFonts w:ascii="Times New Roman" w:hAnsi="Times New Roman"/>
                <w:sz w:val="20"/>
                <w:szCs w:val="20"/>
                <w:lang w:val="en-GB"/>
              </w:rPr>
            </w:pPr>
            <w:r w:rsidRPr="00857F85">
              <w:rPr>
                <w:rFonts w:ascii="Times New Roman" w:hAnsi="Times New Roman"/>
                <w:sz w:val="20"/>
                <w:szCs w:val="20"/>
                <w:lang w:val="en-GB"/>
              </w:rPr>
              <w:t>Never or almost never =1, Sometimes =0.5, Mostly or always =0</w:t>
            </w:r>
          </w:p>
        </w:tc>
      </w:tr>
      <w:tr w:rsidR="002D71BC" w:rsidRPr="00F358E1" w14:paraId="13C0347B" w14:textId="77777777" w:rsidTr="00BB0649">
        <w:tc>
          <w:tcPr>
            <w:tcW w:w="265" w:type="pct"/>
            <w:shd w:val="clear" w:color="auto" w:fill="auto"/>
          </w:tcPr>
          <w:p w14:paraId="31AB0520" w14:textId="77777777" w:rsidR="002D71BC" w:rsidRPr="00857F85" w:rsidRDefault="002D71BC" w:rsidP="00BB0649">
            <w:pPr>
              <w:spacing w:after="0" w:line="240" w:lineRule="auto"/>
              <w:jc w:val="both"/>
              <w:rPr>
                <w:rFonts w:ascii="Times New Roman" w:hAnsi="Times New Roman"/>
                <w:sz w:val="20"/>
                <w:szCs w:val="20"/>
                <w:lang w:val="en-GB"/>
              </w:rPr>
            </w:pPr>
            <w:r w:rsidRPr="00857F85">
              <w:rPr>
                <w:rFonts w:ascii="Times New Roman" w:hAnsi="Times New Roman"/>
                <w:sz w:val="20"/>
                <w:szCs w:val="20"/>
                <w:lang w:val="en-GB"/>
              </w:rPr>
              <w:t>25.</w:t>
            </w:r>
          </w:p>
        </w:tc>
        <w:tc>
          <w:tcPr>
            <w:tcW w:w="1855" w:type="pct"/>
            <w:shd w:val="clear" w:color="auto" w:fill="auto"/>
          </w:tcPr>
          <w:p w14:paraId="08F064EF" w14:textId="77777777" w:rsidR="002D71BC" w:rsidRPr="00857F85" w:rsidRDefault="002D71BC" w:rsidP="00BB0649">
            <w:pPr>
              <w:spacing w:after="0" w:line="240" w:lineRule="auto"/>
              <w:jc w:val="both"/>
              <w:rPr>
                <w:rFonts w:ascii="Times New Roman" w:hAnsi="Times New Roman"/>
                <w:sz w:val="20"/>
                <w:szCs w:val="20"/>
                <w:lang w:val="en-GB"/>
              </w:rPr>
            </w:pPr>
            <w:r w:rsidRPr="00857F85">
              <w:rPr>
                <w:rFonts w:ascii="Times New Roman" w:hAnsi="Times New Roman"/>
                <w:sz w:val="20"/>
                <w:szCs w:val="20"/>
                <w:lang w:val="en-GB"/>
              </w:rPr>
              <w:t>Have trouble getting going</w:t>
            </w:r>
          </w:p>
        </w:tc>
        <w:tc>
          <w:tcPr>
            <w:tcW w:w="985" w:type="pct"/>
            <w:shd w:val="clear" w:color="auto" w:fill="auto"/>
          </w:tcPr>
          <w:p w14:paraId="095CE32B" w14:textId="77777777" w:rsidR="002D71BC" w:rsidRPr="00857F85" w:rsidRDefault="002D71BC" w:rsidP="00BB0649">
            <w:pPr>
              <w:spacing w:after="0" w:line="240" w:lineRule="auto"/>
              <w:jc w:val="both"/>
              <w:rPr>
                <w:rFonts w:ascii="Times New Roman" w:hAnsi="Times New Roman"/>
                <w:sz w:val="20"/>
                <w:szCs w:val="20"/>
                <w:lang w:val="en-GB"/>
              </w:rPr>
            </w:pPr>
            <w:r w:rsidRPr="00857F85">
              <w:rPr>
                <w:rFonts w:ascii="Times New Roman" w:hAnsi="Times New Roman"/>
                <w:sz w:val="20"/>
                <w:szCs w:val="20"/>
                <w:lang w:val="en-GB"/>
              </w:rPr>
              <w:t>Do you feel you can do anything you propose?</w:t>
            </w:r>
          </w:p>
        </w:tc>
        <w:tc>
          <w:tcPr>
            <w:tcW w:w="1895" w:type="pct"/>
            <w:shd w:val="clear" w:color="auto" w:fill="auto"/>
          </w:tcPr>
          <w:p w14:paraId="4B83A0E4" w14:textId="77777777" w:rsidR="002D71BC" w:rsidRPr="00857F85" w:rsidRDefault="002D71BC" w:rsidP="00BB0649">
            <w:pPr>
              <w:spacing w:after="0" w:line="240" w:lineRule="auto"/>
              <w:jc w:val="both"/>
              <w:rPr>
                <w:rFonts w:ascii="Times New Roman" w:hAnsi="Times New Roman"/>
                <w:sz w:val="20"/>
                <w:szCs w:val="20"/>
                <w:lang w:val="en-GB"/>
              </w:rPr>
            </w:pPr>
            <w:r w:rsidRPr="00857F85">
              <w:rPr>
                <w:rFonts w:ascii="Times New Roman" w:hAnsi="Times New Roman"/>
                <w:sz w:val="20"/>
                <w:szCs w:val="20"/>
                <w:lang w:val="en-GB"/>
              </w:rPr>
              <w:t>Never or almost never =1, Sometimes =0.5, Mostly or always =0</w:t>
            </w:r>
          </w:p>
        </w:tc>
      </w:tr>
      <w:tr w:rsidR="002D71BC" w:rsidRPr="00857F85" w14:paraId="44AEA093" w14:textId="77777777" w:rsidTr="00BB0649">
        <w:tc>
          <w:tcPr>
            <w:tcW w:w="265" w:type="pct"/>
            <w:shd w:val="clear" w:color="auto" w:fill="auto"/>
          </w:tcPr>
          <w:p w14:paraId="4FAA0A81" w14:textId="77777777" w:rsidR="002D71BC" w:rsidRPr="00857F85" w:rsidRDefault="002D71BC" w:rsidP="00BB0649">
            <w:pPr>
              <w:spacing w:after="0" w:line="240" w:lineRule="auto"/>
              <w:jc w:val="both"/>
              <w:rPr>
                <w:rFonts w:ascii="Times New Roman" w:hAnsi="Times New Roman"/>
                <w:sz w:val="20"/>
                <w:szCs w:val="20"/>
                <w:lang w:val="en-GB"/>
              </w:rPr>
            </w:pPr>
            <w:r w:rsidRPr="00857F85">
              <w:rPr>
                <w:rFonts w:ascii="Times New Roman" w:hAnsi="Times New Roman"/>
                <w:sz w:val="20"/>
                <w:szCs w:val="20"/>
                <w:lang w:val="en-GB"/>
              </w:rPr>
              <w:t>26.</w:t>
            </w:r>
          </w:p>
        </w:tc>
        <w:tc>
          <w:tcPr>
            <w:tcW w:w="1855" w:type="pct"/>
            <w:shd w:val="clear" w:color="auto" w:fill="auto"/>
          </w:tcPr>
          <w:p w14:paraId="4961DD11" w14:textId="77777777" w:rsidR="002D71BC" w:rsidRPr="00857F85" w:rsidRDefault="002D71BC" w:rsidP="00BB0649">
            <w:pPr>
              <w:spacing w:after="0" w:line="240" w:lineRule="auto"/>
              <w:jc w:val="both"/>
              <w:rPr>
                <w:rFonts w:ascii="Times New Roman" w:hAnsi="Times New Roman"/>
                <w:sz w:val="20"/>
                <w:szCs w:val="20"/>
                <w:lang w:val="en-GB"/>
              </w:rPr>
            </w:pPr>
            <w:r w:rsidRPr="00857F85">
              <w:rPr>
                <w:rFonts w:ascii="Times New Roman" w:hAnsi="Times New Roman"/>
                <w:sz w:val="20"/>
                <w:szCs w:val="20"/>
                <w:lang w:val="en-GB"/>
              </w:rPr>
              <w:t>High blood pressure</w:t>
            </w:r>
          </w:p>
        </w:tc>
        <w:tc>
          <w:tcPr>
            <w:tcW w:w="985" w:type="pct"/>
            <w:shd w:val="clear" w:color="auto" w:fill="auto"/>
          </w:tcPr>
          <w:p w14:paraId="4A6AA5B9" w14:textId="77777777" w:rsidR="002D71BC" w:rsidRPr="00857F85" w:rsidRDefault="002D71BC" w:rsidP="00BB0649">
            <w:pPr>
              <w:spacing w:after="0" w:line="240" w:lineRule="auto"/>
              <w:jc w:val="both"/>
              <w:rPr>
                <w:rFonts w:ascii="Times New Roman" w:hAnsi="Times New Roman"/>
                <w:sz w:val="20"/>
                <w:szCs w:val="20"/>
                <w:lang w:val="en-GB"/>
              </w:rPr>
            </w:pPr>
            <w:proofErr w:type="spellStart"/>
            <w:r w:rsidRPr="00857F85">
              <w:rPr>
                <w:rFonts w:ascii="Times New Roman" w:hAnsi="Times New Roman"/>
                <w:sz w:val="20"/>
                <w:szCs w:val="20"/>
              </w:rPr>
              <w:t>Same</w:t>
            </w:r>
            <w:proofErr w:type="spellEnd"/>
          </w:p>
        </w:tc>
        <w:tc>
          <w:tcPr>
            <w:tcW w:w="1895" w:type="pct"/>
            <w:shd w:val="clear" w:color="auto" w:fill="auto"/>
          </w:tcPr>
          <w:p w14:paraId="78648E29" w14:textId="77777777" w:rsidR="002D71BC" w:rsidRPr="00857F85" w:rsidRDefault="002D71BC" w:rsidP="00BB0649">
            <w:pPr>
              <w:spacing w:after="0" w:line="240" w:lineRule="auto"/>
              <w:jc w:val="both"/>
              <w:rPr>
                <w:rFonts w:ascii="Times New Roman" w:hAnsi="Times New Roman"/>
                <w:sz w:val="20"/>
                <w:szCs w:val="20"/>
                <w:lang w:val="en-GB"/>
              </w:rPr>
            </w:pPr>
            <w:r w:rsidRPr="00857F85">
              <w:rPr>
                <w:rFonts w:ascii="Times New Roman" w:hAnsi="Times New Roman"/>
                <w:sz w:val="20"/>
                <w:szCs w:val="20"/>
              </w:rPr>
              <w:t xml:space="preserve">Yes =1, </w:t>
            </w:r>
            <w:proofErr w:type="spellStart"/>
            <w:r w:rsidRPr="00857F85">
              <w:rPr>
                <w:rFonts w:ascii="Times New Roman" w:hAnsi="Times New Roman"/>
                <w:sz w:val="20"/>
                <w:szCs w:val="20"/>
              </w:rPr>
              <w:t>Suspect</w:t>
            </w:r>
            <w:proofErr w:type="spellEnd"/>
            <w:r w:rsidRPr="00857F85">
              <w:rPr>
                <w:rFonts w:ascii="Times New Roman" w:hAnsi="Times New Roman"/>
                <w:sz w:val="20"/>
                <w:szCs w:val="20"/>
              </w:rPr>
              <w:t xml:space="preserve"> =0.5, No =0</w:t>
            </w:r>
          </w:p>
        </w:tc>
      </w:tr>
      <w:tr w:rsidR="002D71BC" w:rsidRPr="00857F85" w14:paraId="31BBD9CA" w14:textId="77777777" w:rsidTr="00BB0649">
        <w:tc>
          <w:tcPr>
            <w:tcW w:w="265" w:type="pct"/>
            <w:shd w:val="clear" w:color="auto" w:fill="auto"/>
          </w:tcPr>
          <w:p w14:paraId="7A52ED9B" w14:textId="77777777" w:rsidR="002D71BC" w:rsidRPr="00857F85" w:rsidRDefault="002D71BC" w:rsidP="00BB0649">
            <w:pPr>
              <w:spacing w:after="0" w:line="240" w:lineRule="auto"/>
              <w:jc w:val="both"/>
              <w:rPr>
                <w:rFonts w:ascii="Times New Roman" w:hAnsi="Times New Roman"/>
                <w:sz w:val="20"/>
                <w:szCs w:val="20"/>
                <w:lang w:val="en-GB"/>
              </w:rPr>
            </w:pPr>
            <w:r w:rsidRPr="00857F85">
              <w:rPr>
                <w:rFonts w:ascii="Times New Roman" w:hAnsi="Times New Roman"/>
                <w:sz w:val="20"/>
                <w:szCs w:val="20"/>
                <w:lang w:val="en-GB"/>
              </w:rPr>
              <w:t>27.</w:t>
            </w:r>
          </w:p>
        </w:tc>
        <w:tc>
          <w:tcPr>
            <w:tcW w:w="1855" w:type="pct"/>
            <w:shd w:val="clear" w:color="auto" w:fill="auto"/>
          </w:tcPr>
          <w:p w14:paraId="5A725B14" w14:textId="77777777" w:rsidR="002D71BC" w:rsidRPr="00857F85" w:rsidRDefault="002D71BC" w:rsidP="00BB0649">
            <w:pPr>
              <w:spacing w:after="0" w:line="240" w:lineRule="auto"/>
              <w:jc w:val="both"/>
              <w:rPr>
                <w:rFonts w:ascii="Times New Roman" w:hAnsi="Times New Roman"/>
                <w:sz w:val="20"/>
                <w:szCs w:val="20"/>
                <w:lang w:val="en-GB"/>
              </w:rPr>
            </w:pPr>
            <w:r w:rsidRPr="00857F85">
              <w:rPr>
                <w:rFonts w:ascii="Times New Roman" w:hAnsi="Times New Roman"/>
                <w:sz w:val="20"/>
                <w:szCs w:val="20"/>
                <w:lang w:val="en-GB"/>
              </w:rPr>
              <w:t>Heart attack</w:t>
            </w:r>
          </w:p>
        </w:tc>
        <w:tc>
          <w:tcPr>
            <w:tcW w:w="985" w:type="pct"/>
            <w:shd w:val="clear" w:color="auto" w:fill="auto"/>
          </w:tcPr>
          <w:p w14:paraId="701CED32" w14:textId="77777777" w:rsidR="002D71BC" w:rsidRPr="00857F85" w:rsidRDefault="002D71BC" w:rsidP="00BB0649">
            <w:pPr>
              <w:spacing w:after="0" w:line="240" w:lineRule="auto"/>
              <w:jc w:val="both"/>
              <w:rPr>
                <w:rFonts w:ascii="Times New Roman" w:hAnsi="Times New Roman"/>
                <w:sz w:val="20"/>
                <w:szCs w:val="20"/>
                <w:lang w:val="en-GB"/>
              </w:rPr>
            </w:pPr>
            <w:proofErr w:type="spellStart"/>
            <w:r w:rsidRPr="00857F85">
              <w:rPr>
                <w:rFonts w:ascii="Times New Roman" w:hAnsi="Times New Roman"/>
                <w:sz w:val="20"/>
                <w:szCs w:val="20"/>
              </w:rPr>
              <w:t>Same</w:t>
            </w:r>
            <w:proofErr w:type="spellEnd"/>
          </w:p>
        </w:tc>
        <w:tc>
          <w:tcPr>
            <w:tcW w:w="1895" w:type="pct"/>
            <w:shd w:val="clear" w:color="auto" w:fill="auto"/>
          </w:tcPr>
          <w:p w14:paraId="20C49CB0" w14:textId="77777777" w:rsidR="002D71BC" w:rsidRPr="00857F85" w:rsidRDefault="002D71BC" w:rsidP="00BB0649">
            <w:pPr>
              <w:spacing w:after="0" w:line="240" w:lineRule="auto"/>
              <w:jc w:val="both"/>
              <w:rPr>
                <w:rFonts w:ascii="Times New Roman" w:hAnsi="Times New Roman"/>
                <w:sz w:val="20"/>
                <w:szCs w:val="20"/>
                <w:lang w:val="en-GB"/>
              </w:rPr>
            </w:pPr>
            <w:r w:rsidRPr="00857F85">
              <w:rPr>
                <w:rFonts w:ascii="Times New Roman" w:hAnsi="Times New Roman"/>
                <w:sz w:val="20"/>
                <w:szCs w:val="20"/>
              </w:rPr>
              <w:t xml:space="preserve">Yes =1, </w:t>
            </w:r>
            <w:proofErr w:type="spellStart"/>
            <w:r w:rsidRPr="00857F85">
              <w:rPr>
                <w:rFonts w:ascii="Times New Roman" w:hAnsi="Times New Roman"/>
                <w:sz w:val="20"/>
                <w:szCs w:val="20"/>
              </w:rPr>
              <w:t>Suspect</w:t>
            </w:r>
            <w:proofErr w:type="spellEnd"/>
            <w:r w:rsidRPr="00857F85">
              <w:rPr>
                <w:rFonts w:ascii="Times New Roman" w:hAnsi="Times New Roman"/>
                <w:sz w:val="20"/>
                <w:szCs w:val="20"/>
              </w:rPr>
              <w:t xml:space="preserve"> =0.5, No =0</w:t>
            </w:r>
          </w:p>
        </w:tc>
      </w:tr>
      <w:tr w:rsidR="002D71BC" w:rsidRPr="00857F85" w14:paraId="59660CAB" w14:textId="77777777" w:rsidTr="00BB0649">
        <w:tc>
          <w:tcPr>
            <w:tcW w:w="265" w:type="pct"/>
            <w:shd w:val="clear" w:color="auto" w:fill="auto"/>
          </w:tcPr>
          <w:p w14:paraId="0E9EE9A9" w14:textId="77777777" w:rsidR="002D71BC" w:rsidRPr="00857F85" w:rsidRDefault="002D71BC" w:rsidP="00BB0649">
            <w:pPr>
              <w:spacing w:after="0" w:line="240" w:lineRule="auto"/>
              <w:jc w:val="both"/>
              <w:rPr>
                <w:rFonts w:ascii="Times New Roman" w:hAnsi="Times New Roman"/>
                <w:sz w:val="20"/>
                <w:szCs w:val="20"/>
                <w:lang w:val="en-GB"/>
              </w:rPr>
            </w:pPr>
            <w:r w:rsidRPr="00857F85">
              <w:rPr>
                <w:rFonts w:ascii="Times New Roman" w:hAnsi="Times New Roman"/>
                <w:sz w:val="20"/>
                <w:szCs w:val="20"/>
                <w:lang w:val="en-GB"/>
              </w:rPr>
              <w:t>28.</w:t>
            </w:r>
          </w:p>
        </w:tc>
        <w:tc>
          <w:tcPr>
            <w:tcW w:w="1855" w:type="pct"/>
            <w:shd w:val="clear" w:color="auto" w:fill="auto"/>
          </w:tcPr>
          <w:p w14:paraId="0176B29E" w14:textId="77777777" w:rsidR="002D71BC" w:rsidRPr="00857F85" w:rsidRDefault="002D71BC" w:rsidP="00BB0649">
            <w:pPr>
              <w:spacing w:after="0" w:line="240" w:lineRule="auto"/>
              <w:jc w:val="both"/>
              <w:rPr>
                <w:rFonts w:ascii="Times New Roman" w:hAnsi="Times New Roman"/>
                <w:sz w:val="20"/>
                <w:szCs w:val="20"/>
                <w:lang w:val="en-GB"/>
              </w:rPr>
            </w:pPr>
            <w:r w:rsidRPr="00857F85">
              <w:rPr>
                <w:rFonts w:ascii="Times New Roman" w:hAnsi="Times New Roman"/>
                <w:sz w:val="20"/>
                <w:szCs w:val="20"/>
                <w:lang w:val="en-GB"/>
              </w:rPr>
              <w:t>CHF</w:t>
            </w:r>
          </w:p>
        </w:tc>
        <w:tc>
          <w:tcPr>
            <w:tcW w:w="985" w:type="pct"/>
            <w:shd w:val="clear" w:color="auto" w:fill="auto"/>
          </w:tcPr>
          <w:p w14:paraId="41AF100B" w14:textId="77777777" w:rsidR="002D71BC" w:rsidRPr="00857F85" w:rsidRDefault="002D71BC" w:rsidP="00BB0649">
            <w:pPr>
              <w:spacing w:after="0" w:line="240" w:lineRule="auto"/>
              <w:jc w:val="both"/>
              <w:rPr>
                <w:rFonts w:ascii="Times New Roman" w:hAnsi="Times New Roman"/>
                <w:sz w:val="20"/>
                <w:szCs w:val="20"/>
                <w:lang w:val="en-GB"/>
              </w:rPr>
            </w:pPr>
            <w:proofErr w:type="spellStart"/>
            <w:r w:rsidRPr="00857F85">
              <w:rPr>
                <w:rFonts w:ascii="Times New Roman" w:hAnsi="Times New Roman"/>
                <w:sz w:val="20"/>
                <w:szCs w:val="20"/>
              </w:rPr>
              <w:t>Same</w:t>
            </w:r>
            <w:proofErr w:type="spellEnd"/>
          </w:p>
        </w:tc>
        <w:tc>
          <w:tcPr>
            <w:tcW w:w="1895" w:type="pct"/>
            <w:shd w:val="clear" w:color="auto" w:fill="auto"/>
          </w:tcPr>
          <w:p w14:paraId="74075C1F" w14:textId="77777777" w:rsidR="002D71BC" w:rsidRPr="00857F85" w:rsidRDefault="002D71BC" w:rsidP="00BB0649">
            <w:pPr>
              <w:spacing w:after="0" w:line="240" w:lineRule="auto"/>
              <w:jc w:val="both"/>
              <w:rPr>
                <w:rFonts w:ascii="Times New Roman" w:hAnsi="Times New Roman"/>
                <w:sz w:val="20"/>
                <w:szCs w:val="20"/>
                <w:lang w:val="en-GB"/>
              </w:rPr>
            </w:pPr>
            <w:r w:rsidRPr="00857F85">
              <w:rPr>
                <w:rFonts w:ascii="Times New Roman" w:hAnsi="Times New Roman"/>
                <w:sz w:val="20"/>
                <w:szCs w:val="20"/>
              </w:rPr>
              <w:t xml:space="preserve">Yes =1, </w:t>
            </w:r>
            <w:proofErr w:type="spellStart"/>
            <w:r w:rsidRPr="00857F85">
              <w:rPr>
                <w:rFonts w:ascii="Times New Roman" w:hAnsi="Times New Roman"/>
                <w:sz w:val="20"/>
                <w:szCs w:val="20"/>
              </w:rPr>
              <w:t>Suspect</w:t>
            </w:r>
            <w:proofErr w:type="spellEnd"/>
            <w:r w:rsidRPr="00857F85">
              <w:rPr>
                <w:rFonts w:ascii="Times New Roman" w:hAnsi="Times New Roman"/>
                <w:sz w:val="20"/>
                <w:szCs w:val="20"/>
              </w:rPr>
              <w:t xml:space="preserve"> =0.5, No =0</w:t>
            </w:r>
          </w:p>
        </w:tc>
      </w:tr>
      <w:tr w:rsidR="002D71BC" w:rsidRPr="00857F85" w14:paraId="189FA188" w14:textId="77777777" w:rsidTr="00BB0649">
        <w:tc>
          <w:tcPr>
            <w:tcW w:w="265" w:type="pct"/>
            <w:shd w:val="clear" w:color="auto" w:fill="auto"/>
          </w:tcPr>
          <w:p w14:paraId="3B00DC41" w14:textId="77777777" w:rsidR="002D71BC" w:rsidRPr="00857F85" w:rsidRDefault="002D71BC" w:rsidP="00BB0649">
            <w:pPr>
              <w:spacing w:after="0" w:line="240" w:lineRule="auto"/>
              <w:jc w:val="both"/>
              <w:rPr>
                <w:rFonts w:ascii="Times New Roman" w:hAnsi="Times New Roman"/>
                <w:sz w:val="20"/>
                <w:szCs w:val="20"/>
                <w:lang w:val="en-GB"/>
              </w:rPr>
            </w:pPr>
            <w:r w:rsidRPr="00857F85">
              <w:rPr>
                <w:rFonts w:ascii="Times New Roman" w:hAnsi="Times New Roman"/>
                <w:sz w:val="20"/>
                <w:szCs w:val="20"/>
                <w:lang w:val="en-GB"/>
              </w:rPr>
              <w:t>29.</w:t>
            </w:r>
          </w:p>
        </w:tc>
        <w:tc>
          <w:tcPr>
            <w:tcW w:w="1855" w:type="pct"/>
            <w:shd w:val="clear" w:color="auto" w:fill="auto"/>
          </w:tcPr>
          <w:p w14:paraId="2B0E852D" w14:textId="77777777" w:rsidR="002D71BC" w:rsidRPr="00857F85" w:rsidRDefault="002D71BC" w:rsidP="00BB0649">
            <w:pPr>
              <w:spacing w:after="0" w:line="240" w:lineRule="auto"/>
              <w:jc w:val="both"/>
              <w:rPr>
                <w:rFonts w:ascii="Times New Roman" w:hAnsi="Times New Roman"/>
                <w:sz w:val="20"/>
                <w:szCs w:val="20"/>
                <w:lang w:val="en-GB"/>
              </w:rPr>
            </w:pPr>
            <w:r w:rsidRPr="00857F85">
              <w:rPr>
                <w:rFonts w:ascii="Times New Roman" w:hAnsi="Times New Roman"/>
                <w:sz w:val="20"/>
                <w:szCs w:val="20"/>
                <w:lang w:val="en-GB"/>
              </w:rPr>
              <w:t>Stroke</w:t>
            </w:r>
          </w:p>
        </w:tc>
        <w:tc>
          <w:tcPr>
            <w:tcW w:w="985" w:type="pct"/>
            <w:shd w:val="clear" w:color="auto" w:fill="auto"/>
          </w:tcPr>
          <w:p w14:paraId="6717E7D6" w14:textId="77777777" w:rsidR="002D71BC" w:rsidRPr="00857F85" w:rsidRDefault="002D71BC" w:rsidP="00BB0649">
            <w:pPr>
              <w:spacing w:after="0" w:line="240" w:lineRule="auto"/>
              <w:jc w:val="both"/>
              <w:rPr>
                <w:rFonts w:ascii="Times New Roman" w:hAnsi="Times New Roman"/>
                <w:sz w:val="20"/>
                <w:szCs w:val="20"/>
                <w:lang w:val="en-GB"/>
              </w:rPr>
            </w:pPr>
            <w:proofErr w:type="spellStart"/>
            <w:r w:rsidRPr="00857F85">
              <w:rPr>
                <w:rFonts w:ascii="Times New Roman" w:hAnsi="Times New Roman"/>
                <w:sz w:val="20"/>
                <w:szCs w:val="20"/>
              </w:rPr>
              <w:t>Same</w:t>
            </w:r>
            <w:proofErr w:type="spellEnd"/>
          </w:p>
        </w:tc>
        <w:tc>
          <w:tcPr>
            <w:tcW w:w="1895" w:type="pct"/>
            <w:shd w:val="clear" w:color="auto" w:fill="auto"/>
          </w:tcPr>
          <w:p w14:paraId="1B25EA71" w14:textId="77777777" w:rsidR="002D71BC" w:rsidRPr="00857F85" w:rsidRDefault="002D71BC" w:rsidP="00BB0649">
            <w:pPr>
              <w:spacing w:after="0" w:line="240" w:lineRule="auto"/>
              <w:jc w:val="both"/>
              <w:rPr>
                <w:rFonts w:ascii="Times New Roman" w:hAnsi="Times New Roman"/>
                <w:sz w:val="20"/>
                <w:szCs w:val="20"/>
                <w:lang w:val="en-GB"/>
              </w:rPr>
            </w:pPr>
            <w:r w:rsidRPr="00857F85">
              <w:rPr>
                <w:rFonts w:ascii="Times New Roman" w:hAnsi="Times New Roman"/>
                <w:sz w:val="20"/>
                <w:szCs w:val="20"/>
              </w:rPr>
              <w:t xml:space="preserve">Yes =1, </w:t>
            </w:r>
            <w:proofErr w:type="spellStart"/>
            <w:r w:rsidRPr="00857F85">
              <w:rPr>
                <w:rFonts w:ascii="Times New Roman" w:hAnsi="Times New Roman"/>
                <w:sz w:val="20"/>
                <w:szCs w:val="20"/>
              </w:rPr>
              <w:t>Suspect</w:t>
            </w:r>
            <w:proofErr w:type="spellEnd"/>
            <w:r w:rsidRPr="00857F85">
              <w:rPr>
                <w:rFonts w:ascii="Times New Roman" w:hAnsi="Times New Roman"/>
                <w:sz w:val="20"/>
                <w:szCs w:val="20"/>
              </w:rPr>
              <w:t xml:space="preserve"> =0.5, No =0</w:t>
            </w:r>
          </w:p>
        </w:tc>
      </w:tr>
      <w:tr w:rsidR="002D71BC" w:rsidRPr="00857F85" w14:paraId="30C1F5CE" w14:textId="77777777" w:rsidTr="00BB0649">
        <w:tc>
          <w:tcPr>
            <w:tcW w:w="265" w:type="pct"/>
            <w:shd w:val="clear" w:color="auto" w:fill="auto"/>
          </w:tcPr>
          <w:p w14:paraId="3F04A5E3" w14:textId="77777777" w:rsidR="002D71BC" w:rsidRPr="00857F85" w:rsidRDefault="002D71BC" w:rsidP="00BB0649">
            <w:pPr>
              <w:spacing w:after="0" w:line="240" w:lineRule="auto"/>
              <w:jc w:val="both"/>
              <w:rPr>
                <w:rFonts w:ascii="Times New Roman" w:hAnsi="Times New Roman"/>
                <w:sz w:val="20"/>
                <w:szCs w:val="20"/>
                <w:lang w:val="en-GB"/>
              </w:rPr>
            </w:pPr>
            <w:r w:rsidRPr="00857F85">
              <w:rPr>
                <w:rFonts w:ascii="Times New Roman" w:hAnsi="Times New Roman"/>
                <w:sz w:val="20"/>
                <w:szCs w:val="20"/>
                <w:lang w:val="en-GB"/>
              </w:rPr>
              <w:t>30.</w:t>
            </w:r>
          </w:p>
        </w:tc>
        <w:tc>
          <w:tcPr>
            <w:tcW w:w="1855" w:type="pct"/>
            <w:shd w:val="clear" w:color="auto" w:fill="auto"/>
          </w:tcPr>
          <w:p w14:paraId="305CDA3F" w14:textId="77777777" w:rsidR="002D71BC" w:rsidRPr="00857F85" w:rsidRDefault="002D71BC" w:rsidP="00BB0649">
            <w:pPr>
              <w:spacing w:after="0" w:line="240" w:lineRule="auto"/>
              <w:jc w:val="both"/>
              <w:rPr>
                <w:rFonts w:ascii="Times New Roman" w:hAnsi="Times New Roman"/>
                <w:sz w:val="20"/>
                <w:szCs w:val="20"/>
                <w:lang w:val="en-GB"/>
              </w:rPr>
            </w:pPr>
            <w:r w:rsidRPr="00857F85">
              <w:rPr>
                <w:rFonts w:ascii="Times New Roman" w:hAnsi="Times New Roman"/>
                <w:sz w:val="20"/>
                <w:szCs w:val="20"/>
                <w:lang w:val="en-GB"/>
              </w:rPr>
              <w:t>Cancer</w:t>
            </w:r>
          </w:p>
        </w:tc>
        <w:tc>
          <w:tcPr>
            <w:tcW w:w="985" w:type="pct"/>
            <w:shd w:val="clear" w:color="auto" w:fill="auto"/>
          </w:tcPr>
          <w:p w14:paraId="752D6220" w14:textId="77777777" w:rsidR="002D71BC" w:rsidRPr="00857F85" w:rsidRDefault="002D71BC" w:rsidP="00BB0649">
            <w:pPr>
              <w:spacing w:after="0" w:line="240" w:lineRule="auto"/>
              <w:jc w:val="both"/>
              <w:rPr>
                <w:rFonts w:ascii="Times New Roman" w:hAnsi="Times New Roman"/>
                <w:sz w:val="20"/>
                <w:szCs w:val="20"/>
                <w:lang w:val="en-GB"/>
              </w:rPr>
            </w:pPr>
            <w:proofErr w:type="spellStart"/>
            <w:r w:rsidRPr="00857F85">
              <w:rPr>
                <w:rFonts w:ascii="Times New Roman" w:hAnsi="Times New Roman"/>
                <w:sz w:val="20"/>
                <w:szCs w:val="20"/>
              </w:rPr>
              <w:t>Same</w:t>
            </w:r>
            <w:proofErr w:type="spellEnd"/>
          </w:p>
        </w:tc>
        <w:tc>
          <w:tcPr>
            <w:tcW w:w="1895" w:type="pct"/>
            <w:shd w:val="clear" w:color="auto" w:fill="auto"/>
          </w:tcPr>
          <w:p w14:paraId="691A4B27" w14:textId="77777777" w:rsidR="002D71BC" w:rsidRPr="00857F85" w:rsidRDefault="002D71BC" w:rsidP="00BB0649">
            <w:pPr>
              <w:spacing w:after="0" w:line="240" w:lineRule="auto"/>
              <w:jc w:val="both"/>
              <w:rPr>
                <w:rFonts w:ascii="Times New Roman" w:hAnsi="Times New Roman"/>
                <w:sz w:val="20"/>
                <w:szCs w:val="20"/>
                <w:lang w:val="en-GB"/>
              </w:rPr>
            </w:pPr>
            <w:r w:rsidRPr="00857F85">
              <w:rPr>
                <w:rFonts w:ascii="Times New Roman" w:hAnsi="Times New Roman"/>
                <w:sz w:val="20"/>
                <w:szCs w:val="20"/>
              </w:rPr>
              <w:t xml:space="preserve">Yes =1, </w:t>
            </w:r>
            <w:proofErr w:type="spellStart"/>
            <w:r w:rsidRPr="00857F85">
              <w:rPr>
                <w:rFonts w:ascii="Times New Roman" w:hAnsi="Times New Roman"/>
                <w:sz w:val="20"/>
                <w:szCs w:val="20"/>
              </w:rPr>
              <w:t>Suspect</w:t>
            </w:r>
            <w:proofErr w:type="spellEnd"/>
            <w:r w:rsidRPr="00857F85">
              <w:rPr>
                <w:rFonts w:ascii="Times New Roman" w:hAnsi="Times New Roman"/>
                <w:sz w:val="20"/>
                <w:szCs w:val="20"/>
              </w:rPr>
              <w:t xml:space="preserve"> =0.5, No =0</w:t>
            </w:r>
          </w:p>
        </w:tc>
      </w:tr>
      <w:tr w:rsidR="002D71BC" w:rsidRPr="00857F85" w14:paraId="58D245DE" w14:textId="77777777" w:rsidTr="00BB0649">
        <w:tc>
          <w:tcPr>
            <w:tcW w:w="265" w:type="pct"/>
            <w:shd w:val="clear" w:color="auto" w:fill="auto"/>
          </w:tcPr>
          <w:p w14:paraId="1BFFA320" w14:textId="77777777" w:rsidR="002D71BC" w:rsidRPr="00857F85" w:rsidRDefault="002D71BC" w:rsidP="00BB0649">
            <w:pPr>
              <w:spacing w:after="0" w:line="240" w:lineRule="auto"/>
              <w:jc w:val="both"/>
              <w:rPr>
                <w:rFonts w:ascii="Times New Roman" w:hAnsi="Times New Roman"/>
                <w:sz w:val="20"/>
                <w:szCs w:val="20"/>
                <w:lang w:val="en-GB"/>
              </w:rPr>
            </w:pPr>
            <w:r w:rsidRPr="00857F85">
              <w:rPr>
                <w:rFonts w:ascii="Times New Roman" w:hAnsi="Times New Roman"/>
                <w:sz w:val="20"/>
                <w:szCs w:val="20"/>
                <w:lang w:val="en-GB"/>
              </w:rPr>
              <w:t>31.</w:t>
            </w:r>
          </w:p>
        </w:tc>
        <w:tc>
          <w:tcPr>
            <w:tcW w:w="1855" w:type="pct"/>
            <w:shd w:val="clear" w:color="auto" w:fill="auto"/>
          </w:tcPr>
          <w:p w14:paraId="3921BA73" w14:textId="77777777" w:rsidR="002D71BC" w:rsidRPr="00857F85" w:rsidRDefault="002D71BC" w:rsidP="00BB0649">
            <w:pPr>
              <w:spacing w:after="0" w:line="240" w:lineRule="auto"/>
              <w:jc w:val="both"/>
              <w:rPr>
                <w:rFonts w:ascii="Times New Roman" w:hAnsi="Times New Roman"/>
                <w:sz w:val="20"/>
                <w:szCs w:val="20"/>
                <w:lang w:val="en-GB"/>
              </w:rPr>
            </w:pPr>
            <w:r w:rsidRPr="00857F85">
              <w:rPr>
                <w:rFonts w:ascii="Times New Roman" w:hAnsi="Times New Roman"/>
                <w:sz w:val="20"/>
                <w:szCs w:val="20"/>
                <w:lang w:val="en-GB"/>
              </w:rPr>
              <w:t>Diabetes</w:t>
            </w:r>
          </w:p>
        </w:tc>
        <w:tc>
          <w:tcPr>
            <w:tcW w:w="985" w:type="pct"/>
            <w:shd w:val="clear" w:color="auto" w:fill="auto"/>
          </w:tcPr>
          <w:p w14:paraId="5DFA8D9D" w14:textId="77777777" w:rsidR="002D71BC" w:rsidRPr="00857F85" w:rsidRDefault="002D71BC" w:rsidP="00BB0649">
            <w:pPr>
              <w:spacing w:after="0" w:line="240" w:lineRule="auto"/>
              <w:jc w:val="both"/>
              <w:rPr>
                <w:rFonts w:ascii="Times New Roman" w:hAnsi="Times New Roman"/>
                <w:sz w:val="20"/>
                <w:szCs w:val="20"/>
                <w:lang w:val="en-GB"/>
              </w:rPr>
            </w:pPr>
            <w:proofErr w:type="spellStart"/>
            <w:r w:rsidRPr="00857F85">
              <w:rPr>
                <w:rFonts w:ascii="Times New Roman" w:hAnsi="Times New Roman"/>
                <w:sz w:val="20"/>
                <w:szCs w:val="20"/>
              </w:rPr>
              <w:t>Same</w:t>
            </w:r>
            <w:proofErr w:type="spellEnd"/>
          </w:p>
        </w:tc>
        <w:tc>
          <w:tcPr>
            <w:tcW w:w="1895" w:type="pct"/>
            <w:shd w:val="clear" w:color="auto" w:fill="auto"/>
          </w:tcPr>
          <w:p w14:paraId="7017B6F2" w14:textId="77777777" w:rsidR="002D71BC" w:rsidRPr="00857F85" w:rsidRDefault="002D71BC" w:rsidP="00BB0649">
            <w:pPr>
              <w:spacing w:after="0" w:line="240" w:lineRule="auto"/>
              <w:jc w:val="both"/>
              <w:rPr>
                <w:rFonts w:ascii="Times New Roman" w:hAnsi="Times New Roman"/>
                <w:sz w:val="20"/>
                <w:szCs w:val="20"/>
                <w:lang w:val="en-GB"/>
              </w:rPr>
            </w:pPr>
            <w:r w:rsidRPr="00857F85">
              <w:rPr>
                <w:rFonts w:ascii="Times New Roman" w:hAnsi="Times New Roman"/>
                <w:sz w:val="20"/>
                <w:szCs w:val="20"/>
              </w:rPr>
              <w:t xml:space="preserve">Yes =1, </w:t>
            </w:r>
            <w:proofErr w:type="spellStart"/>
            <w:r w:rsidRPr="00857F85">
              <w:rPr>
                <w:rFonts w:ascii="Times New Roman" w:hAnsi="Times New Roman"/>
                <w:sz w:val="20"/>
                <w:szCs w:val="20"/>
              </w:rPr>
              <w:t>Suspect</w:t>
            </w:r>
            <w:proofErr w:type="spellEnd"/>
            <w:r w:rsidRPr="00857F85">
              <w:rPr>
                <w:rFonts w:ascii="Times New Roman" w:hAnsi="Times New Roman"/>
                <w:sz w:val="20"/>
                <w:szCs w:val="20"/>
              </w:rPr>
              <w:t xml:space="preserve"> =0.5, No =0</w:t>
            </w:r>
          </w:p>
        </w:tc>
      </w:tr>
      <w:tr w:rsidR="002D71BC" w:rsidRPr="00857F85" w14:paraId="553BF9C9" w14:textId="77777777" w:rsidTr="00BB0649">
        <w:tc>
          <w:tcPr>
            <w:tcW w:w="265" w:type="pct"/>
            <w:shd w:val="clear" w:color="auto" w:fill="auto"/>
          </w:tcPr>
          <w:p w14:paraId="15CF3B7B" w14:textId="77777777" w:rsidR="002D71BC" w:rsidRPr="00857F85" w:rsidRDefault="002D71BC" w:rsidP="00BB0649">
            <w:pPr>
              <w:spacing w:after="0" w:line="240" w:lineRule="auto"/>
              <w:jc w:val="both"/>
              <w:rPr>
                <w:rFonts w:ascii="Times New Roman" w:hAnsi="Times New Roman"/>
                <w:sz w:val="20"/>
                <w:szCs w:val="20"/>
                <w:lang w:val="en-GB"/>
              </w:rPr>
            </w:pPr>
            <w:r w:rsidRPr="00857F85">
              <w:rPr>
                <w:rFonts w:ascii="Times New Roman" w:hAnsi="Times New Roman"/>
                <w:sz w:val="20"/>
                <w:szCs w:val="20"/>
                <w:lang w:val="en-GB"/>
              </w:rPr>
              <w:t>32.</w:t>
            </w:r>
          </w:p>
        </w:tc>
        <w:tc>
          <w:tcPr>
            <w:tcW w:w="1855" w:type="pct"/>
            <w:shd w:val="clear" w:color="auto" w:fill="auto"/>
          </w:tcPr>
          <w:p w14:paraId="4A298B64" w14:textId="77777777" w:rsidR="002D71BC" w:rsidRPr="00857F85" w:rsidRDefault="002D71BC" w:rsidP="00BB0649">
            <w:pPr>
              <w:spacing w:after="0" w:line="240" w:lineRule="auto"/>
              <w:jc w:val="both"/>
              <w:rPr>
                <w:rFonts w:ascii="Times New Roman" w:hAnsi="Times New Roman"/>
                <w:sz w:val="20"/>
                <w:szCs w:val="20"/>
                <w:lang w:val="en-GB"/>
              </w:rPr>
            </w:pPr>
            <w:r w:rsidRPr="00857F85">
              <w:rPr>
                <w:rFonts w:ascii="Times New Roman" w:hAnsi="Times New Roman"/>
                <w:sz w:val="20"/>
                <w:szCs w:val="20"/>
                <w:lang w:val="en-GB"/>
              </w:rPr>
              <w:t>Arthritis</w:t>
            </w:r>
          </w:p>
        </w:tc>
        <w:tc>
          <w:tcPr>
            <w:tcW w:w="985" w:type="pct"/>
            <w:shd w:val="clear" w:color="auto" w:fill="auto"/>
          </w:tcPr>
          <w:p w14:paraId="36D54D86" w14:textId="77777777" w:rsidR="002D71BC" w:rsidRPr="00857F85" w:rsidRDefault="002D71BC" w:rsidP="00BB0649">
            <w:pPr>
              <w:spacing w:after="0" w:line="240" w:lineRule="auto"/>
              <w:jc w:val="both"/>
              <w:rPr>
                <w:rFonts w:ascii="Times New Roman" w:hAnsi="Times New Roman"/>
                <w:sz w:val="20"/>
                <w:szCs w:val="20"/>
                <w:lang w:val="en-GB"/>
              </w:rPr>
            </w:pPr>
            <w:proofErr w:type="spellStart"/>
            <w:r w:rsidRPr="00857F85">
              <w:rPr>
                <w:rFonts w:ascii="Times New Roman" w:hAnsi="Times New Roman"/>
                <w:sz w:val="20"/>
                <w:szCs w:val="20"/>
              </w:rPr>
              <w:t>Same</w:t>
            </w:r>
            <w:proofErr w:type="spellEnd"/>
          </w:p>
        </w:tc>
        <w:tc>
          <w:tcPr>
            <w:tcW w:w="1895" w:type="pct"/>
            <w:shd w:val="clear" w:color="auto" w:fill="auto"/>
          </w:tcPr>
          <w:p w14:paraId="300BF17C" w14:textId="77777777" w:rsidR="002D71BC" w:rsidRPr="00857F85" w:rsidRDefault="002D71BC" w:rsidP="00BB0649">
            <w:pPr>
              <w:spacing w:after="0" w:line="240" w:lineRule="auto"/>
              <w:jc w:val="both"/>
              <w:rPr>
                <w:rFonts w:ascii="Times New Roman" w:hAnsi="Times New Roman"/>
                <w:sz w:val="20"/>
                <w:szCs w:val="20"/>
                <w:lang w:val="en-GB"/>
              </w:rPr>
            </w:pPr>
            <w:r w:rsidRPr="00857F85">
              <w:rPr>
                <w:rFonts w:ascii="Times New Roman" w:hAnsi="Times New Roman"/>
                <w:sz w:val="20"/>
                <w:szCs w:val="20"/>
              </w:rPr>
              <w:t xml:space="preserve">Yes =1, </w:t>
            </w:r>
            <w:proofErr w:type="spellStart"/>
            <w:r w:rsidRPr="00857F85">
              <w:rPr>
                <w:rFonts w:ascii="Times New Roman" w:hAnsi="Times New Roman"/>
                <w:sz w:val="20"/>
                <w:szCs w:val="20"/>
              </w:rPr>
              <w:t>Suspect</w:t>
            </w:r>
            <w:proofErr w:type="spellEnd"/>
            <w:r w:rsidRPr="00857F85">
              <w:rPr>
                <w:rFonts w:ascii="Times New Roman" w:hAnsi="Times New Roman"/>
                <w:sz w:val="20"/>
                <w:szCs w:val="20"/>
              </w:rPr>
              <w:t xml:space="preserve"> =0.5, No =0</w:t>
            </w:r>
          </w:p>
        </w:tc>
      </w:tr>
      <w:tr w:rsidR="002D71BC" w:rsidRPr="00857F85" w14:paraId="2D3FF2AB" w14:textId="77777777" w:rsidTr="00BB0649">
        <w:tc>
          <w:tcPr>
            <w:tcW w:w="265" w:type="pct"/>
            <w:shd w:val="clear" w:color="auto" w:fill="auto"/>
          </w:tcPr>
          <w:p w14:paraId="78EA88C1" w14:textId="77777777" w:rsidR="002D71BC" w:rsidRPr="00857F85" w:rsidRDefault="002D71BC" w:rsidP="00BB0649">
            <w:pPr>
              <w:spacing w:after="0" w:line="240" w:lineRule="auto"/>
              <w:jc w:val="both"/>
              <w:rPr>
                <w:rFonts w:ascii="Times New Roman" w:hAnsi="Times New Roman"/>
                <w:sz w:val="20"/>
                <w:szCs w:val="20"/>
                <w:lang w:val="en-GB"/>
              </w:rPr>
            </w:pPr>
            <w:r w:rsidRPr="00857F85">
              <w:rPr>
                <w:rFonts w:ascii="Times New Roman" w:hAnsi="Times New Roman"/>
                <w:sz w:val="20"/>
                <w:szCs w:val="20"/>
                <w:lang w:val="en-GB"/>
              </w:rPr>
              <w:lastRenderedPageBreak/>
              <w:t>33.</w:t>
            </w:r>
          </w:p>
        </w:tc>
        <w:tc>
          <w:tcPr>
            <w:tcW w:w="1855" w:type="pct"/>
            <w:shd w:val="clear" w:color="auto" w:fill="auto"/>
          </w:tcPr>
          <w:p w14:paraId="588D542A" w14:textId="77777777" w:rsidR="002D71BC" w:rsidRPr="00857F85" w:rsidRDefault="002D71BC" w:rsidP="00BB0649">
            <w:pPr>
              <w:spacing w:after="0" w:line="240" w:lineRule="auto"/>
              <w:jc w:val="both"/>
              <w:rPr>
                <w:rFonts w:ascii="Times New Roman" w:hAnsi="Times New Roman"/>
                <w:sz w:val="20"/>
                <w:szCs w:val="20"/>
                <w:lang w:val="en-GB"/>
              </w:rPr>
            </w:pPr>
            <w:r w:rsidRPr="00857F85">
              <w:rPr>
                <w:rFonts w:ascii="Times New Roman" w:hAnsi="Times New Roman"/>
                <w:sz w:val="20"/>
                <w:szCs w:val="20"/>
                <w:lang w:val="en-GB"/>
              </w:rPr>
              <w:t>Chronic lung disease</w:t>
            </w:r>
          </w:p>
        </w:tc>
        <w:tc>
          <w:tcPr>
            <w:tcW w:w="985" w:type="pct"/>
            <w:shd w:val="clear" w:color="auto" w:fill="auto"/>
          </w:tcPr>
          <w:p w14:paraId="40E2B96E" w14:textId="77777777" w:rsidR="002D71BC" w:rsidRPr="00857F85" w:rsidRDefault="002D71BC" w:rsidP="00BB0649">
            <w:pPr>
              <w:spacing w:after="0" w:line="240" w:lineRule="auto"/>
              <w:jc w:val="both"/>
              <w:rPr>
                <w:rFonts w:ascii="Times New Roman" w:hAnsi="Times New Roman"/>
                <w:sz w:val="20"/>
                <w:szCs w:val="20"/>
                <w:lang w:val="en-GB"/>
              </w:rPr>
            </w:pPr>
            <w:proofErr w:type="spellStart"/>
            <w:r w:rsidRPr="00857F85">
              <w:rPr>
                <w:rFonts w:ascii="Times New Roman" w:hAnsi="Times New Roman"/>
                <w:sz w:val="20"/>
                <w:szCs w:val="20"/>
              </w:rPr>
              <w:t>Same</w:t>
            </w:r>
            <w:proofErr w:type="spellEnd"/>
          </w:p>
        </w:tc>
        <w:tc>
          <w:tcPr>
            <w:tcW w:w="1895" w:type="pct"/>
            <w:shd w:val="clear" w:color="auto" w:fill="auto"/>
          </w:tcPr>
          <w:p w14:paraId="54F0998F" w14:textId="77777777" w:rsidR="002D71BC" w:rsidRPr="00857F85" w:rsidRDefault="002D71BC" w:rsidP="00BB0649">
            <w:pPr>
              <w:spacing w:after="0" w:line="240" w:lineRule="auto"/>
              <w:jc w:val="both"/>
              <w:rPr>
                <w:rFonts w:ascii="Times New Roman" w:hAnsi="Times New Roman"/>
                <w:sz w:val="20"/>
                <w:szCs w:val="20"/>
                <w:lang w:val="en-GB"/>
              </w:rPr>
            </w:pPr>
            <w:r w:rsidRPr="00857F85">
              <w:rPr>
                <w:rFonts w:ascii="Times New Roman" w:hAnsi="Times New Roman"/>
                <w:sz w:val="20"/>
                <w:szCs w:val="20"/>
              </w:rPr>
              <w:t xml:space="preserve">Yes =1, </w:t>
            </w:r>
            <w:proofErr w:type="spellStart"/>
            <w:r w:rsidRPr="00857F85">
              <w:rPr>
                <w:rFonts w:ascii="Times New Roman" w:hAnsi="Times New Roman"/>
                <w:sz w:val="20"/>
                <w:szCs w:val="20"/>
              </w:rPr>
              <w:t>Suspect</w:t>
            </w:r>
            <w:proofErr w:type="spellEnd"/>
            <w:r w:rsidRPr="00857F85">
              <w:rPr>
                <w:rFonts w:ascii="Times New Roman" w:hAnsi="Times New Roman"/>
                <w:sz w:val="20"/>
                <w:szCs w:val="20"/>
              </w:rPr>
              <w:t xml:space="preserve"> =0.5, No =0</w:t>
            </w:r>
          </w:p>
        </w:tc>
      </w:tr>
      <w:tr w:rsidR="002D71BC" w:rsidRPr="00857F85" w14:paraId="179004B2" w14:textId="77777777" w:rsidTr="00BB0649">
        <w:tc>
          <w:tcPr>
            <w:tcW w:w="265" w:type="pct"/>
            <w:shd w:val="clear" w:color="auto" w:fill="auto"/>
          </w:tcPr>
          <w:p w14:paraId="094D5D4C" w14:textId="77777777" w:rsidR="002D71BC" w:rsidRPr="00857F85" w:rsidRDefault="002D71BC" w:rsidP="00BB0649">
            <w:pPr>
              <w:spacing w:after="0" w:line="240" w:lineRule="auto"/>
              <w:jc w:val="both"/>
              <w:rPr>
                <w:rFonts w:ascii="Times New Roman" w:hAnsi="Times New Roman"/>
                <w:sz w:val="20"/>
                <w:szCs w:val="20"/>
                <w:lang w:val="en-GB"/>
              </w:rPr>
            </w:pPr>
            <w:r w:rsidRPr="00857F85">
              <w:rPr>
                <w:rFonts w:ascii="Times New Roman" w:hAnsi="Times New Roman"/>
                <w:sz w:val="20"/>
                <w:szCs w:val="20"/>
                <w:lang w:val="en-GB"/>
              </w:rPr>
              <w:t>34.</w:t>
            </w:r>
          </w:p>
        </w:tc>
        <w:tc>
          <w:tcPr>
            <w:tcW w:w="1855" w:type="pct"/>
            <w:shd w:val="clear" w:color="auto" w:fill="auto"/>
          </w:tcPr>
          <w:p w14:paraId="7800D18C" w14:textId="77777777" w:rsidR="002D71BC" w:rsidRPr="00857F85" w:rsidRDefault="002D71BC" w:rsidP="00BB0649">
            <w:pPr>
              <w:spacing w:after="0" w:line="240" w:lineRule="auto"/>
              <w:jc w:val="both"/>
              <w:rPr>
                <w:rFonts w:ascii="Times New Roman" w:hAnsi="Times New Roman"/>
                <w:sz w:val="20"/>
                <w:szCs w:val="20"/>
                <w:lang w:val="en-GB"/>
              </w:rPr>
            </w:pPr>
            <w:r w:rsidRPr="00857F85">
              <w:rPr>
                <w:rFonts w:ascii="Times New Roman" w:hAnsi="Times New Roman"/>
                <w:sz w:val="20"/>
                <w:szCs w:val="20"/>
                <w:lang w:val="en-GB"/>
              </w:rPr>
              <w:t>MMSE</w:t>
            </w:r>
          </w:p>
        </w:tc>
        <w:tc>
          <w:tcPr>
            <w:tcW w:w="985" w:type="pct"/>
            <w:shd w:val="clear" w:color="auto" w:fill="auto"/>
          </w:tcPr>
          <w:p w14:paraId="5273D6C1" w14:textId="77777777" w:rsidR="002D71BC" w:rsidRPr="00857F85" w:rsidRDefault="002D71BC" w:rsidP="00BB0649">
            <w:pPr>
              <w:spacing w:after="0" w:line="240" w:lineRule="auto"/>
              <w:jc w:val="both"/>
              <w:rPr>
                <w:rFonts w:ascii="Times New Roman" w:hAnsi="Times New Roman"/>
                <w:sz w:val="20"/>
                <w:szCs w:val="20"/>
                <w:lang w:val="en-GB"/>
              </w:rPr>
            </w:pPr>
            <w:proofErr w:type="spellStart"/>
            <w:r w:rsidRPr="00857F85">
              <w:rPr>
                <w:rFonts w:ascii="Times New Roman" w:hAnsi="Times New Roman"/>
                <w:sz w:val="20"/>
                <w:szCs w:val="20"/>
              </w:rPr>
              <w:t>Same</w:t>
            </w:r>
            <w:proofErr w:type="spellEnd"/>
          </w:p>
        </w:tc>
        <w:tc>
          <w:tcPr>
            <w:tcW w:w="1895" w:type="pct"/>
            <w:shd w:val="clear" w:color="auto" w:fill="auto"/>
          </w:tcPr>
          <w:p w14:paraId="41027D5C" w14:textId="77777777" w:rsidR="002D71BC" w:rsidRPr="00857F85" w:rsidRDefault="002D71BC" w:rsidP="00BB0649">
            <w:pPr>
              <w:spacing w:after="0" w:line="240" w:lineRule="auto"/>
              <w:jc w:val="both"/>
              <w:rPr>
                <w:rFonts w:ascii="Times New Roman" w:hAnsi="Times New Roman"/>
                <w:sz w:val="20"/>
                <w:szCs w:val="20"/>
                <w:lang w:val="en-GB"/>
              </w:rPr>
            </w:pPr>
            <w:r w:rsidRPr="00857F85">
              <w:rPr>
                <w:rFonts w:ascii="Times New Roman" w:hAnsi="Times New Roman"/>
                <w:sz w:val="20"/>
                <w:szCs w:val="20"/>
                <w:lang w:val="en-GB"/>
              </w:rPr>
              <w:t>&lt;10= 1, 11-17=0.75, 18-20= 0.5, 21-24=0.25, &gt;24 =0</w:t>
            </w:r>
          </w:p>
        </w:tc>
      </w:tr>
      <w:tr w:rsidR="002D71BC" w:rsidRPr="00857F85" w14:paraId="3EEA1D7B" w14:textId="77777777" w:rsidTr="00BB0649">
        <w:tc>
          <w:tcPr>
            <w:tcW w:w="265" w:type="pct"/>
            <w:shd w:val="clear" w:color="auto" w:fill="auto"/>
          </w:tcPr>
          <w:p w14:paraId="0B10E514" w14:textId="77777777" w:rsidR="002D71BC" w:rsidRPr="00857F85" w:rsidRDefault="002D71BC" w:rsidP="00BB0649">
            <w:pPr>
              <w:spacing w:after="0" w:line="240" w:lineRule="auto"/>
              <w:jc w:val="both"/>
              <w:rPr>
                <w:rFonts w:ascii="Times New Roman" w:hAnsi="Times New Roman"/>
                <w:sz w:val="20"/>
                <w:szCs w:val="20"/>
                <w:lang w:val="en-GB"/>
              </w:rPr>
            </w:pPr>
            <w:r w:rsidRPr="00857F85">
              <w:rPr>
                <w:rFonts w:ascii="Times New Roman" w:hAnsi="Times New Roman"/>
                <w:sz w:val="20"/>
                <w:szCs w:val="20"/>
                <w:lang w:val="en-GB"/>
              </w:rPr>
              <w:t>35.</w:t>
            </w:r>
          </w:p>
        </w:tc>
        <w:tc>
          <w:tcPr>
            <w:tcW w:w="1855" w:type="pct"/>
            <w:shd w:val="clear" w:color="auto" w:fill="auto"/>
          </w:tcPr>
          <w:p w14:paraId="2230DD86" w14:textId="77777777" w:rsidR="002D71BC" w:rsidRPr="00857F85" w:rsidRDefault="002D71BC" w:rsidP="00BB0649">
            <w:pPr>
              <w:spacing w:after="0" w:line="240" w:lineRule="auto"/>
              <w:jc w:val="both"/>
              <w:rPr>
                <w:rFonts w:ascii="Times New Roman" w:hAnsi="Times New Roman"/>
                <w:sz w:val="20"/>
                <w:szCs w:val="20"/>
                <w:lang w:val="en-GB"/>
              </w:rPr>
            </w:pPr>
            <w:r w:rsidRPr="00857F85">
              <w:rPr>
                <w:rFonts w:ascii="Times New Roman" w:hAnsi="Times New Roman"/>
                <w:sz w:val="20"/>
                <w:szCs w:val="20"/>
                <w:lang w:val="en-GB"/>
              </w:rPr>
              <w:t>Peak Flow</w:t>
            </w:r>
          </w:p>
        </w:tc>
        <w:tc>
          <w:tcPr>
            <w:tcW w:w="985" w:type="pct"/>
            <w:shd w:val="clear" w:color="auto" w:fill="auto"/>
          </w:tcPr>
          <w:p w14:paraId="47AF2C6E" w14:textId="7BC5FF11" w:rsidR="002D71BC" w:rsidRPr="00857F85" w:rsidRDefault="002D71BC" w:rsidP="00BB0649">
            <w:pPr>
              <w:spacing w:after="0" w:line="240" w:lineRule="auto"/>
              <w:jc w:val="both"/>
              <w:rPr>
                <w:rFonts w:ascii="Times New Roman" w:hAnsi="Times New Roman"/>
                <w:sz w:val="20"/>
                <w:szCs w:val="20"/>
                <w:lang w:val="en-GB"/>
              </w:rPr>
            </w:pPr>
            <w:r w:rsidRPr="00857F85">
              <w:rPr>
                <w:rFonts w:ascii="Times New Roman" w:hAnsi="Times New Roman"/>
                <w:sz w:val="20"/>
                <w:szCs w:val="20"/>
                <w:lang w:val="en-GB"/>
              </w:rPr>
              <w:t>Forced expiratory volume in 1 second (FE</w:t>
            </w:r>
            <w:r w:rsidR="006A1880">
              <w:rPr>
                <w:rFonts w:ascii="Times New Roman" w:hAnsi="Times New Roman"/>
                <w:sz w:val="20"/>
                <w:szCs w:val="20"/>
                <w:lang w:val="en-GB"/>
              </w:rPr>
              <w:t>V</w:t>
            </w:r>
            <w:r w:rsidRPr="00857F85">
              <w:rPr>
                <w:rFonts w:ascii="Times New Roman" w:hAnsi="Times New Roman"/>
                <w:sz w:val="20"/>
                <w:szCs w:val="20"/>
                <w:lang w:val="en-GB"/>
              </w:rPr>
              <w:t>) (litres)</w:t>
            </w:r>
          </w:p>
        </w:tc>
        <w:tc>
          <w:tcPr>
            <w:tcW w:w="1895" w:type="pct"/>
            <w:shd w:val="clear" w:color="auto" w:fill="auto"/>
          </w:tcPr>
          <w:p w14:paraId="26484E21" w14:textId="77777777" w:rsidR="002D71BC" w:rsidRPr="00857F85" w:rsidRDefault="002D71BC" w:rsidP="00BB0649">
            <w:pPr>
              <w:spacing w:after="0" w:line="240" w:lineRule="auto"/>
              <w:jc w:val="both"/>
              <w:rPr>
                <w:rFonts w:ascii="Times New Roman" w:hAnsi="Times New Roman"/>
                <w:sz w:val="20"/>
                <w:szCs w:val="20"/>
                <w:lang w:val="en-GB"/>
              </w:rPr>
            </w:pPr>
            <w:r w:rsidRPr="00857F85">
              <w:rPr>
                <w:rFonts w:ascii="Times New Roman" w:hAnsi="Times New Roman"/>
                <w:sz w:val="20"/>
                <w:szCs w:val="20"/>
                <w:lang w:val="en-GB"/>
              </w:rPr>
              <w:t>&lt;1.39</w:t>
            </w:r>
          </w:p>
        </w:tc>
      </w:tr>
      <w:tr w:rsidR="002D71BC" w:rsidRPr="00857F85" w14:paraId="77E78D6F" w14:textId="77777777" w:rsidTr="00BB0649">
        <w:tc>
          <w:tcPr>
            <w:tcW w:w="265" w:type="pct"/>
            <w:shd w:val="clear" w:color="auto" w:fill="auto"/>
          </w:tcPr>
          <w:p w14:paraId="3679DB30" w14:textId="77777777" w:rsidR="002D71BC" w:rsidRPr="00857F85" w:rsidRDefault="002D71BC" w:rsidP="00BB0649">
            <w:pPr>
              <w:spacing w:after="0" w:line="240" w:lineRule="auto"/>
              <w:jc w:val="both"/>
              <w:rPr>
                <w:rFonts w:ascii="Times New Roman" w:hAnsi="Times New Roman"/>
                <w:sz w:val="20"/>
                <w:szCs w:val="20"/>
                <w:lang w:val="en-GB"/>
              </w:rPr>
            </w:pPr>
            <w:r w:rsidRPr="00857F85">
              <w:rPr>
                <w:rFonts w:ascii="Times New Roman" w:hAnsi="Times New Roman"/>
                <w:sz w:val="20"/>
                <w:szCs w:val="20"/>
                <w:lang w:val="en-GB"/>
              </w:rPr>
              <w:t>36.</w:t>
            </w:r>
          </w:p>
        </w:tc>
        <w:tc>
          <w:tcPr>
            <w:tcW w:w="1855" w:type="pct"/>
            <w:shd w:val="clear" w:color="auto" w:fill="auto"/>
          </w:tcPr>
          <w:p w14:paraId="7BDAA2AA" w14:textId="77777777" w:rsidR="002D71BC" w:rsidRPr="00857F85" w:rsidRDefault="002D71BC" w:rsidP="00BB0649">
            <w:pPr>
              <w:spacing w:after="0" w:line="240" w:lineRule="auto"/>
              <w:jc w:val="both"/>
              <w:rPr>
                <w:rFonts w:ascii="Times New Roman" w:hAnsi="Times New Roman"/>
                <w:sz w:val="20"/>
                <w:szCs w:val="20"/>
                <w:lang w:val="en-GB"/>
              </w:rPr>
            </w:pPr>
            <w:r w:rsidRPr="00857F85">
              <w:rPr>
                <w:rFonts w:ascii="Times New Roman" w:hAnsi="Times New Roman"/>
                <w:sz w:val="20"/>
                <w:szCs w:val="20"/>
                <w:lang w:val="en-GB"/>
              </w:rPr>
              <w:t>Shoulder strength</w:t>
            </w:r>
          </w:p>
        </w:tc>
        <w:tc>
          <w:tcPr>
            <w:tcW w:w="985" w:type="pct"/>
            <w:shd w:val="clear" w:color="auto" w:fill="auto"/>
          </w:tcPr>
          <w:p w14:paraId="0D9F58FC" w14:textId="77777777" w:rsidR="002D71BC" w:rsidRPr="00857F85" w:rsidRDefault="002D71BC" w:rsidP="00BB0649">
            <w:pPr>
              <w:spacing w:after="0" w:line="240" w:lineRule="auto"/>
              <w:jc w:val="both"/>
              <w:rPr>
                <w:rFonts w:ascii="Times New Roman" w:hAnsi="Times New Roman"/>
                <w:sz w:val="20"/>
                <w:szCs w:val="20"/>
                <w:lang w:val="en-GB"/>
              </w:rPr>
            </w:pPr>
            <w:proofErr w:type="spellStart"/>
            <w:r w:rsidRPr="00857F85">
              <w:rPr>
                <w:rFonts w:ascii="Times New Roman" w:hAnsi="Times New Roman"/>
                <w:sz w:val="20"/>
                <w:szCs w:val="20"/>
              </w:rPr>
              <w:t>Same</w:t>
            </w:r>
            <w:proofErr w:type="spellEnd"/>
          </w:p>
        </w:tc>
        <w:tc>
          <w:tcPr>
            <w:tcW w:w="1895" w:type="pct"/>
            <w:shd w:val="clear" w:color="auto" w:fill="auto"/>
          </w:tcPr>
          <w:p w14:paraId="35256D86" w14:textId="77777777" w:rsidR="002D71BC" w:rsidRPr="00857F85" w:rsidRDefault="002D71BC" w:rsidP="00BB0649">
            <w:pPr>
              <w:spacing w:after="0" w:line="240" w:lineRule="auto"/>
              <w:jc w:val="both"/>
              <w:rPr>
                <w:rFonts w:ascii="Times New Roman" w:hAnsi="Times New Roman"/>
                <w:sz w:val="20"/>
                <w:szCs w:val="20"/>
                <w:lang w:val="en-GB"/>
              </w:rPr>
            </w:pPr>
            <w:r w:rsidRPr="00857F85">
              <w:rPr>
                <w:rFonts w:ascii="Times New Roman" w:hAnsi="Times New Roman"/>
                <w:sz w:val="20"/>
                <w:szCs w:val="20"/>
                <w:lang w:val="en-GB"/>
              </w:rPr>
              <w:t>Men &lt;10.84 =1, Women&lt;6.4 =1, Other values =0</w:t>
            </w:r>
          </w:p>
        </w:tc>
      </w:tr>
      <w:tr w:rsidR="002D71BC" w:rsidRPr="00857F85" w14:paraId="227B0CF3" w14:textId="77777777" w:rsidTr="00BB0649">
        <w:tc>
          <w:tcPr>
            <w:tcW w:w="265" w:type="pct"/>
            <w:shd w:val="clear" w:color="auto" w:fill="auto"/>
          </w:tcPr>
          <w:p w14:paraId="0929E0C6" w14:textId="77777777" w:rsidR="002D71BC" w:rsidRPr="00857F85" w:rsidRDefault="002D71BC" w:rsidP="00BB0649">
            <w:pPr>
              <w:spacing w:after="0" w:line="240" w:lineRule="auto"/>
              <w:jc w:val="both"/>
              <w:rPr>
                <w:rFonts w:ascii="Times New Roman" w:hAnsi="Times New Roman"/>
                <w:sz w:val="20"/>
                <w:szCs w:val="20"/>
                <w:lang w:val="en-GB"/>
              </w:rPr>
            </w:pPr>
            <w:r w:rsidRPr="00857F85">
              <w:rPr>
                <w:rFonts w:ascii="Times New Roman" w:hAnsi="Times New Roman"/>
                <w:sz w:val="20"/>
                <w:szCs w:val="20"/>
                <w:lang w:val="en-GB"/>
              </w:rPr>
              <w:t>37.</w:t>
            </w:r>
          </w:p>
        </w:tc>
        <w:tc>
          <w:tcPr>
            <w:tcW w:w="1855" w:type="pct"/>
            <w:shd w:val="clear" w:color="auto" w:fill="auto"/>
          </w:tcPr>
          <w:p w14:paraId="26A0D2BD" w14:textId="77777777" w:rsidR="002D71BC" w:rsidRPr="00857F85" w:rsidRDefault="002D71BC" w:rsidP="00BB0649">
            <w:pPr>
              <w:spacing w:after="0" w:line="240" w:lineRule="auto"/>
              <w:jc w:val="both"/>
              <w:rPr>
                <w:rFonts w:ascii="Times New Roman" w:hAnsi="Times New Roman"/>
                <w:sz w:val="20"/>
                <w:szCs w:val="20"/>
                <w:lang w:val="en-GB"/>
              </w:rPr>
            </w:pPr>
            <w:r w:rsidRPr="00857F85">
              <w:rPr>
                <w:rFonts w:ascii="Times New Roman" w:hAnsi="Times New Roman"/>
                <w:sz w:val="20"/>
                <w:szCs w:val="20"/>
                <w:lang w:val="en-GB"/>
              </w:rPr>
              <w:t>BMI</w:t>
            </w:r>
          </w:p>
        </w:tc>
        <w:tc>
          <w:tcPr>
            <w:tcW w:w="985" w:type="pct"/>
            <w:shd w:val="clear" w:color="auto" w:fill="auto"/>
          </w:tcPr>
          <w:p w14:paraId="02C16917" w14:textId="77777777" w:rsidR="002D71BC" w:rsidRPr="00857F85" w:rsidRDefault="002D71BC" w:rsidP="00BB0649">
            <w:pPr>
              <w:spacing w:after="0" w:line="240" w:lineRule="auto"/>
              <w:jc w:val="both"/>
              <w:rPr>
                <w:rFonts w:ascii="Times New Roman" w:hAnsi="Times New Roman"/>
                <w:sz w:val="20"/>
                <w:szCs w:val="20"/>
                <w:lang w:val="en-GB"/>
              </w:rPr>
            </w:pPr>
            <w:proofErr w:type="spellStart"/>
            <w:r w:rsidRPr="00857F85">
              <w:rPr>
                <w:rFonts w:ascii="Times New Roman" w:hAnsi="Times New Roman"/>
                <w:sz w:val="20"/>
                <w:szCs w:val="20"/>
              </w:rPr>
              <w:t>Same</w:t>
            </w:r>
            <w:proofErr w:type="spellEnd"/>
          </w:p>
        </w:tc>
        <w:tc>
          <w:tcPr>
            <w:tcW w:w="1895" w:type="pct"/>
            <w:shd w:val="clear" w:color="auto" w:fill="auto"/>
          </w:tcPr>
          <w:p w14:paraId="50E95552" w14:textId="77777777" w:rsidR="002D71BC" w:rsidRPr="00857F85" w:rsidRDefault="002D71BC" w:rsidP="00BB0649">
            <w:pPr>
              <w:spacing w:after="0" w:line="240" w:lineRule="auto"/>
              <w:jc w:val="both"/>
              <w:rPr>
                <w:rFonts w:ascii="Times New Roman" w:hAnsi="Times New Roman"/>
                <w:sz w:val="20"/>
                <w:szCs w:val="20"/>
                <w:lang w:val="en-GB"/>
              </w:rPr>
            </w:pPr>
            <w:r w:rsidRPr="00857F85">
              <w:rPr>
                <w:rFonts w:ascii="Times New Roman" w:hAnsi="Times New Roman"/>
                <w:sz w:val="20"/>
                <w:szCs w:val="20"/>
                <w:lang w:val="en-GB"/>
              </w:rPr>
              <w:t>&lt;18.5 or ≥30 =1, 25 -&lt;30 =0.5, other values =0</w:t>
            </w:r>
          </w:p>
        </w:tc>
      </w:tr>
      <w:tr w:rsidR="002D71BC" w:rsidRPr="00F358E1" w14:paraId="7E4CC2F3" w14:textId="77777777" w:rsidTr="00BB0649">
        <w:tc>
          <w:tcPr>
            <w:tcW w:w="265" w:type="pct"/>
            <w:shd w:val="clear" w:color="auto" w:fill="auto"/>
          </w:tcPr>
          <w:p w14:paraId="65AC8ECE" w14:textId="77777777" w:rsidR="002D71BC" w:rsidRPr="00857F85" w:rsidRDefault="002D71BC" w:rsidP="00BB0649">
            <w:pPr>
              <w:spacing w:after="0" w:line="240" w:lineRule="auto"/>
              <w:jc w:val="both"/>
              <w:rPr>
                <w:rFonts w:ascii="Times New Roman" w:hAnsi="Times New Roman"/>
                <w:sz w:val="20"/>
                <w:szCs w:val="20"/>
                <w:lang w:val="en-GB"/>
              </w:rPr>
            </w:pPr>
            <w:r w:rsidRPr="00857F85">
              <w:rPr>
                <w:rFonts w:ascii="Times New Roman" w:hAnsi="Times New Roman"/>
                <w:sz w:val="20"/>
                <w:szCs w:val="20"/>
                <w:lang w:val="en-GB"/>
              </w:rPr>
              <w:t>38.</w:t>
            </w:r>
          </w:p>
        </w:tc>
        <w:tc>
          <w:tcPr>
            <w:tcW w:w="1855" w:type="pct"/>
            <w:shd w:val="clear" w:color="auto" w:fill="auto"/>
          </w:tcPr>
          <w:p w14:paraId="27EF6E72" w14:textId="77777777" w:rsidR="002D71BC" w:rsidRPr="00857F85" w:rsidRDefault="002D71BC" w:rsidP="00BB0649">
            <w:pPr>
              <w:spacing w:after="0" w:line="240" w:lineRule="auto"/>
              <w:jc w:val="both"/>
              <w:rPr>
                <w:rFonts w:ascii="Times New Roman" w:hAnsi="Times New Roman"/>
                <w:sz w:val="20"/>
                <w:szCs w:val="20"/>
                <w:lang w:val="en-GB"/>
              </w:rPr>
            </w:pPr>
            <w:r w:rsidRPr="00857F85">
              <w:rPr>
                <w:rFonts w:ascii="Times New Roman" w:hAnsi="Times New Roman"/>
                <w:sz w:val="20"/>
                <w:szCs w:val="20"/>
                <w:lang w:val="en-GB"/>
              </w:rPr>
              <w:t>Grip strength</w:t>
            </w:r>
          </w:p>
        </w:tc>
        <w:tc>
          <w:tcPr>
            <w:tcW w:w="985" w:type="pct"/>
            <w:shd w:val="clear" w:color="auto" w:fill="auto"/>
          </w:tcPr>
          <w:p w14:paraId="276CDDB0" w14:textId="77777777" w:rsidR="002D71BC" w:rsidRPr="00857F85" w:rsidRDefault="002D71BC" w:rsidP="00BB0649">
            <w:pPr>
              <w:spacing w:after="0" w:line="240" w:lineRule="auto"/>
              <w:jc w:val="both"/>
              <w:rPr>
                <w:rFonts w:ascii="Times New Roman" w:hAnsi="Times New Roman"/>
                <w:sz w:val="20"/>
                <w:szCs w:val="20"/>
                <w:lang w:val="en-GB"/>
              </w:rPr>
            </w:pPr>
            <w:proofErr w:type="spellStart"/>
            <w:r w:rsidRPr="00857F85">
              <w:rPr>
                <w:rFonts w:ascii="Times New Roman" w:hAnsi="Times New Roman"/>
                <w:sz w:val="20"/>
                <w:szCs w:val="20"/>
              </w:rPr>
              <w:t>Same</w:t>
            </w:r>
            <w:proofErr w:type="spellEnd"/>
          </w:p>
        </w:tc>
        <w:tc>
          <w:tcPr>
            <w:tcW w:w="1895" w:type="pct"/>
            <w:shd w:val="clear" w:color="auto" w:fill="auto"/>
          </w:tcPr>
          <w:p w14:paraId="16816D5A" w14:textId="77777777" w:rsidR="002D71BC" w:rsidRPr="00857F85" w:rsidRDefault="002D71BC" w:rsidP="00BB0649">
            <w:pPr>
              <w:spacing w:after="0" w:line="240" w:lineRule="auto"/>
              <w:jc w:val="both"/>
              <w:rPr>
                <w:rFonts w:ascii="Times New Roman" w:hAnsi="Times New Roman"/>
                <w:sz w:val="20"/>
                <w:szCs w:val="20"/>
                <w:lang w:val="en-GB"/>
              </w:rPr>
            </w:pPr>
            <w:r w:rsidRPr="00857F85">
              <w:rPr>
                <w:rFonts w:ascii="Times New Roman" w:hAnsi="Times New Roman"/>
                <w:sz w:val="20"/>
                <w:szCs w:val="20"/>
                <w:lang w:val="en-GB"/>
              </w:rPr>
              <w:t xml:space="preserve">Worst BMI </w:t>
            </w:r>
            <w:proofErr w:type="spellStart"/>
            <w:r w:rsidRPr="00857F85">
              <w:rPr>
                <w:rFonts w:ascii="Times New Roman" w:hAnsi="Times New Roman"/>
                <w:sz w:val="20"/>
                <w:szCs w:val="20"/>
                <w:lang w:val="en-GB"/>
              </w:rPr>
              <w:t>quintil</w:t>
            </w:r>
            <w:proofErr w:type="spellEnd"/>
            <w:r w:rsidRPr="00857F85">
              <w:rPr>
                <w:rFonts w:ascii="Times New Roman" w:hAnsi="Times New Roman"/>
                <w:sz w:val="20"/>
                <w:szCs w:val="20"/>
                <w:lang w:val="en-GB"/>
              </w:rPr>
              <w:t xml:space="preserve"> by sex =1, Other value =0</w:t>
            </w:r>
          </w:p>
        </w:tc>
      </w:tr>
      <w:tr w:rsidR="002D71BC" w:rsidRPr="00F358E1" w14:paraId="203B21B6" w14:textId="77777777" w:rsidTr="00BB0649">
        <w:tc>
          <w:tcPr>
            <w:tcW w:w="265" w:type="pct"/>
            <w:shd w:val="clear" w:color="auto" w:fill="auto"/>
          </w:tcPr>
          <w:p w14:paraId="61DFD963" w14:textId="77777777" w:rsidR="002D71BC" w:rsidRPr="00857F85" w:rsidRDefault="002D71BC" w:rsidP="00BB0649">
            <w:pPr>
              <w:spacing w:after="0" w:line="240" w:lineRule="auto"/>
              <w:jc w:val="both"/>
              <w:rPr>
                <w:rFonts w:ascii="Times New Roman" w:hAnsi="Times New Roman"/>
                <w:sz w:val="20"/>
                <w:szCs w:val="20"/>
                <w:lang w:val="en-GB"/>
              </w:rPr>
            </w:pPr>
            <w:r w:rsidRPr="00857F85">
              <w:rPr>
                <w:rFonts w:ascii="Times New Roman" w:hAnsi="Times New Roman"/>
                <w:sz w:val="20"/>
                <w:szCs w:val="20"/>
                <w:lang w:val="en-GB"/>
              </w:rPr>
              <w:t>39.</w:t>
            </w:r>
          </w:p>
        </w:tc>
        <w:tc>
          <w:tcPr>
            <w:tcW w:w="1855" w:type="pct"/>
            <w:shd w:val="clear" w:color="auto" w:fill="auto"/>
          </w:tcPr>
          <w:p w14:paraId="63A3A792" w14:textId="77777777" w:rsidR="002D71BC" w:rsidRPr="00857F85" w:rsidRDefault="002D71BC" w:rsidP="00BB0649">
            <w:pPr>
              <w:spacing w:after="0" w:line="240" w:lineRule="auto"/>
              <w:jc w:val="both"/>
              <w:rPr>
                <w:rFonts w:ascii="Times New Roman" w:hAnsi="Times New Roman"/>
                <w:sz w:val="20"/>
                <w:szCs w:val="20"/>
                <w:lang w:val="en-GB"/>
              </w:rPr>
            </w:pPr>
            <w:r w:rsidRPr="00857F85">
              <w:rPr>
                <w:rFonts w:ascii="Times New Roman" w:hAnsi="Times New Roman"/>
                <w:sz w:val="20"/>
                <w:szCs w:val="20"/>
                <w:lang w:val="en-GB"/>
              </w:rPr>
              <w:t>Usual pace</w:t>
            </w:r>
          </w:p>
        </w:tc>
        <w:tc>
          <w:tcPr>
            <w:tcW w:w="985" w:type="pct"/>
            <w:shd w:val="clear" w:color="auto" w:fill="auto"/>
          </w:tcPr>
          <w:p w14:paraId="18606881" w14:textId="77777777" w:rsidR="002D71BC" w:rsidRPr="00857F85" w:rsidRDefault="002D71BC" w:rsidP="00BB0649">
            <w:pPr>
              <w:spacing w:after="0" w:line="240" w:lineRule="auto"/>
              <w:jc w:val="both"/>
              <w:rPr>
                <w:rFonts w:ascii="Times New Roman" w:hAnsi="Times New Roman"/>
                <w:sz w:val="20"/>
                <w:szCs w:val="20"/>
                <w:lang w:val="en-GB"/>
              </w:rPr>
            </w:pPr>
            <w:proofErr w:type="spellStart"/>
            <w:r w:rsidRPr="00857F85">
              <w:rPr>
                <w:rFonts w:ascii="Times New Roman" w:hAnsi="Times New Roman"/>
                <w:sz w:val="20"/>
                <w:szCs w:val="20"/>
              </w:rPr>
              <w:t>Same</w:t>
            </w:r>
            <w:proofErr w:type="spellEnd"/>
          </w:p>
        </w:tc>
        <w:tc>
          <w:tcPr>
            <w:tcW w:w="1895" w:type="pct"/>
            <w:shd w:val="clear" w:color="auto" w:fill="auto"/>
          </w:tcPr>
          <w:p w14:paraId="4595D5E2" w14:textId="77777777" w:rsidR="002D71BC" w:rsidRPr="00857F85" w:rsidRDefault="002D71BC" w:rsidP="00BB0649">
            <w:pPr>
              <w:spacing w:after="0" w:line="240" w:lineRule="auto"/>
              <w:jc w:val="both"/>
              <w:rPr>
                <w:rFonts w:ascii="Times New Roman" w:hAnsi="Times New Roman"/>
                <w:sz w:val="20"/>
                <w:szCs w:val="20"/>
                <w:lang w:val="en-GB"/>
              </w:rPr>
            </w:pPr>
            <w:r w:rsidRPr="00857F85">
              <w:rPr>
                <w:rFonts w:ascii="Times New Roman" w:hAnsi="Times New Roman"/>
                <w:sz w:val="20"/>
                <w:szCs w:val="20"/>
                <w:lang w:val="en-GB"/>
              </w:rPr>
              <w:t xml:space="preserve">Worst height </w:t>
            </w:r>
            <w:proofErr w:type="spellStart"/>
            <w:r w:rsidRPr="00857F85">
              <w:rPr>
                <w:rFonts w:ascii="Times New Roman" w:hAnsi="Times New Roman"/>
                <w:sz w:val="20"/>
                <w:szCs w:val="20"/>
                <w:lang w:val="en-GB"/>
              </w:rPr>
              <w:t>quintil</w:t>
            </w:r>
            <w:proofErr w:type="spellEnd"/>
            <w:r w:rsidRPr="00857F85">
              <w:rPr>
                <w:rFonts w:ascii="Times New Roman" w:hAnsi="Times New Roman"/>
                <w:sz w:val="20"/>
                <w:szCs w:val="20"/>
                <w:lang w:val="en-GB"/>
              </w:rPr>
              <w:t xml:space="preserve"> by sex =1, Other value =0</w:t>
            </w:r>
          </w:p>
        </w:tc>
      </w:tr>
      <w:tr w:rsidR="002D71BC" w:rsidRPr="00F358E1" w14:paraId="55F07C1E" w14:textId="77777777" w:rsidTr="00BB0649">
        <w:tc>
          <w:tcPr>
            <w:tcW w:w="265" w:type="pct"/>
            <w:shd w:val="clear" w:color="auto" w:fill="auto"/>
          </w:tcPr>
          <w:p w14:paraId="1788F818" w14:textId="77777777" w:rsidR="002D71BC" w:rsidRPr="00857F85" w:rsidRDefault="002D71BC" w:rsidP="00BB0649">
            <w:pPr>
              <w:spacing w:after="0" w:line="240" w:lineRule="auto"/>
              <w:jc w:val="both"/>
              <w:rPr>
                <w:rFonts w:ascii="Times New Roman" w:hAnsi="Times New Roman"/>
                <w:sz w:val="20"/>
                <w:szCs w:val="20"/>
                <w:lang w:val="en-GB"/>
              </w:rPr>
            </w:pPr>
            <w:r w:rsidRPr="00857F85">
              <w:rPr>
                <w:rFonts w:ascii="Times New Roman" w:hAnsi="Times New Roman"/>
                <w:sz w:val="20"/>
                <w:szCs w:val="20"/>
                <w:lang w:val="en-GB"/>
              </w:rPr>
              <w:t>40.</w:t>
            </w:r>
          </w:p>
        </w:tc>
        <w:tc>
          <w:tcPr>
            <w:tcW w:w="1855" w:type="pct"/>
            <w:shd w:val="clear" w:color="auto" w:fill="auto"/>
          </w:tcPr>
          <w:p w14:paraId="7CA2744D" w14:textId="77777777" w:rsidR="002D71BC" w:rsidRPr="00857F85" w:rsidRDefault="002D71BC" w:rsidP="00BB0649">
            <w:pPr>
              <w:spacing w:after="0" w:line="240" w:lineRule="auto"/>
              <w:jc w:val="both"/>
              <w:rPr>
                <w:rFonts w:ascii="Times New Roman" w:hAnsi="Times New Roman"/>
                <w:sz w:val="20"/>
                <w:szCs w:val="20"/>
                <w:lang w:val="en-GB"/>
              </w:rPr>
            </w:pPr>
            <w:r w:rsidRPr="00857F85">
              <w:rPr>
                <w:rFonts w:ascii="Times New Roman" w:hAnsi="Times New Roman"/>
                <w:sz w:val="20"/>
                <w:szCs w:val="20"/>
                <w:lang w:val="en-GB"/>
              </w:rPr>
              <w:t>Rapid pace</w:t>
            </w:r>
          </w:p>
        </w:tc>
        <w:tc>
          <w:tcPr>
            <w:tcW w:w="985" w:type="pct"/>
            <w:shd w:val="clear" w:color="auto" w:fill="auto"/>
          </w:tcPr>
          <w:p w14:paraId="7F54A807" w14:textId="77777777" w:rsidR="002D71BC" w:rsidRPr="00857F85" w:rsidRDefault="002D71BC" w:rsidP="00BB0649">
            <w:pPr>
              <w:spacing w:after="0" w:line="240" w:lineRule="auto"/>
              <w:jc w:val="both"/>
              <w:rPr>
                <w:rFonts w:ascii="Times New Roman" w:hAnsi="Times New Roman"/>
                <w:sz w:val="20"/>
                <w:szCs w:val="20"/>
                <w:lang w:val="en-GB"/>
              </w:rPr>
            </w:pPr>
            <w:r w:rsidRPr="00857F85">
              <w:rPr>
                <w:rFonts w:ascii="Times New Roman" w:hAnsi="Times New Roman"/>
                <w:sz w:val="20"/>
                <w:szCs w:val="20"/>
                <w:lang w:val="en-GB"/>
              </w:rPr>
              <w:t>Balance</w:t>
            </w:r>
          </w:p>
        </w:tc>
        <w:tc>
          <w:tcPr>
            <w:tcW w:w="1895" w:type="pct"/>
            <w:shd w:val="clear" w:color="auto" w:fill="auto"/>
          </w:tcPr>
          <w:p w14:paraId="6DBF10B2" w14:textId="77777777" w:rsidR="002D71BC" w:rsidRPr="00857F85" w:rsidRDefault="002D71BC" w:rsidP="00BB0649">
            <w:pPr>
              <w:spacing w:after="0" w:line="240" w:lineRule="auto"/>
              <w:jc w:val="both"/>
              <w:rPr>
                <w:rFonts w:ascii="Times New Roman" w:hAnsi="Times New Roman"/>
                <w:sz w:val="20"/>
                <w:szCs w:val="20"/>
                <w:lang w:val="en-GB"/>
              </w:rPr>
            </w:pPr>
            <w:r w:rsidRPr="00857F85">
              <w:rPr>
                <w:rFonts w:ascii="Times New Roman" w:hAnsi="Times New Roman"/>
                <w:sz w:val="20"/>
                <w:szCs w:val="20"/>
                <w:lang w:val="en-GB"/>
              </w:rPr>
              <w:t>1= side by side 0-9 sec or unable, other value =0</w:t>
            </w:r>
          </w:p>
        </w:tc>
      </w:tr>
    </w:tbl>
    <w:p w14:paraId="5C913DFF" w14:textId="77777777" w:rsidR="006A1880" w:rsidRDefault="006A1880" w:rsidP="002D71BC">
      <w:pPr>
        <w:spacing w:line="240" w:lineRule="auto"/>
        <w:jc w:val="both"/>
        <w:rPr>
          <w:rFonts w:ascii="Times New Roman" w:hAnsi="Times New Roman"/>
          <w:sz w:val="20"/>
          <w:szCs w:val="20"/>
          <w:lang w:val="en-GB" w:eastAsia="es-ES"/>
        </w:rPr>
      </w:pPr>
    </w:p>
    <w:p w14:paraId="7D8DBE6F" w14:textId="55FACD49" w:rsidR="006A1880" w:rsidRDefault="006A1880" w:rsidP="002D71BC">
      <w:pPr>
        <w:spacing w:line="240" w:lineRule="auto"/>
        <w:jc w:val="both"/>
        <w:rPr>
          <w:rFonts w:ascii="Times New Roman" w:hAnsi="Times New Roman"/>
          <w:sz w:val="20"/>
          <w:szCs w:val="20"/>
          <w:lang w:val="en-GB" w:eastAsia="es-ES"/>
        </w:rPr>
      </w:pPr>
      <w:r>
        <w:rPr>
          <w:rFonts w:ascii="Times New Roman" w:hAnsi="Times New Roman"/>
          <w:sz w:val="20"/>
          <w:szCs w:val="20"/>
          <w:lang w:val="en-GB" w:eastAsia="es-ES"/>
        </w:rPr>
        <w:t xml:space="preserve">FEV: Forced expiratory volume. PASE: Physical Activity Scale for the Elderly. </w:t>
      </w:r>
    </w:p>
    <w:p w14:paraId="05D663B1" w14:textId="4B044311" w:rsidR="002D71BC" w:rsidRPr="00107FC8" w:rsidRDefault="002D71BC" w:rsidP="002D71BC">
      <w:pPr>
        <w:spacing w:line="240" w:lineRule="auto"/>
        <w:jc w:val="both"/>
        <w:rPr>
          <w:rFonts w:ascii="Times New Roman" w:hAnsi="Times New Roman"/>
          <w:sz w:val="20"/>
          <w:szCs w:val="20"/>
          <w:u w:val="single"/>
          <w:lang w:val="en-GB" w:eastAsia="es-ES"/>
        </w:rPr>
      </w:pPr>
      <w:r w:rsidRPr="00107FC8">
        <w:rPr>
          <w:rFonts w:ascii="Times New Roman" w:hAnsi="Times New Roman"/>
          <w:sz w:val="20"/>
          <w:szCs w:val="20"/>
          <w:u w:val="single"/>
          <w:lang w:val="en-GB" w:eastAsia="es-ES"/>
        </w:rPr>
        <w:br w:type="page"/>
      </w:r>
      <w:r w:rsidRPr="00107FC8">
        <w:rPr>
          <w:rFonts w:ascii="Times New Roman" w:hAnsi="Times New Roman"/>
          <w:sz w:val="20"/>
          <w:szCs w:val="20"/>
          <w:u w:val="single"/>
          <w:lang w:val="en-GB" w:eastAsia="es-ES"/>
        </w:rPr>
        <w:lastRenderedPageBreak/>
        <w:t xml:space="preserve">Table </w:t>
      </w:r>
      <w:r w:rsidR="002E51FC" w:rsidRPr="00107FC8">
        <w:rPr>
          <w:rFonts w:ascii="Times New Roman" w:hAnsi="Times New Roman"/>
          <w:sz w:val="20"/>
          <w:szCs w:val="20"/>
          <w:u w:val="single"/>
          <w:lang w:val="en-GB" w:eastAsia="es-ES"/>
        </w:rPr>
        <w:t>S</w:t>
      </w:r>
      <w:r w:rsidRPr="00107FC8">
        <w:rPr>
          <w:rFonts w:ascii="Times New Roman" w:hAnsi="Times New Roman"/>
          <w:sz w:val="20"/>
          <w:szCs w:val="20"/>
          <w:u w:val="single"/>
          <w:lang w:val="en-GB" w:eastAsia="es-ES"/>
        </w:rPr>
        <w:t xml:space="preserve">2. Frailty Trait Scale 5 (FTS5) scoring. </w:t>
      </w:r>
    </w:p>
    <w:tbl>
      <w:tblPr>
        <w:tblW w:w="5000" w:type="pct"/>
        <w:tblCellMar>
          <w:left w:w="70" w:type="dxa"/>
          <w:right w:w="70" w:type="dxa"/>
        </w:tblCellMar>
        <w:tblLook w:val="04A0" w:firstRow="1" w:lastRow="0" w:firstColumn="1" w:lastColumn="0" w:noHBand="0" w:noVBand="1"/>
      </w:tblPr>
      <w:tblGrid>
        <w:gridCol w:w="641"/>
        <w:gridCol w:w="833"/>
        <w:gridCol w:w="709"/>
        <w:gridCol w:w="909"/>
        <w:gridCol w:w="855"/>
        <w:gridCol w:w="837"/>
        <w:gridCol w:w="709"/>
        <w:gridCol w:w="146"/>
        <w:gridCol w:w="641"/>
        <w:gridCol w:w="1240"/>
        <w:gridCol w:w="984"/>
      </w:tblGrid>
      <w:tr w:rsidR="00230B60" w:rsidRPr="00230B60" w14:paraId="5854EEA1" w14:textId="77777777" w:rsidTr="00290FE0">
        <w:trPr>
          <w:trHeight w:val="290"/>
        </w:trPr>
        <w:tc>
          <w:tcPr>
            <w:tcW w:w="296" w:type="pct"/>
            <w:vMerge w:val="restart"/>
            <w:tcBorders>
              <w:top w:val="nil"/>
              <w:left w:val="nil"/>
              <w:bottom w:val="single" w:sz="8" w:space="0" w:color="000000"/>
              <w:right w:val="nil"/>
            </w:tcBorders>
            <w:shd w:val="clear" w:color="auto" w:fill="auto"/>
            <w:vAlign w:val="center"/>
            <w:hideMark/>
          </w:tcPr>
          <w:p w14:paraId="3D4A5155" w14:textId="77777777" w:rsidR="005400BA" w:rsidRPr="00230B60" w:rsidRDefault="005400BA" w:rsidP="00BB0649">
            <w:pPr>
              <w:spacing w:after="0" w:line="240" w:lineRule="auto"/>
              <w:jc w:val="center"/>
              <w:rPr>
                <w:rFonts w:ascii="Times New Roman" w:eastAsia="Times New Roman" w:hAnsi="Times New Roman"/>
                <w:color w:val="000000"/>
                <w:lang w:eastAsia="es-ES"/>
              </w:rPr>
            </w:pPr>
            <w:r w:rsidRPr="00230B60">
              <w:rPr>
                <w:rFonts w:ascii="Times New Roman" w:eastAsia="Times New Roman" w:hAnsi="Times New Roman"/>
                <w:color w:val="000000"/>
                <w:lang w:eastAsia="es-ES"/>
              </w:rPr>
              <w:t>Score</w:t>
            </w:r>
          </w:p>
        </w:tc>
        <w:tc>
          <w:tcPr>
            <w:tcW w:w="999" w:type="pct"/>
            <w:gridSpan w:val="2"/>
            <w:vMerge w:val="restart"/>
            <w:tcBorders>
              <w:top w:val="nil"/>
              <w:left w:val="nil"/>
              <w:bottom w:val="single" w:sz="8" w:space="0" w:color="000000"/>
              <w:right w:val="nil"/>
            </w:tcBorders>
            <w:shd w:val="clear" w:color="auto" w:fill="auto"/>
            <w:vAlign w:val="center"/>
            <w:hideMark/>
          </w:tcPr>
          <w:p w14:paraId="671F0836" w14:textId="77777777" w:rsidR="005400BA" w:rsidRPr="00230B60" w:rsidRDefault="005400BA" w:rsidP="00BB0649">
            <w:pPr>
              <w:spacing w:after="0" w:line="240" w:lineRule="auto"/>
              <w:jc w:val="center"/>
              <w:rPr>
                <w:rFonts w:ascii="Times New Roman" w:eastAsia="Times New Roman" w:hAnsi="Times New Roman"/>
                <w:color w:val="000000"/>
                <w:lang w:eastAsia="es-ES"/>
              </w:rPr>
            </w:pPr>
            <w:r w:rsidRPr="00230B60">
              <w:rPr>
                <w:rFonts w:ascii="Times New Roman" w:eastAsia="Times New Roman" w:hAnsi="Times New Roman"/>
                <w:color w:val="000000"/>
                <w:lang w:eastAsia="es-ES"/>
              </w:rPr>
              <w:t>BMI, kg/m</w:t>
            </w:r>
            <w:r w:rsidRPr="00230B60">
              <w:rPr>
                <w:rFonts w:ascii="Times New Roman" w:eastAsia="Times New Roman" w:hAnsi="Times New Roman"/>
                <w:color w:val="000000"/>
                <w:vertAlign w:val="superscript"/>
                <w:lang w:eastAsia="es-ES"/>
              </w:rPr>
              <w:t>2</w:t>
            </w:r>
            <w:r w:rsidRPr="00230B60">
              <w:rPr>
                <w:rFonts w:ascii="Times New Roman" w:eastAsia="Times New Roman" w:hAnsi="Times New Roman"/>
                <w:color w:val="000000"/>
                <w:lang w:eastAsia="es-ES"/>
              </w:rPr>
              <w:t> </w:t>
            </w:r>
          </w:p>
        </w:tc>
        <w:tc>
          <w:tcPr>
            <w:tcW w:w="593" w:type="pct"/>
            <w:vMerge w:val="restart"/>
            <w:tcBorders>
              <w:top w:val="nil"/>
              <w:left w:val="nil"/>
              <w:bottom w:val="single" w:sz="8" w:space="0" w:color="000000"/>
              <w:right w:val="nil"/>
            </w:tcBorders>
            <w:shd w:val="clear" w:color="auto" w:fill="auto"/>
            <w:vAlign w:val="center"/>
            <w:hideMark/>
          </w:tcPr>
          <w:p w14:paraId="2C8AF3C2" w14:textId="77777777" w:rsidR="005400BA" w:rsidRPr="00230B60" w:rsidRDefault="005400BA" w:rsidP="00BB0649">
            <w:pPr>
              <w:spacing w:after="0" w:line="240" w:lineRule="auto"/>
              <w:jc w:val="center"/>
              <w:rPr>
                <w:rFonts w:ascii="Times New Roman" w:eastAsia="Times New Roman" w:hAnsi="Times New Roman"/>
                <w:color w:val="000000"/>
                <w:lang w:eastAsia="es-ES"/>
              </w:rPr>
            </w:pPr>
            <w:r w:rsidRPr="00230B60">
              <w:rPr>
                <w:rFonts w:ascii="Times New Roman" w:eastAsia="Times New Roman" w:hAnsi="Times New Roman"/>
                <w:color w:val="000000"/>
                <w:lang w:eastAsia="es-ES"/>
              </w:rPr>
              <w:t>PASE</w:t>
            </w:r>
          </w:p>
        </w:tc>
        <w:tc>
          <w:tcPr>
            <w:tcW w:w="557" w:type="pct"/>
            <w:vMerge w:val="restart"/>
            <w:tcBorders>
              <w:top w:val="nil"/>
              <w:left w:val="nil"/>
              <w:bottom w:val="single" w:sz="8" w:space="0" w:color="000000"/>
              <w:right w:val="nil"/>
            </w:tcBorders>
            <w:shd w:val="clear" w:color="auto" w:fill="auto"/>
            <w:vAlign w:val="center"/>
            <w:hideMark/>
          </w:tcPr>
          <w:p w14:paraId="69B621C8" w14:textId="77777777" w:rsidR="005400BA" w:rsidRPr="00230B60" w:rsidRDefault="005400BA" w:rsidP="00BB0649">
            <w:pPr>
              <w:spacing w:after="0" w:line="240" w:lineRule="auto"/>
              <w:jc w:val="center"/>
              <w:rPr>
                <w:rFonts w:ascii="Times New Roman" w:eastAsia="Times New Roman" w:hAnsi="Times New Roman"/>
                <w:color w:val="000000"/>
                <w:lang w:eastAsia="es-ES"/>
              </w:rPr>
            </w:pPr>
            <w:proofErr w:type="spellStart"/>
            <w:r w:rsidRPr="00230B60">
              <w:rPr>
                <w:rFonts w:ascii="Times New Roman" w:eastAsia="Times New Roman" w:hAnsi="Times New Roman"/>
                <w:color w:val="000000"/>
                <w:lang w:eastAsia="es-ES"/>
              </w:rPr>
              <w:t>Gait</w:t>
            </w:r>
            <w:proofErr w:type="spellEnd"/>
            <w:r w:rsidRPr="00230B60">
              <w:rPr>
                <w:rFonts w:ascii="Times New Roman" w:eastAsia="Times New Roman" w:hAnsi="Times New Roman"/>
                <w:color w:val="000000"/>
                <w:lang w:eastAsia="es-ES"/>
              </w:rPr>
              <w:t xml:space="preserve"> </w:t>
            </w:r>
            <w:proofErr w:type="spellStart"/>
            <w:r w:rsidRPr="00230B60">
              <w:rPr>
                <w:rFonts w:ascii="Times New Roman" w:eastAsia="Times New Roman" w:hAnsi="Times New Roman"/>
                <w:color w:val="000000"/>
                <w:lang w:eastAsia="es-ES"/>
              </w:rPr>
              <w:t>Speed</w:t>
            </w:r>
            <w:proofErr w:type="spellEnd"/>
            <w:r w:rsidRPr="00230B60">
              <w:rPr>
                <w:rFonts w:ascii="Times New Roman" w:eastAsia="Times New Roman" w:hAnsi="Times New Roman"/>
                <w:color w:val="000000"/>
                <w:lang w:eastAsia="es-ES"/>
              </w:rPr>
              <w:t xml:space="preserve"> </w:t>
            </w:r>
            <w:r w:rsidRPr="00230B60">
              <w:rPr>
                <w:rFonts w:ascii="Times New Roman" w:eastAsia="Times New Roman" w:hAnsi="Times New Roman"/>
                <w:color w:val="000000"/>
                <w:vertAlign w:val="superscript"/>
                <w:lang w:eastAsia="es-ES"/>
              </w:rPr>
              <w:t>a</w:t>
            </w:r>
          </w:p>
        </w:tc>
        <w:tc>
          <w:tcPr>
            <w:tcW w:w="991" w:type="pct"/>
            <w:gridSpan w:val="2"/>
            <w:vMerge w:val="restart"/>
            <w:tcBorders>
              <w:top w:val="nil"/>
              <w:left w:val="nil"/>
              <w:bottom w:val="single" w:sz="8" w:space="0" w:color="000000"/>
              <w:right w:val="nil"/>
            </w:tcBorders>
            <w:shd w:val="clear" w:color="auto" w:fill="auto"/>
            <w:vAlign w:val="center"/>
            <w:hideMark/>
          </w:tcPr>
          <w:p w14:paraId="0B3ADA5D" w14:textId="77777777" w:rsidR="005400BA" w:rsidRPr="00230B60" w:rsidRDefault="005400BA" w:rsidP="00BB0649">
            <w:pPr>
              <w:spacing w:after="0" w:line="240" w:lineRule="auto"/>
              <w:jc w:val="center"/>
              <w:rPr>
                <w:rFonts w:ascii="Times New Roman" w:eastAsia="Times New Roman" w:hAnsi="Times New Roman"/>
                <w:color w:val="000000"/>
                <w:lang w:eastAsia="es-ES"/>
              </w:rPr>
            </w:pPr>
            <w:proofErr w:type="spellStart"/>
            <w:r w:rsidRPr="00230B60">
              <w:rPr>
                <w:rFonts w:ascii="Times New Roman" w:eastAsia="Times New Roman" w:hAnsi="Times New Roman"/>
                <w:color w:val="000000"/>
                <w:lang w:eastAsia="es-ES"/>
              </w:rPr>
              <w:t>Grip</w:t>
            </w:r>
            <w:proofErr w:type="spellEnd"/>
            <w:r w:rsidRPr="00230B60">
              <w:rPr>
                <w:rFonts w:ascii="Times New Roman" w:eastAsia="Times New Roman" w:hAnsi="Times New Roman"/>
                <w:color w:val="000000"/>
                <w:lang w:eastAsia="es-ES"/>
              </w:rPr>
              <w:t xml:space="preserve"> </w:t>
            </w:r>
            <w:proofErr w:type="spellStart"/>
            <w:r w:rsidRPr="00230B60">
              <w:rPr>
                <w:rFonts w:ascii="Times New Roman" w:eastAsia="Times New Roman" w:hAnsi="Times New Roman"/>
                <w:color w:val="000000"/>
                <w:lang w:eastAsia="es-ES"/>
              </w:rPr>
              <w:t>strength</w:t>
            </w:r>
            <w:proofErr w:type="spellEnd"/>
            <w:r w:rsidRPr="00230B60">
              <w:rPr>
                <w:rFonts w:ascii="Times New Roman" w:eastAsia="Times New Roman" w:hAnsi="Times New Roman"/>
                <w:color w:val="000000"/>
                <w:lang w:eastAsia="es-ES"/>
              </w:rPr>
              <w:t>, kg</w:t>
            </w:r>
          </w:p>
        </w:tc>
        <w:tc>
          <w:tcPr>
            <w:tcW w:w="79" w:type="pct"/>
            <w:tcBorders>
              <w:top w:val="nil"/>
              <w:left w:val="nil"/>
              <w:bottom w:val="nil"/>
              <w:right w:val="nil"/>
            </w:tcBorders>
          </w:tcPr>
          <w:p w14:paraId="6BD7DA0E" w14:textId="77777777" w:rsidR="005400BA" w:rsidRPr="00230B60" w:rsidRDefault="005400BA" w:rsidP="00BB0649">
            <w:pPr>
              <w:spacing w:after="0" w:line="240" w:lineRule="auto"/>
              <w:jc w:val="center"/>
              <w:rPr>
                <w:rFonts w:ascii="Times New Roman" w:eastAsia="Times New Roman" w:hAnsi="Times New Roman"/>
                <w:color w:val="000000"/>
                <w:lang w:eastAsia="es-ES"/>
              </w:rPr>
            </w:pPr>
          </w:p>
        </w:tc>
        <w:tc>
          <w:tcPr>
            <w:tcW w:w="1485" w:type="pct"/>
            <w:gridSpan w:val="3"/>
            <w:vMerge w:val="restart"/>
            <w:tcBorders>
              <w:top w:val="nil"/>
              <w:left w:val="nil"/>
              <w:right w:val="nil"/>
            </w:tcBorders>
            <w:shd w:val="clear" w:color="auto" w:fill="auto"/>
            <w:vAlign w:val="center"/>
          </w:tcPr>
          <w:p w14:paraId="52D534BC" w14:textId="77777777" w:rsidR="005400BA" w:rsidRPr="00230B60" w:rsidRDefault="005400BA" w:rsidP="00BB0649">
            <w:pPr>
              <w:spacing w:after="0" w:line="240" w:lineRule="auto"/>
              <w:jc w:val="center"/>
              <w:rPr>
                <w:rFonts w:ascii="Times New Roman" w:eastAsia="Times New Roman" w:hAnsi="Times New Roman"/>
                <w:color w:val="000000"/>
                <w:lang w:eastAsia="es-ES"/>
              </w:rPr>
            </w:pPr>
            <w:proofErr w:type="spellStart"/>
            <w:r w:rsidRPr="00230B60">
              <w:rPr>
                <w:rFonts w:ascii="Times New Roman" w:eastAsia="Times New Roman" w:hAnsi="Times New Roman"/>
                <w:color w:val="000000"/>
                <w:lang w:eastAsia="es-ES"/>
              </w:rPr>
              <w:t>Progressive</w:t>
            </w:r>
            <w:proofErr w:type="spellEnd"/>
            <w:r w:rsidRPr="00230B60">
              <w:rPr>
                <w:rFonts w:ascii="Times New Roman" w:eastAsia="Times New Roman" w:hAnsi="Times New Roman"/>
                <w:color w:val="000000"/>
                <w:lang w:eastAsia="es-ES"/>
              </w:rPr>
              <w:t xml:space="preserve"> Romberg</w:t>
            </w:r>
            <w:r w:rsidRPr="00230B60">
              <w:rPr>
                <w:rFonts w:eastAsia="Times New Roman" w:cs="Calibri"/>
                <w:color w:val="000000"/>
                <w:lang w:eastAsia="es-ES"/>
              </w:rPr>
              <w:t> </w:t>
            </w:r>
          </w:p>
        </w:tc>
      </w:tr>
      <w:tr w:rsidR="00230B60" w:rsidRPr="00230B60" w14:paraId="79F3482C" w14:textId="77777777" w:rsidTr="00290FE0">
        <w:trPr>
          <w:trHeight w:val="370"/>
        </w:trPr>
        <w:tc>
          <w:tcPr>
            <w:tcW w:w="296" w:type="pct"/>
            <w:vMerge/>
            <w:tcBorders>
              <w:top w:val="nil"/>
              <w:left w:val="nil"/>
              <w:bottom w:val="single" w:sz="8" w:space="0" w:color="000000"/>
              <w:right w:val="nil"/>
            </w:tcBorders>
            <w:vAlign w:val="center"/>
            <w:hideMark/>
          </w:tcPr>
          <w:p w14:paraId="4D538AA0" w14:textId="77777777" w:rsidR="005400BA" w:rsidRPr="00230B60" w:rsidRDefault="005400BA" w:rsidP="00BB0649">
            <w:pPr>
              <w:spacing w:after="0" w:line="240" w:lineRule="auto"/>
              <w:rPr>
                <w:rFonts w:ascii="Times New Roman" w:eastAsia="Times New Roman" w:hAnsi="Times New Roman"/>
                <w:color w:val="000000"/>
                <w:lang w:eastAsia="es-ES"/>
              </w:rPr>
            </w:pPr>
          </w:p>
        </w:tc>
        <w:tc>
          <w:tcPr>
            <w:tcW w:w="999" w:type="pct"/>
            <w:gridSpan w:val="2"/>
            <w:vMerge/>
            <w:tcBorders>
              <w:top w:val="nil"/>
              <w:left w:val="nil"/>
              <w:bottom w:val="single" w:sz="8" w:space="0" w:color="000000"/>
              <w:right w:val="nil"/>
            </w:tcBorders>
            <w:vAlign w:val="center"/>
            <w:hideMark/>
          </w:tcPr>
          <w:p w14:paraId="18FA0ACC" w14:textId="77777777" w:rsidR="005400BA" w:rsidRPr="00230B60" w:rsidRDefault="005400BA" w:rsidP="00BB0649">
            <w:pPr>
              <w:spacing w:after="0" w:line="240" w:lineRule="auto"/>
              <w:rPr>
                <w:rFonts w:ascii="Times New Roman" w:eastAsia="Times New Roman" w:hAnsi="Times New Roman"/>
                <w:color w:val="000000"/>
                <w:lang w:eastAsia="es-ES"/>
              </w:rPr>
            </w:pPr>
          </w:p>
        </w:tc>
        <w:tc>
          <w:tcPr>
            <w:tcW w:w="593" w:type="pct"/>
            <w:vMerge/>
            <w:tcBorders>
              <w:top w:val="nil"/>
              <w:left w:val="nil"/>
              <w:bottom w:val="single" w:sz="8" w:space="0" w:color="000000"/>
              <w:right w:val="nil"/>
            </w:tcBorders>
            <w:vAlign w:val="center"/>
            <w:hideMark/>
          </w:tcPr>
          <w:p w14:paraId="4B7CF273" w14:textId="77777777" w:rsidR="005400BA" w:rsidRPr="00230B60" w:rsidRDefault="005400BA" w:rsidP="00BB0649">
            <w:pPr>
              <w:spacing w:after="0" w:line="240" w:lineRule="auto"/>
              <w:rPr>
                <w:rFonts w:ascii="Times New Roman" w:eastAsia="Times New Roman" w:hAnsi="Times New Roman"/>
                <w:color w:val="000000"/>
                <w:lang w:eastAsia="es-ES"/>
              </w:rPr>
            </w:pPr>
          </w:p>
        </w:tc>
        <w:tc>
          <w:tcPr>
            <w:tcW w:w="557" w:type="pct"/>
            <w:vMerge/>
            <w:tcBorders>
              <w:top w:val="nil"/>
              <w:left w:val="nil"/>
              <w:bottom w:val="single" w:sz="8" w:space="0" w:color="000000"/>
              <w:right w:val="nil"/>
            </w:tcBorders>
            <w:vAlign w:val="center"/>
            <w:hideMark/>
          </w:tcPr>
          <w:p w14:paraId="136E046A" w14:textId="77777777" w:rsidR="005400BA" w:rsidRPr="00230B60" w:rsidRDefault="005400BA" w:rsidP="00BB0649">
            <w:pPr>
              <w:spacing w:after="0" w:line="240" w:lineRule="auto"/>
              <w:rPr>
                <w:rFonts w:ascii="Times New Roman" w:eastAsia="Times New Roman" w:hAnsi="Times New Roman"/>
                <w:color w:val="000000"/>
                <w:lang w:eastAsia="es-ES"/>
              </w:rPr>
            </w:pPr>
          </w:p>
        </w:tc>
        <w:tc>
          <w:tcPr>
            <w:tcW w:w="991" w:type="pct"/>
            <w:gridSpan w:val="2"/>
            <w:vMerge/>
            <w:tcBorders>
              <w:top w:val="nil"/>
              <w:left w:val="nil"/>
              <w:bottom w:val="single" w:sz="12" w:space="0" w:color="auto"/>
              <w:right w:val="nil"/>
            </w:tcBorders>
            <w:vAlign w:val="center"/>
            <w:hideMark/>
          </w:tcPr>
          <w:p w14:paraId="7EAC19CA" w14:textId="77777777" w:rsidR="005400BA" w:rsidRPr="00230B60" w:rsidRDefault="005400BA" w:rsidP="00BB0649">
            <w:pPr>
              <w:spacing w:after="0" w:line="240" w:lineRule="auto"/>
              <w:rPr>
                <w:rFonts w:ascii="Times New Roman" w:eastAsia="Times New Roman" w:hAnsi="Times New Roman"/>
                <w:color w:val="000000"/>
                <w:lang w:eastAsia="es-ES"/>
              </w:rPr>
            </w:pPr>
          </w:p>
        </w:tc>
        <w:tc>
          <w:tcPr>
            <w:tcW w:w="79" w:type="pct"/>
            <w:tcBorders>
              <w:top w:val="nil"/>
              <w:left w:val="nil"/>
              <w:bottom w:val="nil"/>
              <w:right w:val="nil"/>
            </w:tcBorders>
          </w:tcPr>
          <w:p w14:paraId="2B665EEF" w14:textId="77777777" w:rsidR="005400BA" w:rsidRPr="00230B60" w:rsidRDefault="005400BA" w:rsidP="00BB0649">
            <w:pPr>
              <w:spacing w:after="0" w:line="240" w:lineRule="auto"/>
              <w:jc w:val="center"/>
              <w:rPr>
                <w:rFonts w:ascii="Times New Roman" w:eastAsia="Times New Roman" w:hAnsi="Times New Roman"/>
                <w:color w:val="000000"/>
                <w:lang w:eastAsia="es-ES"/>
              </w:rPr>
            </w:pPr>
          </w:p>
        </w:tc>
        <w:tc>
          <w:tcPr>
            <w:tcW w:w="1485" w:type="pct"/>
            <w:gridSpan w:val="3"/>
            <w:vMerge/>
            <w:tcBorders>
              <w:left w:val="nil"/>
              <w:bottom w:val="single" w:sz="12" w:space="0" w:color="auto"/>
              <w:right w:val="nil"/>
            </w:tcBorders>
            <w:shd w:val="clear" w:color="auto" w:fill="auto"/>
            <w:vAlign w:val="center"/>
          </w:tcPr>
          <w:p w14:paraId="1154B6BE" w14:textId="77777777" w:rsidR="005400BA" w:rsidRPr="00230B60" w:rsidRDefault="005400BA" w:rsidP="00BB0649">
            <w:pPr>
              <w:spacing w:after="0" w:line="240" w:lineRule="auto"/>
              <w:rPr>
                <w:rFonts w:ascii="Times New Roman" w:eastAsia="Times New Roman" w:hAnsi="Times New Roman"/>
                <w:color w:val="000000"/>
                <w:lang w:eastAsia="es-ES"/>
              </w:rPr>
            </w:pPr>
          </w:p>
        </w:tc>
      </w:tr>
      <w:tr w:rsidR="00693844" w:rsidRPr="00230B60" w14:paraId="41AAA556" w14:textId="77777777" w:rsidTr="00290FE0">
        <w:trPr>
          <w:trHeight w:val="300"/>
        </w:trPr>
        <w:tc>
          <w:tcPr>
            <w:tcW w:w="296" w:type="pct"/>
            <w:vMerge/>
            <w:tcBorders>
              <w:top w:val="nil"/>
              <w:left w:val="nil"/>
              <w:bottom w:val="single" w:sz="12" w:space="0" w:color="auto"/>
              <w:right w:val="nil"/>
            </w:tcBorders>
            <w:vAlign w:val="center"/>
            <w:hideMark/>
          </w:tcPr>
          <w:p w14:paraId="0524C62F" w14:textId="77777777" w:rsidR="005400BA" w:rsidRPr="00230B60" w:rsidRDefault="005400BA" w:rsidP="00BB0649">
            <w:pPr>
              <w:spacing w:after="0" w:line="240" w:lineRule="auto"/>
              <w:rPr>
                <w:rFonts w:ascii="Times New Roman" w:eastAsia="Times New Roman" w:hAnsi="Times New Roman"/>
                <w:color w:val="000000"/>
                <w:lang w:eastAsia="es-ES"/>
              </w:rPr>
            </w:pPr>
          </w:p>
        </w:tc>
        <w:tc>
          <w:tcPr>
            <w:tcW w:w="999" w:type="pct"/>
            <w:gridSpan w:val="2"/>
            <w:vMerge/>
            <w:tcBorders>
              <w:top w:val="nil"/>
              <w:left w:val="nil"/>
              <w:bottom w:val="single" w:sz="12" w:space="0" w:color="auto"/>
              <w:right w:val="nil"/>
            </w:tcBorders>
            <w:vAlign w:val="center"/>
            <w:hideMark/>
          </w:tcPr>
          <w:p w14:paraId="6ED3B8D6" w14:textId="77777777" w:rsidR="005400BA" w:rsidRPr="00230B60" w:rsidRDefault="005400BA" w:rsidP="00BB0649">
            <w:pPr>
              <w:spacing w:after="0" w:line="240" w:lineRule="auto"/>
              <w:rPr>
                <w:rFonts w:ascii="Times New Roman" w:eastAsia="Times New Roman" w:hAnsi="Times New Roman"/>
                <w:color w:val="000000"/>
                <w:lang w:eastAsia="es-ES"/>
              </w:rPr>
            </w:pPr>
          </w:p>
        </w:tc>
        <w:tc>
          <w:tcPr>
            <w:tcW w:w="593" w:type="pct"/>
            <w:vMerge/>
            <w:tcBorders>
              <w:top w:val="nil"/>
              <w:left w:val="nil"/>
              <w:bottom w:val="single" w:sz="12" w:space="0" w:color="auto"/>
              <w:right w:val="nil"/>
            </w:tcBorders>
            <w:vAlign w:val="center"/>
            <w:hideMark/>
          </w:tcPr>
          <w:p w14:paraId="4B66D9AF" w14:textId="77777777" w:rsidR="005400BA" w:rsidRPr="00230B60" w:rsidRDefault="005400BA" w:rsidP="00BB0649">
            <w:pPr>
              <w:spacing w:after="0" w:line="240" w:lineRule="auto"/>
              <w:rPr>
                <w:rFonts w:ascii="Times New Roman" w:eastAsia="Times New Roman" w:hAnsi="Times New Roman"/>
                <w:color w:val="000000"/>
                <w:lang w:eastAsia="es-ES"/>
              </w:rPr>
            </w:pPr>
          </w:p>
        </w:tc>
        <w:tc>
          <w:tcPr>
            <w:tcW w:w="557" w:type="pct"/>
            <w:vMerge/>
            <w:tcBorders>
              <w:top w:val="nil"/>
              <w:left w:val="nil"/>
              <w:bottom w:val="single" w:sz="12" w:space="0" w:color="auto"/>
              <w:right w:val="nil"/>
            </w:tcBorders>
            <w:vAlign w:val="center"/>
            <w:hideMark/>
          </w:tcPr>
          <w:p w14:paraId="43B9F6CD" w14:textId="77777777" w:rsidR="005400BA" w:rsidRPr="00230B60" w:rsidRDefault="005400BA" w:rsidP="00BB0649">
            <w:pPr>
              <w:spacing w:after="0" w:line="240" w:lineRule="auto"/>
              <w:rPr>
                <w:rFonts w:ascii="Times New Roman" w:eastAsia="Times New Roman" w:hAnsi="Times New Roman"/>
                <w:color w:val="000000"/>
                <w:lang w:eastAsia="es-ES"/>
              </w:rPr>
            </w:pPr>
          </w:p>
        </w:tc>
        <w:tc>
          <w:tcPr>
            <w:tcW w:w="496" w:type="pct"/>
            <w:tcBorders>
              <w:top w:val="single" w:sz="12" w:space="0" w:color="auto"/>
              <w:left w:val="nil"/>
              <w:bottom w:val="single" w:sz="12" w:space="0" w:color="auto"/>
              <w:right w:val="nil"/>
            </w:tcBorders>
            <w:shd w:val="clear" w:color="auto" w:fill="auto"/>
            <w:vAlign w:val="center"/>
            <w:hideMark/>
          </w:tcPr>
          <w:p w14:paraId="503DE359" w14:textId="77777777" w:rsidR="005400BA" w:rsidRPr="00230B60" w:rsidRDefault="005400BA" w:rsidP="00BB0649">
            <w:pPr>
              <w:spacing w:after="0" w:line="240" w:lineRule="auto"/>
              <w:jc w:val="center"/>
              <w:rPr>
                <w:rFonts w:ascii="Times New Roman" w:eastAsia="Times New Roman" w:hAnsi="Times New Roman"/>
                <w:color w:val="000000"/>
                <w:lang w:eastAsia="es-ES"/>
              </w:rPr>
            </w:pPr>
            <w:proofErr w:type="spellStart"/>
            <w:r w:rsidRPr="00230B60">
              <w:rPr>
                <w:rFonts w:ascii="Times New Roman" w:eastAsia="Times New Roman" w:hAnsi="Times New Roman"/>
                <w:color w:val="000000"/>
                <w:lang w:eastAsia="es-ES"/>
              </w:rPr>
              <w:t>Women</w:t>
            </w:r>
            <w:proofErr w:type="spellEnd"/>
          </w:p>
        </w:tc>
        <w:tc>
          <w:tcPr>
            <w:tcW w:w="496" w:type="pct"/>
            <w:tcBorders>
              <w:top w:val="single" w:sz="12" w:space="0" w:color="auto"/>
              <w:left w:val="nil"/>
              <w:bottom w:val="single" w:sz="12" w:space="0" w:color="auto"/>
              <w:right w:val="nil"/>
            </w:tcBorders>
            <w:shd w:val="clear" w:color="auto" w:fill="auto"/>
            <w:vAlign w:val="center"/>
            <w:hideMark/>
          </w:tcPr>
          <w:p w14:paraId="7147B51B" w14:textId="77777777" w:rsidR="005400BA" w:rsidRPr="00230B60" w:rsidRDefault="005400BA" w:rsidP="00BB0649">
            <w:pPr>
              <w:spacing w:after="0" w:line="240" w:lineRule="auto"/>
              <w:jc w:val="center"/>
              <w:rPr>
                <w:rFonts w:ascii="Times New Roman" w:eastAsia="Times New Roman" w:hAnsi="Times New Roman"/>
                <w:color w:val="000000"/>
                <w:lang w:eastAsia="es-ES"/>
              </w:rPr>
            </w:pPr>
            <w:proofErr w:type="spellStart"/>
            <w:r w:rsidRPr="00230B60">
              <w:rPr>
                <w:rFonts w:ascii="Times New Roman" w:eastAsia="Times New Roman" w:hAnsi="Times New Roman"/>
                <w:color w:val="000000"/>
                <w:lang w:eastAsia="es-ES"/>
              </w:rPr>
              <w:t>Men</w:t>
            </w:r>
            <w:proofErr w:type="spellEnd"/>
          </w:p>
        </w:tc>
        <w:tc>
          <w:tcPr>
            <w:tcW w:w="79" w:type="pct"/>
            <w:tcBorders>
              <w:top w:val="nil"/>
              <w:left w:val="nil"/>
              <w:bottom w:val="single" w:sz="12" w:space="0" w:color="auto"/>
              <w:right w:val="nil"/>
            </w:tcBorders>
          </w:tcPr>
          <w:p w14:paraId="66FBBC99" w14:textId="77777777" w:rsidR="005400BA" w:rsidRPr="00230B60" w:rsidRDefault="005400BA" w:rsidP="00BB0649">
            <w:pPr>
              <w:spacing w:after="0" w:line="240" w:lineRule="auto"/>
              <w:jc w:val="center"/>
              <w:rPr>
                <w:rFonts w:ascii="Times New Roman" w:eastAsia="Times New Roman" w:hAnsi="Times New Roman"/>
                <w:color w:val="000000"/>
                <w:lang w:eastAsia="es-ES"/>
              </w:rPr>
            </w:pPr>
          </w:p>
        </w:tc>
        <w:tc>
          <w:tcPr>
            <w:tcW w:w="296" w:type="pct"/>
            <w:tcBorders>
              <w:top w:val="single" w:sz="12" w:space="0" w:color="auto"/>
              <w:left w:val="nil"/>
              <w:bottom w:val="single" w:sz="12" w:space="0" w:color="auto"/>
              <w:right w:val="nil"/>
            </w:tcBorders>
            <w:shd w:val="clear" w:color="auto" w:fill="auto"/>
            <w:vAlign w:val="center"/>
            <w:hideMark/>
          </w:tcPr>
          <w:p w14:paraId="627F3A15" w14:textId="77777777" w:rsidR="005400BA" w:rsidRPr="00230B60" w:rsidRDefault="005400BA" w:rsidP="00BB0649">
            <w:pPr>
              <w:spacing w:after="0" w:line="240" w:lineRule="auto"/>
              <w:jc w:val="center"/>
              <w:rPr>
                <w:rFonts w:ascii="Times New Roman" w:eastAsia="Times New Roman" w:hAnsi="Times New Roman"/>
                <w:color w:val="000000"/>
                <w:lang w:eastAsia="es-ES"/>
              </w:rPr>
            </w:pPr>
            <w:r w:rsidRPr="00230B60">
              <w:rPr>
                <w:rFonts w:ascii="Times New Roman" w:eastAsia="Times New Roman" w:hAnsi="Times New Roman"/>
                <w:color w:val="000000"/>
                <w:lang w:eastAsia="es-ES"/>
              </w:rPr>
              <w:t>Score</w:t>
            </w:r>
          </w:p>
        </w:tc>
        <w:tc>
          <w:tcPr>
            <w:tcW w:w="741" w:type="pct"/>
            <w:tcBorders>
              <w:top w:val="single" w:sz="12" w:space="0" w:color="auto"/>
              <w:left w:val="nil"/>
              <w:bottom w:val="single" w:sz="12" w:space="0" w:color="auto"/>
              <w:right w:val="nil"/>
            </w:tcBorders>
            <w:shd w:val="clear" w:color="auto" w:fill="auto"/>
            <w:vAlign w:val="center"/>
            <w:hideMark/>
          </w:tcPr>
          <w:p w14:paraId="45E4252D" w14:textId="77777777" w:rsidR="005400BA" w:rsidRPr="00230B60" w:rsidRDefault="005400BA" w:rsidP="00BB0649">
            <w:pPr>
              <w:spacing w:after="0" w:line="240" w:lineRule="auto"/>
              <w:jc w:val="center"/>
              <w:rPr>
                <w:rFonts w:ascii="Times New Roman" w:eastAsia="Times New Roman" w:hAnsi="Times New Roman"/>
                <w:color w:val="000000"/>
                <w:lang w:eastAsia="es-ES"/>
              </w:rPr>
            </w:pPr>
            <w:r w:rsidRPr="00230B60">
              <w:rPr>
                <w:rFonts w:ascii="Times New Roman" w:eastAsia="Times New Roman" w:hAnsi="Times New Roman"/>
                <w:color w:val="000000"/>
                <w:lang w:eastAsia="es-ES"/>
              </w:rPr>
              <w:t xml:space="preserve">Position </w:t>
            </w:r>
            <w:proofErr w:type="spellStart"/>
            <w:r w:rsidRPr="00230B60">
              <w:rPr>
                <w:rFonts w:ascii="Times New Roman" w:eastAsia="Times New Roman" w:hAnsi="Times New Roman"/>
                <w:color w:val="000000"/>
                <w:lang w:eastAsia="es-ES"/>
              </w:rPr>
              <w:t>Seconds</w:t>
            </w:r>
            <w:proofErr w:type="spellEnd"/>
          </w:p>
        </w:tc>
        <w:tc>
          <w:tcPr>
            <w:tcW w:w="447" w:type="pct"/>
            <w:tcBorders>
              <w:top w:val="single" w:sz="12" w:space="0" w:color="auto"/>
              <w:left w:val="nil"/>
              <w:bottom w:val="single" w:sz="12" w:space="0" w:color="auto"/>
              <w:right w:val="nil"/>
            </w:tcBorders>
            <w:shd w:val="clear" w:color="auto" w:fill="auto"/>
            <w:vAlign w:val="center"/>
            <w:hideMark/>
          </w:tcPr>
          <w:p w14:paraId="5C72F840" w14:textId="77777777" w:rsidR="005400BA" w:rsidRPr="00230B60" w:rsidRDefault="005400BA" w:rsidP="00BB0649">
            <w:pPr>
              <w:spacing w:after="0" w:line="240" w:lineRule="auto"/>
              <w:jc w:val="center"/>
              <w:rPr>
                <w:rFonts w:ascii="Times New Roman" w:eastAsia="Times New Roman" w:hAnsi="Times New Roman"/>
                <w:color w:val="000000"/>
                <w:lang w:eastAsia="es-ES"/>
              </w:rPr>
            </w:pPr>
            <w:proofErr w:type="spellStart"/>
            <w:r w:rsidRPr="00230B60">
              <w:rPr>
                <w:rFonts w:ascii="Times New Roman" w:eastAsia="Times New Roman" w:hAnsi="Times New Roman"/>
                <w:color w:val="000000"/>
                <w:lang w:eastAsia="es-ES"/>
              </w:rPr>
              <w:t>Seconds</w:t>
            </w:r>
            <w:proofErr w:type="spellEnd"/>
          </w:p>
        </w:tc>
      </w:tr>
      <w:tr w:rsidR="00B06306" w:rsidRPr="00230B60" w14:paraId="5ED63434" w14:textId="77777777" w:rsidTr="00290FE0">
        <w:trPr>
          <w:trHeight w:val="290"/>
        </w:trPr>
        <w:tc>
          <w:tcPr>
            <w:tcW w:w="296" w:type="pct"/>
            <w:tcBorders>
              <w:top w:val="single" w:sz="12" w:space="0" w:color="auto"/>
              <w:left w:val="nil"/>
              <w:bottom w:val="nil"/>
              <w:right w:val="nil"/>
            </w:tcBorders>
            <w:shd w:val="clear" w:color="auto" w:fill="auto"/>
            <w:vAlign w:val="center"/>
            <w:hideMark/>
          </w:tcPr>
          <w:p w14:paraId="4A95B845" w14:textId="77777777" w:rsidR="005400BA" w:rsidRPr="00230B60" w:rsidRDefault="005400BA" w:rsidP="00BB0649">
            <w:pPr>
              <w:spacing w:after="0" w:line="240" w:lineRule="auto"/>
              <w:jc w:val="center"/>
              <w:rPr>
                <w:rFonts w:ascii="Times New Roman" w:eastAsia="Times New Roman" w:hAnsi="Times New Roman"/>
                <w:color w:val="000000"/>
                <w:lang w:eastAsia="es-ES"/>
              </w:rPr>
            </w:pPr>
            <w:r w:rsidRPr="00230B60">
              <w:rPr>
                <w:rFonts w:ascii="Times New Roman" w:eastAsia="Times New Roman" w:hAnsi="Times New Roman"/>
                <w:color w:val="000000"/>
                <w:lang w:eastAsia="es-ES"/>
              </w:rPr>
              <w:t>0</w:t>
            </w:r>
          </w:p>
        </w:tc>
        <w:tc>
          <w:tcPr>
            <w:tcW w:w="544" w:type="pct"/>
            <w:tcBorders>
              <w:top w:val="single" w:sz="12" w:space="0" w:color="auto"/>
              <w:left w:val="nil"/>
              <w:bottom w:val="nil"/>
              <w:right w:val="nil"/>
            </w:tcBorders>
            <w:shd w:val="clear" w:color="auto" w:fill="auto"/>
            <w:vAlign w:val="center"/>
            <w:hideMark/>
          </w:tcPr>
          <w:p w14:paraId="6CCB1BB6" w14:textId="77777777" w:rsidR="005400BA" w:rsidRPr="00230B60" w:rsidRDefault="005400BA" w:rsidP="00BB0649">
            <w:pPr>
              <w:spacing w:after="0" w:line="240" w:lineRule="auto"/>
              <w:jc w:val="center"/>
              <w:rPr>
                <w:rFonts w:ascii="Times New Roman" w:eastAsia="Times New Roman" w:hAnsi="Times New Roman"/>
                <w:color w:val="000000"/>
                <w:lang w:eastAsia="es-ES"/>
              </w:rPr>
            </w:pPr>
            <w:r w:rsidRPr="00230B60">
              <w:rPr>
                <w:rFonts w:ascii="Times New Roman" w:eastAsia="Times New Roman" w:hAnsi="Times New Roman"/>
                <w:color w:val="000000"/>
                <w:lang w:eastAsia="es-ES"/>
              </w:rPr>
              <w:t>23.01-26.99</w:t>
            </w:r>
          </w:p>
        </w:tc>
        <w:tc>
          <w:tcPr>
            <w:tcW w:w="455" w:type="pct"/>
            <w:tcBorders>
              <w:top w:val="single" w:sz="12" w:space="0" w:color="auto"/>
              <w:left w:val="nil"/>
              <w:bottom w:val="nil"/>
              <w:right w:val="nil"/>
            </w:tcBorders>
            <w:shd w:val="clear" w:color="auto" w:fill="auto"/>
            <w:vAlign w:val="center"/>
            <w:hideMark/>
          </w:tcPr>
          <w:p w14:paraId="46F2FD7E" w14:textId="77777777" w:rsidR="005400BA" w:rsidRPr="00230B60" w:rsidRDefault="005400BA" w:rsidP="00BB0649">
            <w:pPr>
              <w:spacing w:after="0" w:line="240" w:lineRule="auto"/>
              <w:jc w:val="center"/>
              <w:rPr>
                <w:rFonts w:ascii="Times New Roman" w:eastAsia="Times New Roman" w:hAnsi="Times New Roman"/>
                <w:color w:val="000000"/>
                <w:lang w:eastAsia="es-ES"/>
              </w:rPr>
            </w:pPr>
          </w:p>
        </w:tc>
        <w:tc>
          <w:tcPr>
            <w:tcW w:w="593" w:type="pct"/>
            <w:tcBorders>
              <w:top w:val="single" w:sz="12" w:space="0" w:color="auto"/>
              <w:left w:val="nil"/>
              <w:bottom w:val="nil"/>
              <w:right w:val="nil"/>
            </w:tcBorders>
            <w:shd w:val="clear" w:color="auto" w:fill="auto"/>
            <w:vAlign w:val="center"/>
            <w:hideMark/>
          </w:tcPr>
          <w:p w14:paraId="72F3A5A9" w14:textId="77777777" w:rsidR="005400BA" w:rsidRPr="00230B60" w:rsidRDefault="005400BA" w:rsidP="00BB0649">
            <w:pPr>
              <w:spacing w:after="0" w:line="240" w:lineRule="auto"/>
              <w:jc w:val="center"/>
              <w:rPr>
                <w:rFonts w:ascii="Times New Roman" w:eastAsia="Times New Roman" w:hAnsi="Times New Roman"/>
                <w:color w:val="000000"/>
                <w:lang w:eastAsia="es-ES"/>
              </w:rPr>
            </w:pPr>
            <w:r w:rsidRPr="00230B60">
              <w:rPr>
                <w:rFonts w:ascii="Times New Roman" w:eastAsia="Times New Roman" w:hAnsi="Times New Roman"/>
                <w:color w:val="000000"/>
                <w:lang w:eastAsia="es-ES"/>
              </w:rPr>
              <w:t>&gt;194</w:t>
            </w:r>
          </w:p>
        </w:tc>
        <w:tc>
          <w:tcPr>
            <w:tcW w:w="557" w:type="pct"/>
            <w:tcBorders>
              <w:top w:val="single" w:sz="12" w:space="0" w:color="auto"/>
              <w:left w:val="nil"/>
              <w:bottom w:val="nil"/>
              <w:right w:val="nil"/>
            </w:tcBorders>
            <w:shd w:val="clear" w:color="auto" w:fill="auto"/>
            <w:vAlign w:val="center"/>
            <w:hideMark/>
          </w:tcPr>
          <w:p w14:paraId="08272AE6" w14:textId="77777777" w:rsidR="005400BA" w:rsidRPr="00230B60" w:rsidRDefault="005400BA" w:rsidP="00BB0649">
            <w:pPr>
              <w:spacing w:after="0" w:line="240" w:lineRule="auto"/>
              <w:jc w:val="center"/>
              <w:rPr>
                <w:rFonts w:ascii="Times New Roman" w:eastAsia="Times New Roman" w:hAnsi="Times New Roman"/>
                <w:color w:val="000000"/>
                <w:lang w:eastAsia="es-ES"/>
              </w:rPr>
            </w:pPr>
            <w:r w:rsidRPr="00230B60">
              <w:rPr>
                <w:rFonts w:ascii="Times New Roman" w:eastAsia="Times New Roman" w:hAnsi="Times New Roman"/>
                <w:color w:val="000000"/>
                <w:lang w:eastAsia="es-ES"/>
              </w:rPr>
              <w:t>&lt;2.45</w:t>
            </w:r>
          </w:p>
        </w:tc>
        <w:tc>
          <w:tcPr>
            <w:tcW w:w="496" w:type="pct"/>
            <w:tcBorders>
              <w:top w:val="single" w:sz="12" w:space="0" w:color="auto"/>
              <w:left w:val="nil"/>
              <w:bottom w:val="nil"/>
              <w:right w:val="nil"/>
            </w:tcBorders>
            <w:shd w:val="clear" w:color="auto" w:fill="auto"/>
            <w:vAlign w:val="center"/>
            <w:hideMark/>
          </w:tcPr>
          <w:p w14:paraId="61A57F9C" w14:textId="77777777" w:rsidR="005400BA" w:rsidRPr="00230B60" w:rsidRDefault="005400BA" w:rsidP="00BB0649">
            <w:pPr>
              <w:spacing w:after="0" w:line="240" w:lineRule="auto"/>
              <w:jc w:val="center"/>
              <w:rPr>
                <w:rFonts w:ascii="Times New Roman" w:eastAsia="Times New Roman" w:hAnsi="Times New Roman"/>
                <w:color w:val="000000"/>
                <w:lang w:eastAsia="es-ES"/>
              </w:rPr>
            </w:pPr>
            <w:r w:rsidRPr="00230B60">
              <w:rPr>
                <w:rFonts w:ascii="Times New Roman" w:eastAsia="Times New Roman" w:hAnsi="Times New Roman"/>
                <w:color w:val="000000"/>
                <w:lang w:eastAsia="es-ES"/>
              </w:rPr>
              <w:t>&gt;22</w:t>
            </w:r>
          </w:p>
        </w:tc>
        <w:tc>
          <w:tcPr>
            <w:tcW w:w="496" w:type="pct"/>
            <w:tcBorders>
              <w:top w:val="single" w:sz="12" w:space="0" w:color="auto"/>
              <w:left w:val="nil"/>
              <w:bottom w:val="nil"/>
              <w:right w:val="nil"/>
            </w:tcBorders>
            <w:shd w:val="clear" w:color="auto" w:fill="auto"/>
            <w:vAlign w:val="center"/>
            <w:hideMark/>
          </w:tcPr>
          <w:p w14:paraId="251D7D82" w14:textId="77777777" w:rsidR="005400BA" w:rsidRPr="00230B60" w:rsidRDefault="005400BA" w:rsidP="00BB0649">
            <w:pPr>
              <w:spacing w:after="0" w:line="240" w:lineRule="auto"/>
              <w:jc w:val="center"/>
              <w:rPr>
                <w:rFonts w:ascii="Times New Roman" w:eastAsia="Times New Roman" w:hAnsi="Times New Roman"/>
                <w:color w:val="000000"/>
                <w:lang w:eastAsia="es-ES"/>
              </w:rPr>
            </w:pPr>
            <w:r w:rsidRPr="00230B60">
              <w:rPr>
                <w:rFonts w:ascii="Times New Roman" w:eastAsia="Times New Roman" w:hAnsi="Times New Roman"/>
                <w:color w:val="000000"/>
                <w:lang w:eastAsia="es-ES"/>
              </w:rPr>
              <w:t>&gt;29</w:t>
            </w:r>
          </w:p>
        </w:tc>
        <w:tc>
          <w:tcPr>
            <w:tcW w:w="79" w:type="pct"/>
            <w:tcBorders>
              <w:top w:val="single" w:sz="12" w:space="0" w:color="auto"/>
              <w:left w:val="nil"/>
              <w:bottom w:val="nil"/>
              <w:right w:val="nil"/>
            </w:tcBorders>
          </w:tcPr>
          <w:p w14:paraId="7764A509" w14:textId="77777777" w:rsidR="005400BA" w:rsidRPr="00230B60" w:rsidRDefault="005400BA" w:rsidP="00BB0649">
            <w:pPr>
              <w:spacing w:after="0" w:line="240" w:lineRule="auto"/>
              <w:jc w:val="center"/>
              <w:rPr>
                <w:rFonts w:ascii="Times New Roman" w:eastAsia="Times New Roman" w:hAnsi="Times New Roman"/>
                <w:color w:val="000000"/>
                <w:lang w:eastAsia="es-ES"/>
              </w:rPr>
            </w:pPr>
          </w:p>
        </w:tc>
        <w:tc>
          <w:tcPr>
            <w:tcW w:w="296" w:type="pct"/>
            <w:tcBorders>
              <w:top w:val="single" w:sz="12" w:space="0" w:color="auto"/>
              <w:left w:val="nil"/>
              <w:bottom w:val="nil"/>
              <w:right w:val="nil"/>
            </w:tcBorders>
            <w:shd w:val="clear" w:color="auto" w:fill="auto"/>
            <w:vAlign w:val="center"/>
            <w:hideMark/>
          </w:tcPr>
          <w:p w14:paraId="6B1C4F0A" w14:textId="77777777" w:rsidR="005400BA" w:rsidRPr="00230B60" w:rsidRDefault="005400BA" w:rsidP="00BB0649">
            <w:pPr>
              <w:spacing w:after="0" w:line="240" w:lineRule="auto"/>
              <w:jc w:val="center"/>
              <w:rPr>
                <w:rFonts w:ascii="Times New Roman" w:eastAsia="Times New Roman" w:hAnsi="Times New Roman"/>
                <w:color w:val="000000"/>
                <w:lang w:eastAsia="es-ES"/>
              </w:rPr>
            </w:pPr>
            <w:r w:rsidRPr="00230B60">
              <w:rPr>
                <w:rFonts w:ascii="Times New Roman" w:eastAsia="Times New Roman" w:hAnsi="Times New Roman"/>
                <w:color w:val="000000"/>
                <w:lang w:eastAsia="es-ES"/>
              </w:rPr>
              <w:t>0</w:t>
            </w:r>
          </w:p>
        </w:tc>
        <w:tc>
          <w:tcPr>
            <w:tcW w:w="741" w:type="pct"/>
            <w:tcBorders>
              <w:top w:val="single" w:sz="12" w:space="0" w:color="auto"/>
              <w:left w:val="nil"/>
              <w:bottom w:val="nil"/>
              <w:right w:val="nil"/>
            </w:tcBorders>
            <w:shd w:val="clear" w:color="auto" w:fill="auto"/>
            <w:vAlign w:val="center"/>
            <w:hideMark/>
          </w:tcPr>
          <w:p w14:paraId="38112DBE" w14:textId="77777777" w:rsidR="005400BA" w:rsidRPr="00230B60" w:rsidRDefault="005400BA" w:rsidP="00BB0649">
            <w:pPr>
              <w:spacing w:after="0" w:line="240" w:lineRule="auto"/>
              <w:jc w:val="center"/>
              <w:rPr>
                <w:rFonts w:ascii="Times New Roman" w:eastAsia="Times New Roman" w:hAnsi="Times New Roman"/>
                <w:color w:val="000000"/>
                <w:lang w:eastAsia="es-ES"/>
              </w:rPr>
            </w:pPr>
            <w:proofErr w:type="spellStart"/>
            <w:r w:rsidRPr="00230B60">
              <w:rPr>
                <w:rFonts w:ascii="Times New Roman" w:eastAsia="Times New Roman" w:hAnsi="Times New Roman"/>
                <w:color w:val="000000"/>
                <w:lang w:eastAsia="es-ES"/>
              </w:rPr>
              <w:t>Tandem</w:t>
            </w:r>
            <w:proofErr w:type="spellEnd"/>
            <w:r w:rsidRPr="00230B60">
              <w:rPr>
                <w:rFonts w:ascii="Times New Roman" w:eastAsia="Times New Roman" w:hAnsi="Times New Roman"/>
                <w:color w:val="000000"/>
                <w:lang w:eastAsia="es-ES"/>
              </w:rPr>
              <w:t xml:space="preserve"> </w:t>
            </w:r>
          </w:p>
        </w:tc>
        <w:tc>
          <w:tcPr>
            <w:tcW w:w="447" w:type="pct"/>
            <w:tcBorders>
              <w:top w:val="single" w:sz="12" w:space="0" w:color="auto"/>
              <w:left w:val="nil"/>
              <w:bottom w:val="nil"/>
              <w:right w:val="nil"/>
            </w:tcBorders>
            <w:shd w:val="clear" w:color="auto" w:fill="auto"/>
            <w:noWrap/>
            <w:vAlign w:val="center"/>
            <w:hideMark/>
          </w:tcPr>
          <w:p w14:paraId="06149649" w14:textId="77777777" w:rsidR="005400BA" w:rsidRPr="00230B60" w:rsidRDefault="005400BA" w:rsidP="00BB0649">
            <w:pPr>
              <w:spacing w:after="0" w:line="240" w:lineRule="auto"/>
              <w:jc w:val="center"/>
              <w:rPr>
                <w:rFonts w:ascii="Times New Roman" w:eastAsia="Times New Roman" w:hAnsi="Times New Roman"/>
                <w:color w:val="000000"/>
                <w:lang w:eastAsia="es-ES"/>
              </w:rPr>
            </w:pPr>
            <w:r w:rsidRPr="00230B60">
              <w:rPr>
                <w:rFonts w:ascii="Times New Roman" w:eastAsia="Times New Roman" w:hAnsi="Times New Roman"/>
                <w:color w:val="000000"/>
                <w:lang w:eastAsia="es-ES"/>
              </w:rPr>
              <w:t>≤10</w:t>
            </w:r>
          </w:p>
        </w:tc>
      </w:tr>
      <w:tr w:rsidR="00B06306" w:rsidRPr="00230B60" w14:paraId="3BFC3553" w14:textId="77777777" w:rsidTr="00290FE0">
        <w:trPr>
          <w:trHeight w:val="290"/>
        </w:trPr>
        <w:tc>
          <w:tcPr>
            <w:tcW w:w="296" w:type="pct"/>
            <w:tcBorders>
              <w:top w:val="nil"/>
              <w:left w:val="nil"/>
              <w:bottom w:val="nil"/>
              <w:right w:val="nil"/>
            </w:tcBorders>
            <w:shd w:val="clear" w:color="auto" w:fill="auto"/>
            <w:vAlign w:val="center"/>
            <w:hideMark/>
          </w:tcPr>
          <w:p w14:paraId="5A9D85E2" w14:textId="77777777" w:rsidR="005400BA" w:rsidRPr="00230B60" w:rsidRDefault="005400BA" w:rsidP="00BB0649">
            <w:pPr>
              <w:spacing w:after="0" w:line="240" w:lineRule="auto"/>
              <w:jc w:val="center"/>
              <w:rPr>
                <w:rFonts w:ascii="Times New Roman" w:eastAsia="Times New Roman" w:hAnsi="Times New Roman"/>
                <w:color w:val="000000"/>
                <w:lang w:eastAsia="es-ES"/>
              </w:rPr>
            </w:pPr>
            <w:r w:rsidRPr="00230B60">
              <w:rPr>
                <w:rFonts w:ascii="Times New Roman" w:eastAsia="Times New Roman" w:hAnsi="Times New Roman"/>
                <w:color w:val="000000"/>
                <w:lang w:eastAsia="es-ES"/>
              </w:rPr>
              <w:t>1</w:t>
            </w:r>
          </w:p>
        </w:tc>
        <w:tc>
          <w:tcPr>
            <w:tcW w:w="544" w:type="pct"/>
            <w:tcBorders>
              <w:top w:val="nil"/>
              <w:left w:val="nil"/>
              <w:bottom w:val="nil"/>
              <w:right w:val="nil"/>
            </w:tcBorders>
            <w:shd w:val="clear" w:color="auto" w:fill="auto"/>
            <w:vAlign w:val="center"/>
            <w:hideMark/>
          </w:tcPr>
          <w:p w14:paraId="68260485" w14:textId="77777777" w:rsidR="005400BA" w:rsidRPr="00230B60" w:rsidRDefault="005400BA" w:rsidP="00BB0649">
            <w:pPr>
              <w:spacing w:after="0" w:line="240" w:lineRule="auto"/>
              <w:jc w:val="center"/>
              <w:rPr>
                <w:rFonts w:ascii="Times New Roman" w:eastAsia="Times New Roman" w:hAnsi="Times New Roman"/>
                <w:color w:val="000000"/>
                <w:lang w:eastAsia="es-ES"/>
              </w:rPr>
            </w:pPr>
            <w:r w:rsidRPr="00230B60">
              <w:rPr>
                <w:rFonts w:ascii="Times New Roman" w:eastAsia="Times New Roman" w:hAnsi="Times New Roman"/>
                <w:color w:val="000000"/>
                <w:lang w:eastAsia="es-ES"/>
              </w:rPr>
              <w:t>27-28.99</w:t>
            </w:r>
          </w:p>
        </w:tc>
        <w:tc>
          <w:tcPr>
            <w:tcW w:w="455" w:type="pct"/>
            <w:tcBorders>
              <w:top w:val="nil"/>
              <w:left w:val="nil"/>
              <w:bottom w:val="nil"/>
              <w:right w:val="nil"/>
            </w:tcBorders>
            <w:shd w:val="clear" w:color="auto" w:fill="auto"/>
            <w:vAlign w:val="center"/>
            <w:hideMark/>
          </w:tcPr>
          <w:p w14:paraId="15883EDB" w14:textId="77777777" w:rsidR="005400BA" w:rsidRPr="00230B60" w:rsidRDefault="005400BA" w:rsidP="00BB0649">
            <w:pPr>
              <w:spacing w:after="0" w:line="240" w:lineRule="auto"/>
              <w:jc w:val="center"/>
              <w:rPr>
                <w:rFonts w:ascii="Times New Roman" w:eastAsia="Times New Roman" w:hAnsi="Times New Roman"/>
                <w:color w:val="000000"/>
                <w:lang w:eastAsia="es-ES"/>
              </w:rPr>
            </w:pPr>
            <w:r w:rsidRPr="00230B60">
              <w:rPr>
                <w:rFonts w:ascii="Times New Roman" w:eastAsia="Times New Roman" w:hAnsi="Times New Roman"/>
                <w:color w:val="000000"/>
                <w:lang w:eastAsia="es-ES"/>
              </w:rPr>
              <w:t>21.01-23</w:t>
            </w:r>
          </w:p>
        </w:tc>
        <w:tc>
          <w:tcPr>
            <w:tcW w:w="593" w:type="pct"/>
            <w:tcBorders>
              <w:top w:val="nil"/>
              <w:left w:val="nil"/>
              <w:bottom w:val="nil"/>
              <w:right w:val="nil"/>
            </w:tcBorders>
            <w:shd w:val="clear" w:color="auto" w:fill="auto"/>
            <w:vAlign w:val="center"/>
            <w:hideMark/>
          </w:tcPr>
          <w:p w14:paraId="26E0178D" w14:textId="77777777" w:rsidR="005400BA" w:rsidRPr="00230B60" w:rsidRDefault="005400BA" w:rsidP="00BB0649">
            <w:pPr>
              <w:spacing w:after="0" w:line="240" w:lineRule="auto"/>
              <w:jc w:val="center"/>
              <w:rPr>
                <w:rFonts w:ascii="Times New Roman" w:eastAsia="Times New Roman" w:hAnsi="Times New Roman"/>
                <w:color w:val="000000"/>
                <w:lang w:eastAsia="es-ES"/>
              </w:rPr>
            </w:pPr>
            <w:r w:rsidRPr="00230B60">
              <w:rPr>
                <w:rFonts w:ascii="Times New Roman" w:eastAsia="Times New Roman" w:hAnsi="Times New Roman"/>
                <w:color w:val="000000"/>
                <w:lang w:eastAsia="es-ES"/>
              </w:rPr>
              <w:t>174.61-194</w:t>
            </w:r>
          </w:p>
        </w:tc>
        <w:tc>
          <w:tcPr>
            <w:tcW w:w="557" w:type="pct"/>
            <w:tcBorders>
              <w:top w:val="nil"/>
              <w:left w:val="nil"/>
              <w:bottom w:val="nil"/>
              <w:right w:val="nil"/>
            </w:tcBorders>
            <w:shd w:val="clear" w:color="auto" w:fill="auto"/>
            <w:vAlign w:val="center"/>
            <w:hideMark/>
          </w:tcPr>
          <w:p w14:paraId="7DF43457" w14:textId="77777777" w:rsidR="005400BA" w:rsidRPr="00230B60" w:rsidRDefault="005400BA" w:rsidP="00BB0649">
            <w:pPr>
              <w:spacing w:after="0" w:line="240" w:lineRule="auto"/>
              <w:jc w:val="center"/>
              <w:rPr>
                <w:rFonts w:ascii="Times New Roman" w:eastAsia="Times New Roman" w:hAnsi="Times New Roman"/>
                <w:color w:val="000000"/>
                <w:lang w:eastAsia="es-ES"/>
              </w:rPr>
            </w:pPr>
            <w:r w:rsidRPr="00230B60">
              <w:rPr>
                <w:rFonts w:ascii="Times New Roman" w:eastAsia="Times New Roman" w:hAnsi="Times New Roman"/>
                <w:color w:val="000000"/>
                <w:lang w:eastAsia="es-ES"/>
              </w:rPr>
              <w:t>2.45-2.99</w:t>
            </w:r>
          </w:p>
        </w:tc>
        <w:tc>
          <w:tcPr>
            <w:tcW w:w="496" w:type="pct"/>
            <w:tcBorders>
              <w:top w:val="nil"/>
              <w:left w:val="nil"/>
              <w:bottom w:val="nil"/>
              <w:right w:val="nil"/>
            </w:tcBorders>
            <w:shd w:val="clear" w:color="auto" w:fill="auto"/>
            <w:vAlign w:val="center"/>
            <w:hideMark/>
          </w:tcPr>
          <w:p w14:paraId="1C88EFAF" w14:textId="77777777" w:rsidR="005400BA" w:rsidRPr="00230B60" w:rsidRDefault="005400BA" w:rsidP="00BB0649">
            <w:pPr>
              <w:spacing w:after="0" w:line="240" w:lineRule="auto"/>
              <w:jc w:val="center"/>
              <w:rPr>
                <w:rFonts w:ascii="Times New Roman" w:eastAsia="Times New Roman" w:hAnsi="Times New Roman"/>
                <w:color w:val="000000"/>
                <w:lang w:eastAsia="es-ES"/>
              </w:rPr>
            </w:pPr>
            <w:r w:rsidRPr="00230B60">
              <w:rPr>
                <w:rFonts w:ascii="Times New Roman" w:eastAsia="Times New Roman" w:hAnsi="Times New Roman"/>
                <w:color w:val="000000"/>
                <w:lang w:eastAsia="es-ES"/>
              </w:rPr>
              <w:t>19.81-22</w:t>
            </w:r>
          </w:p>
        </w:tc>
        <w:tc>
          <w:tcPr>
            <w:tcW w:w="496" w:type="pct"/>
            <w:tcBorders>
              <w:top w:val="nil"/>
              <w:left w:val="nil"/>
              <w:bottom w:val="nil"/>
              <w:right w:val="nil"/>
            </w:tcBorders>
            <w:shd w:val="clear" w:color="auto" w:fill="auto"/>
            <w:vAlign w:val="center"/>
            <w:hideMark/>
          </w:tcPr>
          <w:p w14:paraId="4C5FCCA3" w14:textId="77777777" w:rsidR="005400BA" w:rsidRPr="00230B60" w:rsidRDefault="005400BA" w:rsidP="00BB0649">
            <w:pPr>
              <w:spacing w:after="0" w:line="240" w:lineRule="auto"/>
              <w:jc w:val="center"/>
              <w:rPr>
                <w:rFonts w:ascii="Times New Roman" w:eastAsia="Times New Roman" w:hAnsi="Times New Roman"/>
                <w:color w:val="000000"/>
                <w:lang w:eastAsia="es-ES"/>
              </w:rPr>
            </w:pPr>
            <w:r w:rsidRPr="00230B60">
              <w:rPr>
                <w:rFonts w:ascii="Times New Roman" w:eastAsia="Times New Roman" w:hAnsi="Times New Roman"/>
                <w:color w:val="000000"/>
                <w:lang w:eastAsia="es-ES"/>
              </w:rPr>
              <w:t>26.11-29</w:t>
            </w:r>
          </w:p>
        </w:tc>
        <w:tc>
          <w:tcPr>
            <w:tcW w:w="79" w:type="pct"/>
            <w:tcBorders>
              <w:top w:val="nil"/>
              <w:left w:val="nil"/>
              <w:bottom w:val="nil"/>
              <w:right w:val="nil"/>
            </w:tcBorders>
          </w:tcPr>
          <w:p w14:paraId="123A6EAC" w14:textId="77777777" w:rsidR="005400BA" w:rsidRPr="00230B60" w:rsidRDefault="005400BA" w:rsidP="00BB0649">
            <w:pPr>
              <w:spacing w:after="0" w:line="240" w:lineRule="auto"/>
              <w:jc w:val="center"/>
              <w:rPr>
                <w:rFonts w:ascii="Times New Roman" w:eastAsia="Times New Roman" w:hAnsi="Times New Roman"/>
                <w:color w:val="000000"/>
                <w:lang w:eastAsia="es-ES"/>
              </w:rPr>
            </w:pPr>
          </w:p>
        </w:tc>
        <w:tc>
          <w:tcPr>
            <w:tcW w:w="296" w:type="pct"/>
            <w:tcBorders>
              <w:top w:val="nil"/>
              <w:left w:val="nil"/>
              <w:bottom w:val="nil"/>
              <w:right w:val="nil"/>
            </w:tcBorders>
            <w:shd w:val="clear" w:color="auto" w:fill="auto"/>
            <w:vAlign w:val="center"/>
            <w:hideMark/>
          </w:tcPr>
          <w:p w14:paraId="66B46DB6" w14:textId="77777777" w:rsidR="005400BA" w:rsidRPr="00230B60" w:rsidRDefault="005400BA" w:rsidP="00BB0649">
            <w:pPr>
              <w:spacing w:after="0" w:line="240" w:lineRule="auto"/>
              <w:jc w:val="center"/>
              <w:rPr>
                <w:rFonts w:ascii="Times New Roman" w:eastAsia="Times New Roman" w:hAnsi="Times New Roman"/>
                <w:color w:val="000000"/>
                <w:lang w:eastAsia="es-ES"/>
              </w:rPr>
            </w:pPr>
            <w:r w:rsidRPr="00230B60">
              <w:rPr>
                <w:rFonts w:ascii="Times New Roman" w:eastAsia="Times New Roman" w:hAnsi="Times New Roman"/>
                <w:color w:val="000000"/>
                <w:lang w:eastAsia="es-ES"/>
              </w:rPr>
              <w:t>2.5</w:t>
            </w:r>
          </w:p>
        </w:tc>
        <w:tc>
          <w:tcPr>
            <w:tcW w:w="741" w:type="pct"/>
            <w:tcBorders>
              <w:top w:val="nil"/>
              <w:left w:val="nil"/>
              <w:bottom w:val="nil"/>
              <w:right w:val="nil"/>
            </w:tcBorders>
            <w:shd w:val="clear" w:color="auto" w:fill="auto"/>
            <w:vAlign w:val="center"/>
            <w:hideMark/>
          </w:tcPr>
          <w:p w14:paraId="32E1C5EC" w14:textId="77777777" w:rsidR="005400BA" w:rsidRPr="00230B60" w:rsidRDefault="005400BA" w:rsidP="00BB0649">
            <w:pPr>
              <w:spacing w:after="0" w:line="240" w:lineRule="auto"/>
              <w:jc w:val="center"/>
              <w:rPr>
                <w:rFonts w:ascii="Times New Roman" w:eastAsia="Times New Roman" w:hAnsi="Times New Roman"/>
                <w:color w:val="000000"/>
                <w:lang w:eastAsia="es-ES"/>
              </w:rPr>
            </w:pPr>
            <w:proofErr w:type="spellStart"/>
            <w:r w:rsidRPr="00230B60">
              <w:rPr>
                <w:rFonts w:ascii="Times New Roman" w:eastAsia="Times New Roman" w:hAnsi="Times New Roman"/>
                <w:color w:val="000000"/>
                <w:lang w:eastAsia="es-ES"/>
              </w:rPr>
              <w:t>Tandem</w:t>
            </w:r>
            <w:proofErr w:type="spellEnd"/>
            <w:r w:rsidRPr="00230B60">
              <w:rPr>
                <w:rFonts w:ascii="Times New Roman" w:eastAsia="Times New Roman" w:hAnsi="Times New Roman"/>
                <w:color w:val="000000"/>
                <w:lang w:eastAsia="es-ES"/>
              </w:rPr>
              <w:t xml:space="preserve"> </w:t>
            </w:r>
          </w:p>
        </w:tc>
        <w:tc>
          <w:tcPr>
            <w:tcW w:w="447" w:type="pct"/>
            <w:tcBorders>
              <w:top w:val="nil"/>
              <w:left w:val="nil"/>
              <w:bottom w:val="nil"/>
              <w:right w:val="nil"/>
            </w:tcBorders>
            <w:shd w:val="clear" w:color="auto" w:fill="auto"/>
            <w:noWrap/>
            <w:vAlign w:val="center"/>
            <w:hideMark/>
          </w:tcPr>
          <w:p w14:paraId="1A72AA4E" w14:textId="77777777" w:rsidR="005400BA" w:rsidRPr="00230B60" w:rsidRDefault="005400BA" w:rsidP="00BB0649">
            <w:pPr>
              <w:spacing w:after="0" w:line="240" w:lineRule="auto"/>
              <w:jc w:val="center"/>
              <w:rPr>
                <w:rFonts w:ascii="Times New Roman" w:eastAsia="Times New Roman" w:hAnsi="Times New Roman"/>
                <w:color w:val="000000"/>
                <w:lang w:eastAsia="es-ES"/>
              </w:rPr>
            </w:pPr>
            <w:r w:rsidRPr="00230B60">
              <w:rPr>
                <w:rFonts w:ascii="Times New Roman" w:eastAsia="Times New Roman" w:hAnsi="Times New Roman"/>
                <w:color w:val="000000"/>
                <w:lang w:eastAsia="es-ES"/>
              </w:rPr>
              <w:t>3.01-9.99</w:t>
            </w:r>
          </w:p>
        </w:tc>
      </w:tr>
      <w:tr w:rsidR="00B06306" w:rsidRPr="00230B60" w14:paraId="0797909C" w14:textId="77777777" w:rsidTr="00290FE0">
        <w:trPr>
          <w:trHeight w:val="290"/>
        </w:trPr>
        <w:tc>
          <w:tcPr>
            <w:tcW w:w="296" w:type="pct"/>
            <w:tcBorders>
              <w:top w:val="nil"/>
              <w:left w:val="nil"/>
              <w:bottom w:val="nil"/>
              <w:right w:val="nil"/>
            </w:tcBorders>
            <w:shd w:val="clear" w:color="auto" w:fill="auto"/>
            <w:vAlign w:val="center"/>
            <w:hideMark/>
          </w:tcPr>
          <w:p w14:paraId="55967377" w14:textId="77777777" w:rsidR="005400BA" w:rsidRPr="00230B60" w:rsidRDefault="005400BA" w:rsidP="00BB0649">
            <w:pPr>
              <w:spacing w:after="0" w:line="240" w:lineRule="auto"/>
              <w:jc w:val="center"/>
              <w:rPr>
                <w:rFonts w:ascii="Times New Roman" w:eastAsia="Times New Roman" w:hAnsi="Times New Roman"/>
                <w:color w:val="000000"/>
                <w:lang w:eastAsia="es-ES"/>
              </w:rPr>
            </w:pPr>
            <w:r w:rsidRPr="00230B60">
              <w:rPr>
                <w:rFonts w:ascii="Times New Roman" w:eastAsia="Times New Roman" w:hAnsi="Times New Roman"/>
                <w:color w:val="000000"/>
                <w:lang w:eastAsia="es-ES"/>
              </w:rPr>
              <w:t>2</w:t>
            </w:r>
          </w:p>
        </w:tc>
        <w:tc>
          <w:tcPr>
            <w:tcW w:w="544" w:type="pct"/>
            <w:tcBorders>
              <w:top w:val="nil"/>
              <w:left w:val="nil"/>
              <w:bottom w:val="nil"/>
              <w:right w:val="nil"/>
            </w:tcBorders>
            <w:shd w:val="clear" w:color="auto" w:fill="auto"/>
            <w:vAlign w:val="center"/>
            <w:hideMark/>
          </w:tcPr>
          <w:p w14:paraId="07D86C8F" w14:textId="77777777" w:rsidR="005400BA" w:rsidRPr="00230B60" w:rsidRDefault="005400BA" w:rsidP="00BB0649">
            <w:pPr>
              <w:spacing w:after="0" w:line="240" w:lineRule="auto"/>
              <w:jc w:val="center"/>
              <w:rPr>
                <w:rFonts w:ascii="Times New Roman" w:eastAsia="Times New Roman" w:hAnsi="Times New Roman"/>
                <w:color w:val="000000"/>
                <w:lang w:eastAsia="es-ES"/>
              </w:rPr>
            </w:pPr>
            <w:r w:rsidRPr="00230B60">
              <w:rPr>
                <w:rFonts w:ascii="Times New Roman" w:eastAsia="Times New Roman" w:hAnsi="Times New Roman"/>
                <w:color w:val="000000"/>
                <w:lang w:eastAsia="es-ES"/>
              </w:rPr>
              <w:t>29-30.99</w:t>
            </w:r>
          </w:p>
        </w:tc>
        <w:tc>
          <w:tcPr>
            <w:tcW w:w="455" w:type="pct"/>
            <w:tcBorders>
              <w:top w:val="nil"/>
              <w:left w:val="nil"/>
              <w:bottom w:val="nil"/>
              <w:right w:val="nil"/>
            </w:tcBorders>
            <w:shd w:val="clear" w:color="auto" w:fill="auto"/>
            <w:vAlign w:val="center"/>
            <w:hideMark/>
          </w:tcPr>
          <w:p w14:paraId="14C952A3" w14:textId="77777777" w:rsidR="005400BA" w:rsidRPr="00230B60" w:rsidRDefault="005400BA" w:rsidP="00BB0649">
            <w:pPr>
              <w:spacing w:after="0" w:line="240" w:lineRule="auto"/>
              <w:jc w:val="center"/>
              <w:rPr>
                <w:rFonts w:ascii="Times New Roman" w:eastAsia="Times New Roman" w:hAnsi="Times New Roman"/>
                <w:color w:val="000000"/>
                <w:lang w:eastAsia="es-ES"/>
              </w:rPr>
            </w:pPr>
            <w:r w:rsidRPr="00230B60">
              <w:rPr>
                <w:rFonts w:ascii="Times New Roman" w:eastAsia="Times New Roman" w:hAnsi="Times New Roman"/>
                <w:color w:val="000000"/>
                <w:lang w:eastAsia="es-ES"/>
              </w:rPr>
              <w:t>19.01-21</w:t>
            </w:r>
          </w:p>
        </w:tc>
        <w:tc>
          <w:tcPr>
            <w:tcW w:w="593" w:type="pct"/>
            <w:tcBorders>
              <w:top w:val="nil"/>
              <w:left w:val="nil"/>
              <w:bottom w:val="nil"/>
              <w:right w:val="nil"/>
            </w:tcBorders>
            <w:shd w:val="clear" w:color="auto" w:fill="auto"/>
            <w:vAlign w:val="center"/>
            <w:hideMark/>
          </w:tcPr>
          <w:p w14:paraId="0A7402E5" w14:textId="77777777" w:rsidR="005400BA" w:rsidRPr="00230B60" w:rsidRDefault="005400BA" w:rsidP="00BB0649">
            <w:pPr>
              <w:spacing w:after="0" w:line="240" w:lineRule="auto"/>
              <w:jc w:val="center"/>
              <w:rPr>
                <w:rFonts w:ascii="Times New Roman" w:eastAsia="Times New Roman" w:hAnsi="Times New Roman"/>
                <w:color w:val="000000"/>
                <w:lang w:eastAsia="es-ES"/>
              </w:rPr>
            </w:pPr>
            <w:r w:rsidRPr="00230B60">
              <w:rPr>
                <w:rFonts w:ascii="Times New Roman" w:eastAsia="Times New Roman" w:hAnsi="Times New Roman"/>
                <w:color w:val="000000"/>
                <w:lang w:eastAsia="es-ES"/>
              </w:rPr>
              <w:t>155.21-174.6</w:t>
            </w:r>
          </w:p>
        </w:tc>
        <w:tc>
          <w:tcPr>
            <w:tcW w:w="557" w:type="pct"/>
            <w:tcBorders>
              <w:top w:val="nil"/>
              <w:left w:val="nil"/>
              <w:bottom w:val="nil"/>
              <w:right w:val="nil"/>
            </w:tcBorders>
            <w:shd w:val="clear" w:color="auto" w:fill="auto"/>
            <w:vAlign w:val="center"/>
            <w:hideMark/>
          </w:tcPr>
          <w:p w14:paraId="1F9FD034" w14:textId="77777777" w:rsidR="005400BA" w:rsidRPr="00230B60" w:rsidRDefault="005400BA" w:rsidP="00BB0649">
            <w:pPr>
              <w:spacing w:after="0" w:line="240" w:lineRule="auto"/>
              <w:jc w:val="center"/>
              <w:rPr>
                <w:rFonts w:ascii="Times New Roman" w:eastAsia="Times New Roman" w:hAnsi="Times New Roman"/>
                <w:color w:val="000000"/>
                <w:lang w:eastAsia="es-ES"/>
              </w:rPr>
            </w:pPr>
            <w:r w:rsidRPr="00230B60">
              <w:rPr>
                <w:rFonts w:ascii="Times New Roman" w:eastAsia="Times New Roman" w:hAnsi="Times New Roman"/>
                <w:color w:val="000000"/>
                <w:lang w:eastAsia="es-ES"/>
              </w:rPr>
              <w:t>3.00-3.54</w:t>
            </w:r>
          </w:p>
        </w:tc>
        <w:tc>
          <w:tcPr>
            <w:tcW w:w="496" w:type="pct"/>
            <w:tcBorders>
              <w:top w:val="nil"/>
              <w:left w:val="nil"/>
              <w:bottom w:val="nil"/>
              <w:right w:val="nil"/>
            </w:tcBorders>
            <w:shd w:val="clear" w:color="auto" w:fill="auto"/>
            <w:vAlign w:val="center"/>
            <w:hideMark/>
          </w:tcPr>
          <w:p w14:paraId="51031988" w14:textId="77777777" w:rsidR="005400BA" w:rsidRPr="00230B60" w:rsidRDefault="005400BA" w:rsidP="00BB0649">
            <w:pPr>
              <w:spacing w:after="0" w:line="240" w:lineRule="auto"/>
              <w:jc w:val="center"/>
              <w:rPr>
                <w:rFonts w:ascii="Times New Roman" w:eastAsia="Times New Roman" w:hAnsi="Times New Roman"/>
                <w:color w:val="000000"/>
                <w:lang w:eastAsia="es-ES"/>
              </w:rPr>
            </w:pPr>
            <w:r w:rsidRPr="00230B60">
              <w:rPr>
                <w:rFonts w:ascii="Times New Roman" w:eastAsia="Times New Roman" w:hAnsi="Times New Roman"/>
                <w:color w:val="000000"/>
                <w:lang w:eastAsia="es-ES"/>
              </w:rPr>
              <w:t>17.61-19.8</w:t>
            </w:r>
          </w:p>
        </w:tc>
        <w:tc>
          <w:tcPr>
            <w:tcW w:w="496" w:type="pct"/>
            <w:tcBorders>
              <w:top w:val="nil"/>
              <w:left w:val="nil"/>
              <w:bottom w:val="nil"/>
              <w:right w:val="nil"/>
            </w:tcBorders>
            <w:shd w:val="clear" w:color="auto" w:fill="auto"/>
            <w:vAlign w:val="center"/>
            <w:hideMark/>
          </w:tcPr>
          <w:p w14:paraId="7EF74A8C" w14:textId="77777777" w:rsidR="005400BA" w:rsidRPr="00230B60" w:rsidRDefault="005400BA" w:rsidP="00BB0649">
            <w:pPr>
              <w:spacing w:after="0" w:line="240" w:lineRule="auto"/>
              <w:jc w:val="center"/>
              <w:rPr>
                <w:rFonts w:ascii="Times New Roman" w:eastAsia="Times New Roman" w:hAnsi="Times New Roman"/>
                <w:color w:val="000000"/>
                <w:lang w:eastAsia="es-ES"/>
              </w:rPr>
            </w:pPr>
            <w:r w:rsidRPr="00230B60">
              <w:rPr>
                <w:rFonts w:ascii="Times New Roman" w:eastAsia="Times New Roman" w:hAnsi="Times New Roman"/>
                <w:color w:val="000000"/>
                <w:lang w:eastAsia="es-ES"/>
              </w:rPr>
              <w:t>23.21-26.1</w:t>
            </w:r>
          </w:p>
        </w:tc>
        <w:tc>
          <w:tcPr>
            <w:tcW w:w="79" w:type="pct"/>
            <w:tcBorders>
              <w:top w:val="nil"/>
              <w:left w:val="nil"/>
              <w:bottom w:val="nil"/>
              <w:right w:val="nil"/>
            </w:tcBorders>
          </w:tcPr>
          <w:p w14:paraId="6FF3DC62" w14:textId="77777777" w:rsidR="005400BA" w:rsidRPr="00230B60" w:rsidRDefault="005400BA" w:rsidP="00BB0649">
            <w:pPr>
              <w:spacing w:after="0" w:line="240" w:lineRule="auto"/>
              <w:jc w:val="center"/>
              <w:rPr>
                <w:rFonts w:ascii="Times New Roman" w:eastAsia="Times New Roman" w:hAnsi="Times New Roman"/>
                <w:color w:val="000000"/>
                <w:lang w:eastAsia="es-ES"/>
              </w:rPr>
            </w:pPr>
          </w:p>
        </w:tc>
        <w:tc>
          <w:tcPr>
            <w:tcW w:w="296" w:type="pct"/>
            <w:tcBorders>
              <w:top w:val="nil"/>
              <w:left w:val="nil"/>
              <w:bottom w:val="nil"/>
              <w:right w:val="nil"/>
            </w:tcBorders>
            <w:shd w:val="clear" w:color="auto" w:fill="auto"/>
            <w:vAlign w:val="center"/>
            <w:hideMark/>
          </w:tcPr>
          <w:p w14:paraId="795AA1CC" w14:textId="77777777" w:rsidR="005400BA" w:rsidRPr="00230B60" w:rsidRDefault="005400BA" w:rsidP="00BB0649">
            <w:pPr>
              <w:spacing w:after="0" w:line="240" w:lineRule="auto"/>
              <w:jc w:val="center"/>
              <w:rPr>
                <w:rFonts w:ascii="Times New Roman" w:eastAsia="Times New Roman" w:hAnsi="Times New Roman"/>
                <w:color w:val="000000"/>
                <w:lang w:eastAsia="es-ES"/>
              </w:rPr>
            </w:pPr>
            <w:r w:rsidRPr="00230B60">
              <w:rPr>
                <w:rFonts w:ascii="Times New Roman" w:eastAsia="Times New Roman" w:hAnsi="Times New Roman"/>
                <w:color w:val="000000"/>
                <w:lang w:eastAsia="es-ES"/>
              </w:rPr>
              <w:t>5</w:t>
            </w:r>
          </w:p>
        </w:tc>
        <w:tc>
          <w:tcPr>
            <w:tcW w:w="741" w:type="pct"/>
            <w:tcBorders>
              <w:top w:val="nil"/>
              <w:left w:val="nil"/>
              <w:bottom w:val="nil"/>
              <w:right w:val="nil"/>
            </w:tcBorders>
            <w:shd w:val="clear" w:color="auto" w:fill="auto"/>
            <w:vAlign w:val="center"/>
            <w:hideMark/>
          </w:tcPr>
          <w:p w14:paraId="24FDF53D" w14:textId="77777777" w:rsidR="005400BA" w:rsidRPr="00230B60" w:rsidRDefault="005400BA" w:rsidP="00BB0649">
            <w:pPr>
              <w:spacing w:after="0" w:line="240" w:lineRule="auto"/>
              <w:jc w:val="center"/>
              <w:rPr>
                <w:rFonts w:ascii="Times New Roman" w:eastAsia="Times New Roman" w:hAnsi="Times New Roman"/>
                <w:color w:val="000000"/>
                <w:lang w:eastAsia="es-ES"/>
              </w:rPr>
            </w:pPr>
            <w:proofErr w:type="spellStart"/>
            <w:r w:rsidRPr="00230B60">
              <w:rPr>
                <w:rFonts w:ascii="Times New Roman" w:eastAsia="Times New Roman" w:hAnsi="Times New Roman"/>
                <w:color w:val="000000"/>
                <w:lang w:eastAsia="es-ES"/>
              </w:rPr>
              <w:t>Tandem</w:t>
            </w:r>
            <w:proofErr w:type="spellEnd"/>
            <w:r w:rsidRPr="00230B60">
              <w:rPr>
                <w:rFonts w:ascii="Times New Roman" w:eastAsia="Times New Roman" w:hAnsi="Times New Roman"/>
                <w:color w:val="000000"/>
                <w:lang w:eastAsia="es-ES"/>
              </w:rPr>
              <w:t xml:space="preserve"> </w:t>
            </w:r>
          </w:p>
        </w:tc>
        <w:tc>
          <w:tcPr>
            <w:tcW w:w="447" w:type="pct"/>
            <w:tcBorders>
              <w:top w:val="nil"/>
              <w:left w:val="nil"/>
              <w:bottom w:val="nil"/>
              <w:right w:val="nil"/>
            </w:tcBorders>
            <w:shd w:val="clear" w:color="auto" w:fill="auto"/>
            <w:noWrap/>
            <w:vAlign w:val="center"/>
            <w:hideMark/>
          </w:tcPr>
          <w:p w14:paraId="3DB5EED1" w14:textId="77777777" w:rsidR="005400BA" w:rsidRPr="00230B60" w:rsidRDefault="005400BA" w:rsidP="00BB0649">
            <w:pPr>
              <w:spacing w:after="0" w:line="240" w:lineRule="auto"/>
              <w:jc w:val="center"/>
              <w:rPr>
                <w:rFonts w:ascii="Times New Roman" w:eastAsia="Times New Roman" w:hAnsi="Times New Roman"/>
                <w:color w:val="000000"/>
                <w:lang w:eastAsia="es-ES"/>
              </w:rPr>
            </w:pPr>
            <w:r w:rsidRPr="00230B60">
              <w:rPr>
                <w:rFonts w:ascii="Times New Roman" w:eastAsia="Times New Roman" w:hAnsi="Times New Roman"/>
                <w:color w:val="000000"/>
                <w:lang w:eastAsia="es-ES"/>
              </w:rPr>
              <w:t>≤3</w:t>
            </w:r>
          </w:p>
        </w:tc>
      </w:tr>
      <w:tr w:rsidR="00B06306" w:rsidRPr="00230B60" w14:paraId="6E326002" w14:textId="77777777" w:rsidTr="00290FE0">
        <w:trPr>
          <w:trHeight w:val="290"/>
        </w:trPr>
        <w:tc>
          <w:tcPr>
            <w:tcW w:w="296" w:type="pct"/>
            <w:tcBorders>
              <w:top w:val="nil"/>
              <w:left w:val="nil"/>
              <w:bottom w:val="nil"/>
              <w:right w:val="nil"/>
            </w:tcBorders>
            <w:shd w:val="clear" w:color="auto" w:fill="auto"/>
            <w:vAlign w:val="center"/>
            <w:hideMark/>
          </w:tcPr>
          <w:p w14:paraId="5C936B7D" w14:textId="77777777" w:rsidR="005400BA" w:rsidRPr="00230B60" w:rsidRDefault="005400BA" w:rsidP="00BB0649">
            <w:pPr>
              <w:spacing w:after="0" w:line="240" w:lineRule="auto"/>
              <w:jc w:val="center"/>
              <w:rPr>
                <w:rFonts w:ascii="Times New Roman" w:eastAsia="Times New Roman" w:hAnsi="Times New Roman"/>
                <w:color w:val="000000"/>
                <w:lang w:eastAsia="es-ES"/>
              </w:rPr>
            </w:pPr>
            <w:r w:rsidRPr="00230B60">
              <w:rPr>
                <w:rFonts w:ascii="Times New Roman" w:eastAsia="Times New Roman" w:hAnsi="Times New Roman"/>
                <w:color w:val="000000"/>
                <w:lang w:eastAsia="es-ES"/>
              </w:rPr>
              <w:t>3</w:t>
            </w:r>
          </w:p>
        </w:tc>
        <w:tc>
          <w:tcPr>
            <w:tcW w:w="544" w:type="pct"/>
            <w:tcBorders>
              <w:top w:val="nil"/>
              <w:left w:val="nil"/>
              <w:bottom w:val="nil"/>
              <w:right w:val="nil"/>
            </w:tcBorders>
            <w:shd w:val="clear" w:color="auto" w:fill="auto"/>
            <w:vAlign w:val="center"/>
            <w:hideMark/>
          </w:tcPr>
          <w:p w14:paraId="1E8F8ACE" w14:textId="77777777" w:rsidR="005400BA" w:rsidRPr="00230B60" w:rsidRDefault="005400BA" w:rsidP="00BB0649">
            <w:pPr>
              <w:spacing w:after="0" w:line="240" w:lineRule="auto"/>
              <w:jc w:val="center"/>
              <w:rPr>
                <w:rFonts w:ascii="Times New Roman" w:eastAsia="Times New Roman" w:hAnsi="Times New Roman"/>
                <w:color w:val="000000"/>
                <w:lang w:eastAsia="es-ES"/>
              </w:rPr>
            </w:pPr>
            <w:r w:rsidRPr="00230B60">
              <w:rPr>
                <w:rFonts w:ascii="Times New Roman" w:eastAsia="Times New Roman" w:hAnsi="Times New Roman"/>
                <w:color w:val="000000"/>
                <w:lang w:eastAsia="es-ES"/>
              </w:rPr>
              <w:t>31-32.99</w:t>
            </w:r>
          </w:p>
        </w:tc>
        <w:tc>
          <w:tcPr>
            <w:tcW w:w="455" w:type="pct"/>
            <w:tcBorders>
              <w:top w:val="nil"/>
              <w:left w:val="nil"/>
              <w:bottom w:val="nil"/>
              <w:right w:val="nil"/>
            </w:tcBorders>
            <w:shd w:val="clear" w:color="auto" w:fill="auto"/>
            <w:vAlign w:val="center"/>
            <w:hideMark/>
          </w:tcPr>
          <w:p w14:paraId="03CCC600" w14:textId="77777777" w:rsidR="005400BA" w:rsidRPr="00230B60" w:rsidRDefault="005400BA" w:rsidP="00BB0649">
            <w:pPr>
              <w:spacing w:after="0" w:line="240" w:lineRule="auto"/>
              <w:jc w:val="center"/>
              <w:rPr>
                <w:rFonts w:ascii="Times New Roman" w:eastAsia="Times New Roman" w:hAnsi="Times New Roman"/>
                <w:color w:val="000000"/>
                <w:lang w:eastAsia="es-ES"/>
              </w:rPr>
            </w:pPr>
            <w:r w:rsidRPr="00230B60">
              <w:rPr>
                <w:rFonts w:ascii="Times New Roman" w:eastAsia="Times New Roman" w:hAnsi="Times New Roman"/>
                <w:color w:val="000000"/>
                <w:lang w:eastAsia="es-ES"/>
              </w:rPr>
              <w:t>17.01-19</w:t>
            </w:r>
          </w:p>
        </w:tc>
        <w:tc>
          <w:tcPr>
            <w:tcW w:w="593" w:type="pct"/>
            <w:tcBorders>
              <w:top w:val="nil"/>
              <w:left w:val="nil"/>
              <w:bottom w:val="nil"/>
              <w:right w:val="nil"/>
            </w:tcBorders>
            <w:shd w:val="clear" w:color="auto" w:fill="auto"/>
            <w:vAlign w:val="center"/>
            <w:hideMark/>
          </w:tcPr>
          <w:p w14:paraId="61D49436" w14:textId="77777777" w:rsidR="005400BA" w:rsidRPr="00230B60" w:rsidRDefault="005400BA" w:rsidP="00BB0649">
            <w:pPr>
              <w:spacing w:after="0" w:line="240" w:lineRule="auto"/>
              <w:jc w:val="center"/>
              <w:rPr>
                <w:rFonts w:ascii="Times New Roman" w:eastAsia="Times New Roman" w:hAnsi="Times New Roman"/>
                <w:color w:val="000000"/>
                <w:lang w:eastAsia="es-ES"/>
              </w:rPr>
            </w:pPr>
            <w:r w:rsidRPr="00230B60">
              <w:rPr>
                <w:rFonts w:ascii="Times New Roman" w:eastAsia="Times New Roman" w:hAnsi="Times New Roman"/>
                <w:color w:val="000000"/>
                <w:lang w:eastAsia="es-ES"/>
              </w:rPr>
              <w:t>135.81-155.2</w:t>
            </w:r>
          </w:p>
        </w:tc>
        <w:tc>
          <w:tcPr>
            <w:tcW w:w="557" w:type="pct"/>
            <w:tcBorders>
              <w:top w:val="nil"/>
              <w:left w:val="nil"/>
              <w:bottom w:val="nil"/>
              <w:right w:val="nil"/>
            </w:tcBorders>
            <w:shd w:val="clear" w:color="auto" w:fill="auto"/>
            <w:vAlign w:val="center"/>
            <w:hideMark/>
          </w:tcPr>
          <w:p w14:paraId="3346CDE2" w14:textId="77777777" w:rsidR="005400BA" w:rsidRPr="00230B60" w:rsidRDefault="005400BA" w:rsidP="00BB0649">
            <w:pPr>
              <w:spacing w:after="0" w:line="240" w:lineRule="auto"/>
              <w:jc w:val="center"/>
              <w:rPr>
                <w:rFonts w:ascii="Times New Roman" w:eastAsia="Times New Roman" w:hAnsi="Times New Roman"/>
                <w:color w:val="000000"/>
                <w:lang w:eastAsia="es-ES"/>
              </w:rPr>
            </w:pPr>
            <w:r w:rsidRPr="00230B60">
              <w:rPr>
                <w:rFonts w:ascii="Times New Roman" w:eastAsia="Times New Roman" w:hAnsi="Times New Roman"/>
                <w:color w:val="000000"/>
                <w:lang w:eastAsia="es-ES"/>
              </w:rPr>
              <w:t>3.55-4.09</w:t>
            </w:r>
          </w:p>
        </w:tc>
        <w:tc>
          <w:tcPr>
            <w:tcW w:w="496" w:type="pct"/>
            <w:tcBorders>
              <w:top w:val="nil"/>
              <w:left w:val="nil"/>
              <w:bottom w:val="nil"/>
              <w:right w:val="nil"/>
            </w:tcBorders>
            <w:shd w:val="clear" w:color="auto" w:fill="auto"/>
            <w:vAlign w:val="center"/>
            <w:hideMark/>
          </w:tcPr>
          <w:p w14:paraId="3E553104" w14:textId="77777777" w:rsidR="005400BA" w:rsidRPr="00230B60" w:rsidRDefault="005400BA" w:rsidP="00BB0649">
            <w:pPr>
              <w:spacing w:after="0" w:line="240" w:lineRule="auto"/>
              <w:jc w:val="center"/>
              <w:rPr>
                <w:rFonts w:ascii="Times New Roman" w:eastAsia="Times New Roman" w:hAnsi="Times New Roman"/>
                <w:color w:val="000000"/>
                <w:lang w:eastAsia="es-ES"/>
              </w:rPr>
            </w:pPr>
            <w:r w:rsidRPr="00230B60">
              <w:rPr>
                <w:rFonts w:ascii="Times New Roman" w:eastAsia="Times New Roman" w:hAnsi="Times New Roman"/>
                <w:color w:val="000000"/>
                <w:lang w:eastAsia="es-ES"/>
              </w:rPr>
              <w:t>15.41-17.6</w:t>
            </w:r>
          </w:p>
        </w:tc>
        <w:tc>
          <w:tcPr>
            <w:tcW w:w="496" w:type="pct"/>
            <w:tcBorders>
              <w:top w:val="nil"/>
              <w:left w:val="nil"/>
              <w:bottom w:val="nil"/>
              <w:right w:val="nil"/>
            </w:tcBorders>
            <w:shd w:val="clear" w:color="auto" w:fill="auto"/>
            <w:vAlign w:val="center"/>
            <w:hideMark/>
          </w:tcPr>
          <w:p w14:paraId="65463F17" w14:textId="77777777" w:rsidR="005400BA" w:rsidRPr="00230B60" w:rsidRDefault="005400BA" w:rsidP="00BB0649">
            <w:pPr>
              <w:spacing w:after="0" w:line="240" w:lineRule="auto"/>
              <w:jc w:val="center"/>
              <w:rPr>
                <w:rFonts w:ascii="Times New Roman" w:eastAsia="Times New Roman" w:hAnsi="Times New Roman"/>
                <w:color w:val="000000"/>
                <w:lang w:eastAsia="es-ES"/>
              </w:rPr>
            </w:pPr>
            <w:r w:rsidRPr="00230B60">
              <w:rPr>
                <w:rFonts w:ascii="Times New Roman" w:eastAsia="Times New Roman" w:hAnsi="Times New Roman"/>
                <w:color w:val="000000"/>
                <w:lang w:eastAsia="es-ES"/>
              </w:rPr>
              <w:t>20.31-23.2</w:t>
            </w:r>
          </w:p>
        </w:tc>
        <w:tc>
          <w:tcPr>
            <w:tcW w:w="79" w:type="pct"/>
            <w:tcBorders>
              <w:top w:val="nil"/>
              <w:left w:val="nil"/>
              <w:bottom w:val="nil"/>
              <w:right w:val="nil"/>
            </w:tcBorders>
          </w:tcPr>
          <w:p w14:paraId="52EF50FC" w14:textId="77777777" w:rsidR="005400BA" w:rsidRPr="00230B60" w:rsidRDefault="005400BA" w:rsidP="00BB0649">
            <w:pPr>
              <w:spacing w:after="0" w:line="240" w:lineRule="auto"/>
              <w:jc w:val="center"/>
              <w:rPr>
                <w:rFonts w:ascii="Times New Roman" w:eastAsia="Times New Roman" w:hAnsi="Times New Roman"/>
                <w:color w:val="000000"/>
                <w:lang w:eastAsia="es-ES"/>
              </w:rPr>
            </w:pPr>
          </w:p>
        </w:tc>
        <w:tc>
          <w:tcPr>
            <w:tcW w:w="296" w:type="pct"/>
            <w:tcBorders>
              <w:top w:val="nil"/>
              <w:left w:val="nil"/>
              <w:bottom w:val="nil"/>
              <w:right w:val="nil"/>
            </w:tcBorders>
            <w:shd w:val="clear" w:color="auto" w:fill="auto"/>
            <w:vAlign w:val="center"/>
            <w:hideMark/>
          </w:tcPr>
          <w:p w14:paraId="4202C883" w14:textId="77777777" w:rsidR="005400BA" w:rsidRPr="00230B60" w:rsidRDefault="005400BA" w:rsidP="00BB0649">
            <w:pPr>
              <w:spacing w:after="0" w:line="240" w:lineRule="auto"/>
              <w:jc w:val="center"/>
              <w:rPr>
                <w:rFonts w:ascii="Times New Roman" w:eastAsia="Times New Roman" w:hAnsi="Times New Roman"/>
                <w:color w:val="000000"/>
                <w:lang w:eastAsia="es-ES"/>
              </w:rPr>
            </w:pPr>
          </w:p>
        </w:tc>
        <w:tc>
          <w:tcPr>
            <w:tcW w:w="741" w:type="pct"/>
            <w:tcBorders>
              <w:top w:val="nil"/>
              <w:left w:val="nil"/>
              <w:bottom w:val="nil"/>
              <w:right w:val="nil"/>
            </w:tcBorders>
            <w:shd w:val="clear" w:color="auto" w:fill="auto"/>
            <w:vAlign w:val="center"/>
            <w:hideMark/>
          </w:tcPr>
          <w:p w14:paraId="7FD311D1" w14:textId="77777777" w:rsidR="005400BA" w:rsidRPr="00230B60" w:rsidRDefault="005400BA" w:rsidP="00BB0649">
            <w:pPr>
              <w:spacing w:after="0" w:line="240" w:lineRule="auto"/>
              <w:jc w:val="center"/>
              <w:rPr>
                <w:rFonts w:ascii="Times New Roman" w:eastAsia="Times New Roman" w:hAnsi="Times New Roman"/>
                <w:color w:val="000000"/>
                <w:lang w:eastAsia="es-ES"/>
              </w:rPr>
            </w:pPr>
            <w:proofErr w:type="spellStart"/>
            <w:r w:rsidRPr="00230B60">
              <w:rPr>
                <w:rFonts w:ascii="Times New Roman" w:eastAsia="Times New Roman" w:hAnsi="Times New Roman"/>
                <w:color w:val="000000"/>
                <w:lang w:eastAsia="es-ES"/>
              </w:rPr>
              <w:t>Semitandem</w:t>
            </w:r>
            <w:proofErr w:type="spellEnd"/>
          </w:p>
        </w:tc>
        <w:tc>
          <w:tcPr>
            <w:tcW w:w="447" w:type="pct"/>
            <w:tcBorders>
              <w:top w:val="nil"/>
              <w:left w:val="nil"/>
              <w:bottom w:val="nil"/>
              <w:right w:val="nil"/>
            </w:tcBorders>
            <w:shd w:val="clear" w:color="auto" w:fill="auto"/>
            <w:noWrap/>
            <w:vAlign w:val="center"/>
            <w:hideMark/>
          </w:tcPr>
          <w:p w14:paraId="5F5F8306" w14:textId="77777777" w:rsidR="005400BA" w:rsidRPr="00230B60" w:rsidRDefault="005400BA" w:rsidP="00BB0649">
            <w:pPr>
              <w:spacing w:after="0" w:line="240" w:lineRule="auto"/>
              <w:jc w:val="center"/>
              <w:rPr>
                <w:rFonts w:ascii="Times New Roman" w:eastAsia="Times New Roman" w:hAnsi="Times New Roman"/>
                <w:color w:val="000000"/>
                <w:lang w:eastAsia="es-ES"/>
              </w:rPr>
            </w:pPr>
            <w:r w:rsidRPr="00230B60">
              <w:rPr>
                <w:rFonts w:ascii="Times New Roman" w:eastAsia="Times New Roman" w:hAnsi="Times New Roman"/>
                <w:color w:val="000000"/>
                <w:lang w:eastAsia="es-ES"/>
              </w:rPr>
              <w:t xml:space="preserve"> ≤10</w:t>
            </w:r>
          </w:p>
        </w:tc>
      </w:tr>
      <w:tr w:rsidR="00B06306" w:rsidRPr="00230B60" w14:paraId="22659F47" w14:textId="77777777" w:rsidTr="00290FE0">
        <w:trPr>
          <w:trHeight w:val="290"/>
        </w:trPr>
        <w:tc>
          <w:tcPr>
            <w:tcW w:w="296" w:type="pct"/>
            <w:tcBorders>
              <w:top w:val="nil"/>
              <w:left w:val="nil"/>
              <w:bottom w:val="nil"/>
              <w:right w:val="nil"/>
            </w:tcBorders>
            <w:shd w:val="clear" w:color="auto" w:fill="auto"/>
            <w:vAlign w:val="center"/>
            <w:hideMark/>
          </w:tcPr>
          <w:p w14:paraId="1D9A1CF9" w14:textId="77777777" w:rsidR="005400BA" w:rsidRPr="00230B60" w:rsidRDefault="005400BA" w:rsidP="00BB0649">
            <w:pPr>
              <w:spacing w:after="0" w:line="240" w:lineRule="auto"/>
              <w:jc w:val="center"/>
              <w:rPr>
                <w:rFonts w:ascii="Times New Roman" w:eastAsia="Times New Roman" w:hAnsi="Times New Roman"/>
                <w:color w:val="000000"/>
                <w:lang w:eastAsia="es-ES"/>
              </w:rPr>
            </w:pPr>
            <w:r w:rsidRPr="00230B60">
              <w:rPr>
                <w:rFonts w:ascii="Times New Roman" w:eastAsia="Times New Roman" w:hAnsi="Times New Roman"/>
                <w:color w:val="000000"/>
                <w:lang w:eastAsia="es-ES"/>
              </w:rPr>
              <w:t>4</w:t>
            </w:r>
          </w:p>
        </w:tc>
        <w:tc>
          <w:tcPr>
            <w:tcW w:w="544" w:type="pct"/>
            <w:tcBorders>
              <w:top w:val="nil"/>
              <w:left w:val="nil"/>
              <w:bottom w:val="nil"/>
              <w:right w:val="nil"/>
            </w:tcBorders>
            <w:shd w:val="clear" w:color="auto" w:fill="auto"/>
            <w:vAlign w:val="center"/>
            <w:hideMark/>
          </w:tcPr>
          <w:p w14:paraId="3C5633D4" w14:textId="77777777" w:rsidR="005400BA" w:rsidRPr="00230B60" w:rsidRDefault="005400BA" w:rsidP="00BB0649">
            <w:pPr>
              <w:spacing w:after="0" w:line="240" w:lineRule="auto"/>
              <w:jc w:val="center"/>
              <w:rPr>
                <w:rFonts w:ascii="Times New Roman" w:eastAsia="Times New Roman" w:hAnsi="Times New Roman"/>
                <w:color w:val="000000"/>
                <w:lang w:eastAsia="es-ES"/>
              </w:rPr>
            </w:pPr>
            <w:r w:rsidRPr="00230B60">
              <w:rPr>
                <w:rFonts w:ascii="Times New Roman" w:eastAsia="Times New Roman" w:hAnsi="Times New Roman"/>
                <w:color w:val="000000"/>
                <w:lang w:eastAsia="es-ES"/>
              </w:rPr>
              <w:t>33-34.99</w:t>
            </w:r>
          </w:p>
        </w:tc>
        <w:tc>
          <w:tcPr>
            <w:tcW w:w="455" w:type="pct"/>
            <w:tcBorders>
              <w:top w:val="nil"/>
              <w:left w:val="nil"/>
              <w:bottom w:val="nil"/>
              <w:right w:val="nil"/>
            </w:tcBorders>
            <w:shd w:val="clear" w:color="auto" w:fill="auto"/>
            <w:vAlign w:val="center"/>
            <w:hideMark/>
          </w:tcPr>
          <w:p w14:paraId="520F2EC5" w14:textId="77777777" w:rsidR="005400BA" w:rsidRPr="00230B60" w:rsidRDefault="005400BA" w:rsidP="00BB0649">
            <w:pPr>
              <w:spacing w:after="0" w:line="240" w:lineRule="auto"/>
              <w:jc w:val="center"/>
              <w:rPr>
                <w:rFonts w:ascii="Times New Roman" w:eastAsia="Times New Roman" w:hAnsi="Times New Roman"/>
                <w:color w:val="000000"/>
                <w:lang w:eastAsia="es-ES"/>
              </w:rPr>
            </w:pPr>
            <w:r w:rsidRPr="00230B60">
              <w:rPr>
                <w:rFonts w:ascii="Times New Roman" w:eastAsia="Times New Roman" w:hAnsi="Times New Roman"/>
                <w:color w:val="000000"/>
                <w:lang w:eastAsia="es-ES"/>
              </w:rPr>
              <w:t>15.01-17</w:t>
            </w:r>
          </w:p>
        </w:tc>
        <w:tc>
          <w:tcPr>
            <w:tcW w:w="593" w:type="pct"/>
            <w:tcBorders>
              <w:top w:val="nil"/>
              <w:left w:val="nil"/>
              <w:bottom w:val="nil"/>
              <w:right w:val="nil"/>
            </w:tcBorders>
            <w:shd w:val="clear" w:color="auto" w:fill="auto"/>
            <w:vAlign w:val="center"/>
            <w:hideMark/>
          </w:tcPr>
          <w:p w14:paraId="2B8224D8" w14:textId="77777777" w:rsidR="005400BA" w:rsidRPr="00230B60" w:rsidRDefault="005400BA" w:rsidP="00BB0649">
            <w:pPr>
              <w:spacing w:after="0" w:line="240" w:lineRule="auto"/>
              <w:jc w:val="center"/>
              <w:rPr>
                <w:rFonts w:ascii="Times New Roman" w:eastAsia="Times New Roman" w:hAnsi="Times New Roman"/>
                <w:color w:val="000000"/>
                <w:lang w:eastAsia="es-ES"/>
              </w:rPr>
            </w:pPr>
            <w:r w:rsidRPr="00230B60">
              <w:rPr>
                <w:rFonts w:ascii="Times New Roman" w:eastAsia="Times New Roman" w:hAnsi="Times New Roman"/>
                <w:color w:val="000000"/>
                <w:lang w:eastAsia="es-ES"/>
              </w:rPr>
              <w:t>116.41-135.8</w:t>
            </w:r>
          </w:p>
        </w:tc>
        <w:tc>
          <w:tcPr>
            <w:tcW w:w="557" w:type="pct"/>
            <w:tcBorders>
              <w:top w:val="nil"/>
              <w:left w:val="nil"/>
              <w:bottom w:val="nil"/>
              <w:right w:val="nil"/>
            </w:tcBorders>
            <w:shd w:val="clear" w:color="auto" w:fill="auto"/>
            <w:vAlign w:val="center"/>
            <w:hideMark/>
          </w:tcPr>
          <w:p w14:paraId="3ACC2DD0" w14:textId="77777777" w:rsidR="005400BA" w:rsidRPr="00230B60" w:rsidRDefault="005400BA" w:rsidP="00BB0649">
            <w:pPr>
              <w:spacing w:after="0" w:line="240" w:lineRule="auto"/>
              <w:jc w:val="center"/>
              <w:rPr>
                <w:rFonts w:ascii="Times New Roman" w:eastAsia="Times New Roman" w:hAnsi="Times New Roman"/>
                <w:color w:val="000000"/>
                <w:lang w:eastAsia="es-ES"/>
              </w:rPr>
            </w:pPr>
            <w:r w:rsidRPr="00230B60">
              <w:rPr>
                <w:rFonts w:ascii="Times New Roman" w:eastAsia="Times New Roman" w:hAnsi="Times New Roman"/>
                <w:color w:val="000000"/>
                <w:lang w:eastAsia="es-ES"/>
              </w:rPr>
              <w:t>4.10-4.64</w:t>
            </w:r>
          </w:p>
        </w:tc>
        <w:tc>
          <w:tcPr>
            <w:tcW w:w="496" w:type="pct"/>
            <w:tcBorders>
              <w:top w:val="nil"/>
              <w:left w:val="nil"/>
              <w:bottom w:val="nil"/>
              <w:right w:val="nil"/>
            </w:tcBorders>
            <w:shd w:val="clear" w:color="auto" w:fill="auto"/>
            <w:vAlign w:val="center"/>
            <w:hideMark/>
          </w:tcPr>
          <w:p w14:paraId="46065902" w14:textId="77777777" w:rsidR="005400BA" w:rsidRPr="00230B60" w:rsidRDefault="005400BA" w:rsidP="00BB0649">
            <w:pPr>
              <w:spacing w:after="0" w:line="240" w:lineRule="auto"/>
              <w:jc w:val="center"/>
              <w:rPr>
                <w:rFonts w:ascii="Times New Roman" w:eastAsia="Times New Roman" w:hAnsi="Times New Roman"/>
                <w:color w:val="000000"/>
                <w:lang w:eastAsia="es-ES"/>
              </w:rPr>
            </w:pPr>
            <w:r w:rsidRPr="00230B60">
              <w:rPr>
                <w:rFonts w:ascii="Times New Roman" w:eastAsia="Times New Roman" w:hAnsi="Times New Roman"/>
                <w:color w:val="000000"/>
                <w:lang w:eastAsia="es-ES"/>
              </w:rPr>
              <w:t>13.21-15.4</w:t>
            </w:r>
          </w:p>
        </w:tc>
        <w:tc>
          <w:tcPr>
            <w:tcW w:w="496" w:type="pct"/>
            <w:tcBorders>
              <w:top w:val="nil"/>
              <w:left w:val="nil"/>
              <w:bottom w:val="nil"/>
              <w:right w:val="nil"/>
            </w:tcBorders>
            <w:shd w:val="clear" w:color="auto" w:fill="auto"/>
            <w:vAlign w:val="center"/>
            <w:hideMark/>
          </w:tcPr>
          <w:p w14:paraId="7C917066" w14:textId="77777777" w:rsidR="005400BA" w:rsidRPr="00230B60" w:rsidRDefault="005400BA" w:rsidP="00BB0649">
            <w:pPr>
              <w:spacing w:after="0" w:line="240" w:lineRule="auto"/>
              <w:jc w:val="center"/>
              <w:rPr>
                <w:rFonts w:ascii="Times New Roman" w:eastAsia="Times New Roman" w:hAnsi="Times New Roman"/>
                <w:color w:val="000000"/>
                <w:lang w:eastAsia="es-ES"/>
              </w:rPr>
            </w:pPr>
            <w:r w:rsidRPr="00230B60">
              <w:rPr>
                <w:rFonts w:ascii="Times New Roman" w:eastAsia="Times New Roman" w:hAnsi="Times New Roman"/>
                <w:color w:val="000000"/>
                <w:lang w:eastAsia="es-ES"/>
              </w:rPr>
              <w:t>17.41-20.3</w:t>
            </w:r>
          </w:p>
        </w:tc>
        <w:tc>
          <w:tcPr>
            <w:tcW w:w="79" w:type="pct"/>
            <w:tcBorders>
              <w:top w:val="nil"/>
              <w:left w:val="nil"/>
              <w:bottom w:val="nil"/>
              <w:right w:val="nil"/>
            </w:tcBorders>
          </w:tcPr>
          <w:p w14:paraId="7291EE9D" w14:textId="77777777" w:rsidR="005400BA" w:rsidRPr="00230B60" w:rsidRDefault="005400BA" w:rsidP="00BB0649">
            <w:pPr>
              <w:spacing w:after="0" w:line="240" w:lineRule="auto"/>
              <w:jc w:val="center"/>
              <w:rPr>
                <w:rFonts w:ascii="Times New Roman" w:eastAsia="Times New Roman" w:hAnsi="Times New Roman"/>
                <w:color w:val="000000"/>
                <w:lang w:eastAsia="es-ES"/>
              </w:rPr>
            </w:pPr>
          </w:p>
        </w:tc>
        <w:tc>
          <w:tcPr>
            <w:tcW w:w="296" w:type="pct"/>
            <w:tcBorders>
              <w:top w:val="nil"/>
              <w:left w:val="nil"/>
              <w:bottom w:val="nil"/>
              <w:right w:val="nil"/>
            </w:tcBorders>
            <w:shd w:val="clear" w:color="auto" w:fill="auto"/>
            <w:vAlign w:val="center"/>
            <w:hideMark/>
          </w:tcPr>
          <w:p w14:paraId="637BFD16" w14:textId="77777777" w:rsidR="005400BA" w:rsidRPr="00230B60" w:rsidRDefault="005400BA" w:rsidP="00BB0649">
            <w:pPr>
              <w:spacing w:after="0" w:line="240" w:lineRule="auto"/>
              <w:jc w:val="center"/>
              <w:rPr>
                <w:rFonts w:ascii="Times New Roman" w:eastAsia="Times New Roman" w:hAnsi="Times New Roman"/>
                <w:color w:val="000000"/>
                <w:lang w:eastAsia="es-ES"/>
              </w:rPr>
            </w:pPr>
            <w:r w:rsidRPr="00230B60">
              <w:rPr>
                <w:rFonts w:ascii="Times New Roman" w:eastAsia="Times New Roman" w:hAnsi="Times New Roman"/>
                <w:color w:val="000000"/>
                <w:lang w:eastAsia="es-ES"/>
              </w:rPr>
              <w:t>7.5</w:t>
            </w:r>
          </w:p>
        </w:tc>
        <w:tc>
          <w:tcPr>
            <w:tcW w:w="741" w:type="pct"/>
            <w:tcBorders>
              <w:top w:val="nil"/>
              <w:left w:val="nil"/>
              <w:bottom w:val="nil"/>
              <w:right w:val="nil"/>
            </w:tcBorders>
            <w:shd w:val="clear" w:color="auto" w:fill="auto"/>
            <w:vAlign w:val="center"/>
            <w:hideMark/>
          </w:tcPr>
          <w:p w14:paraId="26A91F2B" w14:textId="77777777" w:rsidR="005400BA" w:rsidRPr="00230B60" w:rsidRDefault="005400BA" w:rsidP="00BB0649">
            <w:pPr>
              <w:spacing w:after="0" w:line="240" w:lineRule="auto"/>
              <w:jc w:val="center"/>
              <w:rPr>
                <w:rFonts w:ascii="Times New Roman" w:eastAsia="Times New Roman" w:hAnsi="Times New Roman"/>
                <w:color w:val="000000"/>
                <w:lang w:eastAsia="es-ES"/>
              </w:rPr>
            </w:pPr>
            <w:proofErr w:type="spellStart"/>
            <w:r w:rsidRPr="00230B60">
              <w:rPr>
                <w:rFonts w:ascii="Times New Roman" w:eastAsia="Times New Roman" w:hAnsi="Times New Roman"/>
                <w:color w:val="000000"/>
                <w:lang w:eastAsia="es-ES"/>
              </w:rPr>
              <w:t>Semitandem</w:t>
            </w:r>
            <w:proofErr w:type="spellEnd"/>
            <w:r w:rsidRPr="00230B60">
              <w:rPr>
                <w:rFonts w:ascii="Times New Roman" w:eastAsia="Times New Roman" w:hAnsi="Times New Roman"/>
                <w:color w:val="000000"/>
                <w:lang w:eastAsia="es-ES"/>
              </w:rPr>
              <w:t xml:space="preserve"> </w:t>
            </w:r>
          </w:p>
        </w:tc>
        <w:tc>
          <w:tcPr>
            <w:tcW w:w="447" w:type="pct"/>
            <w:tcBorders>
              <w:top w:val="nil"/>
              <w:left w:val="nil"/>
              <w:bottom w:val="nil"/>
              <w:right w:val="nil"/>
            </w:tcBorders>
            <w:shd w:val="clear" w:color="auto" w:fill="auto"/>
            <w:noWrap/>
            <w:vAlign w:val="center"/>
            <w:hideMark/>
          </w:tcPr>
          <w:p w14:paraId="411D76DC" w14:textId="77777777" w:rsidR="005400BA" w:rsidRPr="00230B60" w:rsidRDefault="005400BA" w:rsidP="00BB0649">
            <w:pPr>
              <w:spacing w:after="0" w:line="240" w:lineRule="auto"/>
              <w:jc w:val="center"/>
              <w:rPr>
                <w:rFonts w:ascii="Times New Roman" w:eastAsia="Times New Roman" w:hAnsi="Times New Roman"/>
                <w:color w:val="000000"/>
                <w:lang w:eastAsia="es-ES"/>
              </w:rPr>
            </w:pPr>
            <w:r w:rsidRPr="00230B60">
              <w:rPr>
                <w:rFonts w:ascii="Times New Roman" w:eastAsia="Times New Roman" w:hAnsi="Times New Roman"/>
                <w:color w:val="000000"/>
                <w:lang w:eastAsia="es-ES"/>
              </w:rPr>
              <w:t>&lt;10</w:t>
            </w:r>
          </w:p>
        </w:tc>
      </w:tr>
      <w:tr w:rsidR="00B06306" w:rsidRPr="00230B60" w14:paraId="696E8B87" w14:textId="77777777" w:rsidTr="00290FE0">
        <w:trPr>
          <w:trHeight w:val="290"/>
        </w:trPr>
        <w:tc>
          <w:tcPr>
            <w:tcW w:w="296" w:type="pct"/>
            <w:tcBorders>
              <w:top w:val="nil"/>
              <w:left w:val="nil"/>
              <w:bottom w:val="nil"/>
              <w:right w:val="nil"/>
            </w:tcBorders>
            <w:shd w:val="clear" w:color="auto" w:fill="auto"/>
            <w:vAlign w:val="center"/>
            <w:hideMark/>
          </w:tcPr>
          <w:p w14:paraId="2F9C39F7" w14:textId="77777777" w:rsidR="005400BA" w:rsidRPr="00230B60" w:rsidRDefault="005400BA" w:rsidP="00BB0649">
            <w:pPr>
              <w:spacing w:after="0" w:line="240" w:lineRule="auto"/>
              <w:jc w:val="center"/>
              <w:rPr>
                <w:rFonts w:ascii="Times New Roman" w:eastAsia="Times New Roman" w:hAnsi="Times New Roman"/>
                <w:color w:val="000000"/>
                <w:lang w:eastAsia="es-ES"/>
              </w:rPr>
            </w:pPr>
            <w:r w:rsidRPr="00230B60">
              <w:rPr>
                <w:rFonts w:ascii="Times New Roman" w:eastAsia="Times New Roman" w:hAnsi="Times New Roman"/>
                <w:color w:val="000000"/>
                <w:lang w:eastAsia="es-ES"/>
              </w:rPr>
              <w:t>5</w:t>
            </w:r>
          </w:p>
        </w:tc>
        <w:tc>
          <w:tcPr>
            <w:tcW w:w="544" w:type="pct"/>
            <w:tcBorders>
              <w:top w:val="nil"/>
              <w:left w:val="nil"/>
              <w:bottom w:val="nil"/>
              <w:right w:val="nil"/>
            </w:tcBorders>
            <w:shd w:val="clear" w:color="auto" w:fill="auto"/>
            <w:vAlign w:val="center"/>
            <w:hideMark/>
          </w:tcPr>
          <w:p w14:paraId="17688409" w14:textId="77777777" w:rsidR="005400BA" w:rsidRPr="00230B60" w:rsidRDefault="005400BA" w:rsidP="00BB0649">
            <w:pPr>
              <w:spacing w:after="0" w:line="240" w:lineRule="auto"/>
              <w:jc w:val="center"/>
              <w:rPr>
                <w:rFonts w:ascii="Times New Roman" w:eastAsia="Times New Roman" w:hAnsi="Times New Roman"/>
                <w:color w:val="000000"/>
                <w:lang w:eastAsia="es-ES"/>
              </w:rPr>
            </w:pPr>
            <w:r w:rsidRPr="00230B60">
              <w:rPr>
                <w:rFonts w:ascii="Times New Roman" w:eastAsia="Times New Roman" w:hAnsi="Times New Roman"/>
                <w:color w:val="000000"/>
                <w:lang w:eastAsia="es-ES"/>
              </w:rPr>
              <w:t>35-36.99</w:t>
            </w:r>
          </w:p>
        </w:tc>
        <w:tc>
          <w:tcPr>
            <w:tcW w:w="455" w:type="pct"/>
            <w:tcBorders>
              <w:top w:val="nil"/>
              <w:left w:val="nil"/>
              <w:bottom w:val="nil"/>
              <w:right w:val="nil"/>
            </w:tcBorders>
            <w:shd w:val="clear" w:color="auto" w:fill="auto"/>
            <w:vAlign w:val="center"/>
            <w:hideMark/>
          </w:tcPr>
          <w:p w14:paraId="1F9E15CD" w14:textId="77777777" w:rsidR="005400BA" w:rsidRPr="00230B60" w:rsidRDefault="005400BA" w:rsidP="00BB0649">
            <w:pPr>
              <w:spacing w:after="0" w:line="240" w:lineRule="auto"/>
              <w:jc w:val="center"/>
              <w:rPr>
                <w:rFonts w:ascii="Times New Roman" w:eastAsia="Times New Roman" w:hAnsi="Times New Roman"/>
                <w:color w:val="000000"/>
                <w:lang w:eastAsia="es-ES"/>
              </w:rPr>
            </w:pPr>
            <w:r w:rsidRPr="00230B60">
              <w:rPr>
                <w:rFonts w:ascii="Times New Roman" w:eastAsia="Times New Roman" w:hAnsi="Times New Roman"/>
                <w:color w:val="000000"/>
                <w:lang w:eastAsia="es-ES"/>
              </w:rPr>
              <w:t>13.01-15</w:t>
            </w:r>
            <w:r w:rsidRPr="00230B60">
              <w:rPr>
                <w:rFonts w:ascii="Times New Roman" w:eastAsia="Times New Roman" w:hAnsi="Times New Roman"/>
                <w:color w:val="000000"/>
                <w:vertAlign w:val="superscript"/>
                <w:lang w:eastAsia="es-ES"/>
              </w:rPr>
              <w:t>b</w:t>
            </w:r>
          </w:p>
        </w:tc>
        <w:tc>
          <w:tcPr>
            <w:tcW w:w="593" w:type="pct"/>
            <w:tcBorders>
              <w:top w:val="nil"/>
              <w:left w:val="nil"/>
              <w:bottom w:val="nil"/>
              <w:right w:val="nil"/>
            </w:tcBorders>
            <w:shd w:val="clear" w:color="auto" w:fill="auto"/>
            <w:vAlign w:val="center"/>
            <w:hideMark/>
          </w:tcPr>
          <w:p w14:paraId="0EB72CB9" w14:textId="77777777" w:rsidR="005400BA" w:rsidRPr="00230B60" w:rsidRDefault="005400BA" w:rsidP="00BB0649">
            <w:pPr>
              <w:spacing w:after="0" w:line="240" w:lineRule="auto"/>
              <w:jc w:val="center"/>
              <w:rPr>
                <w:rFonts w:ascii="Times New Roman" w:eastAsia="Times New Roman" w:hAnsi="Times New Roman"/>
                <w:color w:val="000000"/>
                <w:lang w:eastAsia="es-ES"/>
              </w:rPr>
            </w:pPr>
            <w:r w:rsidRPr="00230B60">
              <w:rPr>
                <w:rFonts w:ascii="Times New Roman" w:eastAsia="Times New Roman" w:hAnsi="Times New Roman"/>
                <w:color w:val="000000"/>
                <w:lang w:eastAsia="es-ES"/>
              </w:rPr>
              <w:t>97.01-116.4</w:t>
            </w:r>
          </w:p>
        </w:tc>
        <w:tc>
          <w:tcPr>
            <w:tcW w:w="557" w:type="pct"/>
            <w:tcBorders>
              <w:top w:val="nil"/>
              <w:left w:val="nil"/>
              <w:bottom w:val="nil"/>
              <w:right w:val="nil"/>
            </w:tcBorders>
            <w:shd w:val="clear" w:color="auto" w:fill="auto"/>
            <w:vAlign w:val="center"/>
            <w:hideMark/>
          </w:tcPr>
          <w:p w14:paraId="243B611E" w14:textId="77777777" w:rsidR="005400BA" w:rsidRPr="00230B60" w:rsidRDefault="005400BA" w:rsidP="00BB0649">
            <w:pPr>
              <w:spacing w:after="0" w:line="240" w:lineRule="auto"/>
              <w:jc w:val="center"/>
              <w:rPr>
                <w:rFonts w:ascii="Times New Roman" w:eastAsia="Times New Roman" w:hAnsi="Times New Roman"/>
                <w:color w:val="000000"/>
                <w:lang w:eastAsia="es-ES"/>
              </w:rPr>
            </w:pPr>
            <w:r w:rsidRPr="00230B60">
              <w:rPr>
                <w:rFonts w:ascii="Times New Roman" w:eastAsia="Times New Roman" w:hAnsi="Times New Roman"/>
                <w:color w:val="000000"/>
                <w:lang w:eastAsia="es-ES"/>
              </w:rPr>
              <w:t>4.65-5.19</w:t>
            </w:r>
          </w:p>
        </w:tc>
        <w:tc>
          <w:tcPr>
            <w:tcW w:w="496" w:type="pct"/>
            <w:tcBorders>
              <w:top w:val="nil"/>
              <w:left w:val="nil"/>
              <w:bottom w:val="nil"/>
              <w:right w:val="nil"/>
            </w:tcBorders>
            <w:shd w:val="clear" w:color="auto" w:fill="auto"/>
            <w:vAlign w:val="center"/>
            <w:hideMark/>
          </w:tcPr>
          <w:p w14:paraId="15098050" w14:textId="77777777" w:rsidR="005400BA" w:rsidRPr="00230B60" w:rsidRDefault="005400BA" w:rsidP="00BB0649">
            <w:pPr>
              <w:spacing w:after="0" w:line="240" w:lineRule="auto"/>
              <w:jc w:val="center"/>
              <w:rPr>
                <w:rFonts w:ascii="Times New Roman" w:eastAsia="Times New Roman" w:hAnsi="Times New Roman"/>
                <w:color w:val="000000"/>
                <w:lang w:eastAsia="es-ES"/>
              </w:rPr>
            </w:pPr>
            <w:r w:rsidRPr="00230B60">
              <w:rPr>
                <w:rFonts w:ascii="Times New Roman" w:eastAsia="Times New Roman" w:hAnsi="Times New Roman"/>
                <w:color w:val="000000"/>
                <w:lang w:eastAsia="es-ES"/>
              </w:rPr>
              <w:t>11.01-13.2</w:t>
            </w:r>
          </w:p>
        </w:tc>
        <w:tc>
          <w:tcPr>
            <w:tcW w:w="496" w:type="pct"/>
            <w:tcBorders>
              <w:top w:val="nil"/>
              <w:left w:val="nil"/>
              <w:bottom w:val="nil"/>
              <w:right w:val="nil"/>
            </w:tcBorders>
            <w:shd w:val="clear" w:color="auto" w:fill="auto"/>
            <w:vAlign w:val="center"/>
            <w:hideMark/>
          </w:tcPr>
          <w:p w14:paraId="288C2A52" w14:textId="77777777" w:rsidR="005400BA" w:rsidRPr="00230B60" w:rsidRDefault="005400BA" w:rsidP="00BB0649">
            <w:pPr>
              <w:spacing w:after="0" w:line="240" w:lineRule="auto"/>
              <w:jc w:val="center"/>
              <w:rPr>
                <w:rFonts w:ascii="Times New Roman" w:eastAsia="Times New Roman" w:hAnsi="Times New Roman"/>
                <w:color w:val="000000"/>
                <w:lang w:eastAsia="es-ES"/>
              </w:rPr>
            </w:pPr>
            <w:r w:rsidRPr="00230B60">
              <w:rPr>
                <w:rFonts w:ascii="Times New Roman" w:eastAsia="Times New Roman" w:hAnsi="Times New Roman"/>
                <w:color w:val="000000"/>
                <w:lang w:eastAsia="es-ES"/>
              </w:rPr>
              <w:t>14.51-17.4</w:t>
            </w:r>
          </w:p>
        </w:tc>
        <w:tc>
          <w:tcPr>
            <w:tcW w:w="79" w:type="pct"/>
            <w:tcBorders>
              <w:top w:val="nil"/>
              <w:left w:val="nil"/>
              <w:bottom w:val="nil"/>
              <w:right w:val="nil"/>
            </w:tcBorders>
          </w:tcPr>
          <w:p w14:paraId="24405A8A" w14:textId="77777777" w:rsidR="005400BA" w:rsidRPr="00230B60" w:rsidRDefault="005400BA" w:rsidP="00BB0649">
            <w:pPr>
              <w:spacing w:after="0" w:line="240" w:lineRule="auto"/>
              <w:jc w:val="center"/>
              <w:rPr>
                <w:rFonts w:ascii="Times New Roman" w:eastAsia="Times New Roman" w:hAnsi="Times New Roman"/>
                <w:color w:val="000000"/>
                <w:lang w:eastAsia="es-ES"/>
              </w:rPr>
            </w:pPr>
          </w:p>
        </w:tc>
        <w:tc>
          <w:tcPr>
            <w:tcW w:w="296" w:type="pct"/>
            <w:tcBorders>
              <w:top w:val="nil"/>
              <w:left w:val="nil"/>
              <w:bottom w:val="nil"/>
              <w:right w:val="nil"/>
            </w:tcBorders>
            <w:shd w:val="clear" w:color="auto" w:fill="auto"/>
            <w:vAlign w:val="center"/>
            <w:hideMark/>
          </w:tcPr>
          <w:p w14:paraId="53DE364D" w14:textId="77777777" w:rsidR="005400BA" w:rsidRPr="00230B60" w:rsidRDefault="005400BA" w:rsidP="00BB0649">
            <w:pPr>
              <w:spacing w:after="0" w:line="240" w:lineRule="auto"/>
              <w:jc w:val="center"/>
              <w:rPr>
                <w:rFonts w:ascii="Times New Roman" w:eastAsia="Times New Roman" w:hAnsi="Times New Roman"/>
                <w:color w:val="000000"/>
                <w:lang w:eastAsia="es-ES"/>
              </w:rPr>
            </w:pPr>
          </w:p>
        </w:tc>
        <w:tc>
          <w:tcPr>
            <w:tcW w:w="741" w:type="pct"/>
            <w:tcBorders>
              <w:top w:val="nil"/>
              <w:left w:val="nil"/>
              <w:bottom w:val="nil"/>
              <w:right w:val="nil"/>
            </w:tcBorders>
            <w:shd w:val="clear" w:color="auto" w:fill="auto"/>
            <w:vAlign w:val="center"/>
            <w:hideMark/>
          </w:tcPr>
          <w:p w14:paraId="0ED5FD78" w14:textId="77777777" w:rsidR="005400BA" w:rsidRPr="00230B60" w:rsidRDefault="005400BA" w:rsidP="00BB0649">
            <w:pPr>
              <w:spacing w:after="0" w:line="240" w:lineRule="auto"/>
              <w:jc w:val="center"/>
              <w:rPr>
                <w:rFonts w:ascii="Times New Roman" w:eastAsia="Times New Roman" w:hAnsi="Times New Roman"/>
                <w:color w:val="000000"/>
                <w:lang w:eastAsia="es-ES"/>
              </w:rPr>
            </w:pPr>
            <w:proofErr w:type="spellStart"/>
            <w:r w:rsidRPr="00230B60">
              <w:rPr>
                <w:rFonts w:ascii="Times New Roman" w:eastAsia="Times New Roman" w:hAnsi="Times New Roman"/>
                <w:color w:val="000000"/>
                <w:lang w:eastAsia="es-ES"/>
              </w:rPr>
              <w:t>Side</w:t>
            </w:r>
            <w:proofErr w:type="spellEnd"/>
            <w:r w:rsidRPr="00230B60">
              <w:rPr>
                <w:rFonts w:ascii="Times New Roman" w:eastAsia="Times New Roman" w:hAnsi="Times New Roman"/>
                <w:color w:val="000000"/>
                <w:lang w:eastAsia="es-ES"/>
              </w:rPr>
              <w:t xml:space="preserve"> </w:t>
            </w:r>
            <w:proofErr w:type="spellStart"/>
            <w:r w:rsidRPr="00230B60">
              <w:rPr>
                <w:rFonts w:ascii="Times New Roman" w:eastAsia="Times New Roman" w:hAnsi="Times New Roman"/>
                <w:color w:val="000000"/>
                <w:lang w:eastAsia="es-ES"/>
              </w:rPr>
              <w:t>by</w:t>
            </w:r>
            <w:proofErr w:type="spellEnd"/>
            <w:r w:rsidRPr="00230B60">
              <w:rPr>
                <w:rFonts w:ascii="Times New Roman" w:eastAsia="Times New Roman" w:hAnsi="Times New Roman"/>
                <w:color w:val="000000"/>
                <w:lang w:eastAsia="es-ES"/>
              </w:rPr>
              <w:t xml:space="preserve"> </w:t>
            </w:r>
            <w:proofErr w:type="spellStart"/>
            <w:r w:rsidRPr="00230B60">
              <w:rPr>
                <w:rFonts w:ascii="Times New Roman" w:eastAsia="Times New Roman" w:hAnsi="Times New Roman"/>
                <w:color w:val="000000"/>
                <w:lang w:eastAsia="es-ES"/>
              </w:rPr>
              <w:t>side</w:t>
            </w:r>
            <w:proofErr w:type="spellEnd"/>
            <w:r w:rsidRPr="00230B60">
              <w:rPr>
                <w:rFonts w:ascii="Times New Roman" w:eastAsia="Times New Roman" w:hAnsi="Times New Roman"/>
                <w:color w:val="000000"/>
                <w:lang w:eastAsia="es-ES"/>
              </w:rPr>
              <w:t xml:space="preserve"> </w:t>
            </w:r>
          </w:p>
        </w:tc>
        <w:tc>
          <w:tcPr>
            <w:tcW w:w="447" w:type="pct"/>
            <w:tcBorders>
              <w:top w:val="nil"/>
              <w:left w:val="nil"/>
              <w:bottom w:val="nil"/>
              <w:right w:val="nil"/>
            </w:tcBorders>
            <w:shd w:val="clear" w:color="auto" w:fill="auto"/>
            <w:noWrap/>
            <w:vAlign w:val="center"/>
            <w:hideMark/>
          </w:tcPr>
          <w:p w14:paraId="4269A1BC" w14:textId="77777777" w:rsidR="005400BA" w:rsidRPr="00230B60" w:rsidRDefault="005400BA" w:rsidP="00BB0649">
            <w:pPr>
              <w:spacing w:after="0" w:line="240" w:lineRule="auto"/>
              <w:jc w:val="center"/>
              <w:rPr>
                <w:rFonts w:ascii="Times New Roman" w:eastAsia="Times New Roman" w:hAnsi="Times New Roman"/>
                <w:color w:val="000000"/>
                <w:lang w:eastAsia="es-ES"/>
              </w:rPr>
            </w:pPr>
            <w:r w:rsidRPr="00230B60">
              <w:rPr>
                <w:rFonts w:ascii="Times New Roman" w:eastAsia="Times New Roman" w:hAnsi="Times New Roman"/>
                <w:color w:val="000000"/>
                <w:lang w:eastAsia="es-ES"/>
              </w:rPr>
              <w:t>≤10</w:t>
            </w:r>
          </w:p>
        </w:tc>
      </w:tr>
      <w:tr w:rsidR="00B06306" w:rsidRPr="00230B60" w14:paraId="7DF0B50D" w14:textId="77777777" w:rsidTr="00290FE0">
        <w:trPr>
          <w:trHeight w:val="290"/>
        </w:trPr>
        <w:tc>
          <w:tcPr>
            <w:tcW w:w="296" w:type="pct"/>
            <w:tcBorders>
              <w:top w:val="nil"/>
              <w:left w:val="nil"/>
              <w:bottom w:val="nil"/>
              <w:right w:val="nil"/>
            </w:tcBorders>
            <w:shd w:val="clear" w:color="auto" w:fill="auto"/>
            <w:vAlign w:val="center"/>
            <w:hideMark/>
          </w:tcPr>
          <w:p w14:paraId="50EB98E7" w14:textId="77777777" w:rsidR="005400BA" w:rsidRPr="00230B60" w:rsidRDefault="005400BA" w:rsidP="00BB0649">
            <w:pPr>
              <w:spacing w:after="0" w:line="240" w:lineRule="auto"/>
              <w:jc w:val="center"/>
              <w:rPr>
                <w:rFonts w:ascii="Times New Roman" w:eastAsia="Times New Roman" w:hAnsi="Times New Roman"/>
                <w:color w:val="000000"/>
                <w:lang w:eastAsia="es-ES"/>
              </w:rPr>
            </w:pPr>
            <w:r w:rsidRPr="00230B60">
              <w:rPr>
                <w:rFonts w:ascii="Times New Roman" w:eastAsia="Times New Roman" w:hAnsi="Times New Roman"/>
                <w:color w:val="000000"/>
                <w:lang w:eastAsia="es-ES"/>
              </w:rPr>
              <w:t>6</w:t>
            </w:r>
          </w:p>
        </w:tc>
        <w:tc>
          <w:tcPr>
            <w:tcW w:w="544" w:type="pct"/>
            <w:tcBorders>
              <w:top w:val="nil"/>
              <w:left w:val="nil"/>
              <w:bottom w:val="nil"/>
              <w:right w:val="nil"/>
            </w:tcBorders>
            <w:shd w:val="clear" w:color="auto" w:fill="auto"/>
            <w:vAlign w:val="center"/>
            <w:hideMark/>
          </w:tcPr>
          <w:p w14:paraId="7955AE1B" w14:textId="77777777" w:rsidR="005400BA" w:rsidRPr="00230B60" w:rsidRDefault="005400BA" w:rsidP="00BB0649">
            <w:pPr>
              <w:spacing w:after="0" w:line="240" w:lineRule="auto"/>
              <w:jc w:val="center"/>
              <w:rPr>
                <w:rFonts w:ascii="Times New Roman" w:eastAsia="Times New Roman" w:hAnsi="Times New Roman"/>
                <w:color w:val="000000"/>
                <w:lang w:eastAsia="es-ES"/>
              </w:rPr>
            </w:pPr>
            <w:r w:rsidRPr="00230B60">
              <w:rPr>
                <w:rFonts w:ascii="Times New Roman" w:eastAsia="Times New Roman" w:hAnsi="Times New Roman"/>
                <w:color w:val="000000"/>
                <w:lang w:eastAsia="es-ES"/>
              </w:rPr>
              <w:t>37-38.99</w:t>
            </w:r>
          </w:p>
        </w:tc>
        <w:tc>
          <w:tcPr>
            <w:tcW w:w="455" w:type="pct"/>
            <w:tcBorders>
              <w:top w:val="nil"/>
              <w:left w:val="nil"/>
              <w:bottom w:val="nil"/>
              <w:right w:val="nil"/>
            </w:tcBorders>
            <w:shd w:val="clear" w:color="auto" w:fill="auto"/>
            <w:vAlign w:val="center"/>
            <w:hideMark/>
          </w:tcPr>
          <w:p w14:paraId="670539FE" w14:textId="77777777" w:rsidR="005400BA" w:rsidRPr="00230B60" w:rsidRDefault="005400BA" w:rsidP="00BB0649">
            <w:pPr>
              <w:spacing w:after="0" w:line="240" w:lineRule="auto"/>
              <w:jc w:val="center"/>
              <w:rPr>
                <w:rFonts w:ascii="Times New Roman" w:eastAsia="Times New Roman" w:hAnsi="Times New Roman"/>
                <w:color w:val="000000"/>
                <w:lang w:eastAsia="es-ES"/>
              </w:rPr>
            </w:pPr>
            <w:r w:rsidRPr="00230B60">
              <w:rPr>
                <w:rFonts w:ascii="Times New Roman" w:eastAsia="Times New Roman" w:hAnsi="Times New Roman"/>
                <w:color w:val="000000"/>
                <w:lang w:eastAsia="es-ES"/>
              </w:rPr>
              <w:t>11.01-13</w:t>
            </w:r>
            <w:r w:rsidRPr="00230B60">
              <w:rPr>
                <w:rFonts w:ascii="Times New Roman" w:eastAsia="Times New Roman" w:hAnsi="Times New Roman"/>
                <w:color w:val="000000"/>
                <w:vertAlign w:val="superscript"/>
                <w:lang w:eastAsia="es-ES"/>
              </w:rPr>
              <w:t>b</w:t>
            </w:r>
          </w:p>
        </w:tc>
        <w:tc>
          <w:tcPr>
            <w:tcW w:w="593" w:type="pct"/>
            <w:tcBorders>
              <w:top w:val="nil"/>
              <w:left w:val="nil"/>
              <w:bottom w:val="nil"/>
              <w:right w:val="nil"/>
            </w:tcBorders>
            <w:shd w:val="clear" w:color="auto" w:fill="auto"/>
            <w:vAlign w:val="center"/>
            <w:hideMark/>
          </w:tcPr>
          <w:p w14:paraId="4E8EAC99" w14:textId="77777777" w:rsidR="005400BA" w:rsidRPr="00230B60" w:rsidRDefault="005400BA" w:rsidP="00BB0649">
            <w:pPr>
              <w:spacing w:after="0" w:line="240" w:lineRule="auto"/>
              <w:jc w:val="center"/>
              <w:rPr>
                <w:rFonts w:ascii="Times New Roman" w:eastAsia="Times New Roman" w:hAnsi="Times New Roman"/>
                <w:color w:val="000000"/>
                <w:lang w:eastAsia="es-ES"/>
              </w:rPr>
            </w:pPr>
            <w:r w:rsidRPr="00230B60">
              <w:rPr>
                <w:rFonts w:ascii="Times New Roman" w:eastAsia="Times New Roman" w:hAnsi="Times New Roman"/>
                <w:color w:val="000000"/>
                <w:lang w:eastAsia="es-ES"/>
              </w:rPr>
              <w:t>77.61-97</w:t>
            </w:r>
          </w:p>
        </w:tc>
        <w:tc>
          <w:tcPr>
            <w:tcW w:w="557" w:type="pct"/>
            <w:tcBorders>
              <w:top w:val="nil"/>
              <w:left w:val="nil"/>
              <w:bottom w:val="nil"/>
              <w:right w:val="nil"/>
            </w:tcBorders>
            <w:shd w:val="clear" w:color="auto" w:fill="auto"/>
            <w:vAlign w:val="center"/>
            <w:hideMark/>
          </w:tcPr>
          <w:p w14:paraId="528055ED" w14:textId="77777777" w:rsidR="005400BA" w:rsidRPr="00230B60" w:rsidRDefault="005400BA" w:rsidP="00BB0649">
            <w:pPr>
              <w:spacing w:after="0" w:line="240" w:lineRule="auto"/>
              <w:jc w:val="center"/>
              <w:rPr>
                <w:rFonts w:ascii="Times New Roman" w:eastAsia="Times New Roman" w:hAnsi="Times New Roman"/>
                <w:color w:val="000000"/>
                <w:lang w:eastAsia="es-ES"/>
              </w:rPr>
            </w:pPr>
            <w:r w:rsidRPr="00230B60">
              <w:rPr>
                <w:rFonts w:ascii="Times New Roman" w:eastAsia="Times New Roman" w:hAnsi="Times New Roman"/>
                <w:color w:val="000000"/>
                <w:lang w:eastAsia="es-ES"/>
              </w:rPr>
              <w:t>5.20-5.74</w:t>
            </w:r>
          </w:p>
        </w:tc>
        <w:tc>
          <w:tcPr>
            <w:tcW w:w="496" w:type="pct"/>
            <w:tcBorders>
              <w:top w:val="nil"/>
              <w:left w:val="nil"/>
              <w:bottom w:val="nil"/>
              <w:right w:val="nil"/>
            </w:tcBorders>
            <w:shd w:val="clear" w:color="auto" w:fill="auto"/>
            <w:vAlign w:val="center"/>
            <w:hideMark/>
          </w:tcPr>
          <w:p w14:paraId="206D57F7" w14:textId="77777777" w:rsidR="005400BA" w:rsidRPr="00230B60" w:rsidRDefault="005400BA" w:rsidP="00BB0649">
            <w:pPr>
              <w:spacing w:after="0" w:line="240" w:lineRule="auto"/>
              <w:jc w:val="center"/>
              <w:rPr>
                <w:rFonts w:ascii="Times New Roman" w:eastAsia="Times New Roman" w:hAnsi="Times New Roman"/>
                <w:color w:val="000000"/>
                <w:lang w:eastAsia="es-ES"/>
              </w:rPr>
            </w:pPr>
            <w:r w:rsidRPr="00230B60">
              <w:rPr>
                <w:rFonts w:ascii="Times New Roman" w:eastAsia="Times New Roman" w:hAnsi="Times New Roman"/>
                <w:color w:val="000000"/>
                <w:lang w:eastAsia="es-ES"/>
              </w:rPr>
              <w:t>8.81-11.0</w:t>
            </w:r>
          </w:p>
        </w:tc>
        <w:tc>
          <w:tcPr>
            <w:tcW w:w="496" w:type="pct"/>
            <w:tcBorders>
              <w:top w:val="nil"/>
              <w:left w:val="nil"/>
              <w:bottom w:val="nil"/>
              <w:right w:val="nil"/>
            </w:tcBorders>
            <w:shd w:val="clear" w:color="auto" w:fill="auto"/>
            <w:vAlign w:val="center"/>
            <w:hideMark/>
          </w:tcPr>
          <w:p w14:paraId="1DD463AB" w14:textId="77777777" w:rsidR="005400BA" w:rsidRPr="00230B60" w:rsidRDefault="005400BA" w:rsidP="00BB0649">
            <w:pPr>
              <w:spacing w:after="0" w:line="240" w:lineRule="auto"/>
              <w:jc w:val="center"/>
              <w:rPr>
                <w:rFonts w:ascii="Times New Roman" w:eastAsia="Times New Roman" w:hAnsi="Times New Roman"/>
                <w:color w:val="000000"/>
                <w:lang w:eastAsia="es-ES"/>
              </w:rPr>
            </w:pPr>
            <w:r w:rsidRPr="00230B60">
              <w:rPr>
                <w:rFonts w:ascii="Times New Roman" w:eastAsia="Times New Roman" w:hAnsi="Times New Roman"/>
                <w:color w:val="000000"/>
                <w:lang w:eastAsia="es-ES"/>
              </w:rPr>
              <w:t>11.61-14.5</w:t>
            </w:r>
          </w:p>
        </w:tc>
        <w:tc>
          <w:tcPr>
            <w:tcW w:w="79" w:type="pct"/>
            <w:tcBorders>
              <w:top w:val="nil"/>
              <w:left w:val="nil"/>
              <w:bottom w:val="nil"/>
              <w:right w:val="nil"/>
            </w:tcBorders>
          </w:tcPr>
          <w:p w14:paraId="78004ECA" w14:textId="77777777" w:rsidR="005400BA" w:rsidRPr="00230B60" w:rsidRDefault="005400BA" w:rsidP="00BB0649">
            <w:pPr>
              <w:spacing w:after="0" w:line="240" w:lineRule="auto"/>
              <w:jc w:val="center"/>
              <w:rPr>
                <w:rFonts w:ascii="Times New Roman" w:eastAsia="Times New Roman" w:hAnsi="Times New Roman"/>
                <w:color w:val="000000"/>
                <w:lang w:eastAsia="es-ES"/>
              </w:rPr>
            </w:pPr>
          </w:p>
        </w:tc>
        <w:tc>
          <w:tcPr>
            <w:tcW w:w="296" w:type="pct"/>
            <w:tcBorders>
              <w:top w:val="nil"/>
              <w:left w:val="nil"/>
              <w:bottom w:val="nil"/>
              <w:right w:val="nil"/>
            </w:tcBorders>
            <w:shd w:val="clear" w:color="auto" w:fill="auto"/>
            <w:vAlign w:val="center"/>
            <w:hideMark/>
          </w:tcPr>
          <w:p w14:paraId="3EDB9A03" w14:textId="77777777" w:rsidR="005400BA" w:rsidRPr="00230B60" w:rsidRDefault="005400BA" w:rsidP="00BB0649">
            <w:pPr>
              <w:spacing w:after="0" w:line="240" w:lineRule="auto"/>
              <w:jc w:val="center"/>
              <w:rPr>
                <w:rFonts w:ascii="Times New Roman" w:eastAsia="Times New Roman" w:hAnsi="Times New Roman"/>
                <w:color w:val="000000"/>
                <w:lang w:eastAsia="es-ES"/>
              </w:rPr>
            </w:pPr>
            <w:r w:rsidRPr="00230B60">
              <w:rPr>
                <w:rFonts w:ascii="Times New Roman" w:eastAsia="Times New Roman" w:hAnsi="Times New Roman"/>
                <w:color w:val="000000"/>
                <w:lang w:eastAsia="es-ES"/>
              </w:rPr>
              <w:t>10</w:t>
            </w:r>
          </w:p>
        </w:tc>
        <w:tc>
          <w:tcPr>
            <w:tcW w:w="741" w:type="pct"/>
            <w:tcBorders>
              <w:top w:val="nil"/>
              <w:left w:val="nil"/>
              <w:bottom w:val="nil"/>
              <w:right w:val="nil"/>
            </w:tcBorders>
            <w:shd w:val="clear" w:color="auto" w:fill="auto"/>
            <w:vAlign w:val="center"/>
            <w:hideMark/>
          </w:tcPr>
          <w:p w14:paraId="09B03E09" w14:textId="77777777" w:rsidR="005400BA" w:rsidRPr="00230B60" w:rsidRDefault="005400BA" w:rsidP="00BB0649">
            <w:pPr>
              <w:spacing w:after="0" w:line="240" w:lineRule="auto"/>
              <w:jc w:val="center"/>
              <w:rPr>
                <w:rFonts w:ascii="Times New Roman" w:eastAsia="Times New Roman" w:hAnsi="Times New Roman"/>
                <w:color w:val="000000"/>
                <w:lang w:eastAsia="es-ES"/>
              </w:rPr>
            </w:pPr>
            <w:proofErr w:type="spellStart"/>
            <w:r w:rsidRPr="00230B60">
              <w:rPr>
                <w:rFonts w:ascii="Times New Roman" w:eastAsia="Times New Roman" w:hAnsi="Times New Roman"/>
                <w:color w:val="000000"/>
                <w:lang w:eastAsia="es-ES"/>
              </w:rPr>
              <w:t>Side</w:t>
            </w:r>
            <w:proofErr w:type="spellEnd"/>
            <w:r w:rsidRPr="00230B60">
              <w:rPr>
                <w:rFonts w:ascii="Times New Roman" w:eastAsia="Times New Roman" w:hAnsi="Times New Roman"/>
                <w:color w:val="000000"/>
                <w:lang w:eastAsia="es-ES"/>
              </w:rPr>
              <w:t xml:space="preserve"> </w:t>
            </w:r>
            <w:proofErr w:type="spellStart"/>
            <w:r w:rsidRPr="00230B60">
              <w:rPr>
                <w:rFonts w:ascii="Times New Roman" w:eastAsia="Times New Roman" w:hAnsi="Times New Roman"/>
                <w:color w:val="000000"/>
                <w:lang w:eastAsia="es-ES"/>
              </w:rPr>
              <w:t>by</w:t>
            </w:r>
            <w:proofErr w:type="spellEnd"/>
            <w:r w:rsidRPr="00230B60">
              <w:rPr>
                <w:rFonts w:ascii="Times New Roman" w:eastAsia="Times New Roman" w:hAnsi="Times New Roman"/>
                <w:color w:val="000000"/>
                <w:lang w:eastAsia="es-ES"/>
              </w:rPr>
              <w:t xml:space="preserve"> </w:t>
            </w:r>
            <w:proofErr w:type="spellStart"/>
            <w:r w:rsidRPr="00230B60">
              <w:rPr>
                <w:rFonts w:ascii="Times New Roman" w:eastAsia="Times New Roman" w:hAnsi="Times New Roman"/>
                <w:color w:val="000000"/>
                <w:lang w:eastAsia="es-ES"/>
              </w:rPr>
              <w:t>side</w:t>
            </w:r>
            <w:proofErr w:type="spellEnd"/>
            <w:r w:rsidRPr="00230B60">
              <w:rPr>
                <w:rFonts w:ascii="Times New Roman" w:eastAsia="Times New Roman" w:hAnsi="Times New Roman"/>
                <w:color w:val="000000"/>
                <w:lang w:eastAsia="es-ES"/>
              </w:rPr>
              <w:t xml:space="preserve"> </w:t>
            </w:r>
          </w:p>
        </w:tc>
        <w:tc>
          <w:tcPr>
            <w:tcW w:w="447" w:type="pct"/>
            <w:tcBorders>
              <w:top w:val="nil"/>
              <w:left w:val="nil"/>
              <w:bottom w:val="nil"/>
              <w:right w:val="nil"/>
            </w:tcBorders>
            <w:shd w:val="clear" w:color="auto" w:fill="auto"/>
            <w:noWrap/>
            <w:vAlign w:val="center"/>
            <w:hideMark/>
          </w:tcPr>
          <w:p w14:paraId="494883AF" w14:textId="77777777" w:rsidR="005400BA" w:rsidRPr="00230B60" w:rsidRDefault="005400BA" w:rsidP="00BB0649">
            <w:pPr>
              <w:spacing w:after="0" w:line="240" w:lineRule="auto"/>
              <w:jc w:val="center"/>
              <w:rPr>
                <w:rFonts w:ascii="Times New Roman" w:eastAsia="Times New Roman" w:hAnsi="Times New Roman"/>
                <w:color w:val="000000"/>
                <w:lang w:eastAsia="es-ES"/>
              </w:rPr>
            </w:pPr>
            <w:r w:rsidRPr="00230B60">
              <w:rPr>
                <w:rFonts w:ascii="Times New Roman" w:eastAsia="Times New Roman" w:hAnsi="Times New Roman"/>
                <w:color w:val="000000"/>
                <w:lang w:eastAsia="es-ES"/>
              </w:rPr>
              <w:t>&lt;10</w:t>
            </w:r>
          </w:p>
        </w:tc>
      </w:tr>
      <w:tr w:rsidR="00B06306" w:rsidRPr="00230B60" w14:paraId="61FB9064" w14:textId="77777777" w:rsidTr="00290FE0">
        <w:trPr>
          <w:trHeight w:val="290"/>
        </w:trPr>
        <w:tc>
          <w:tcPr>
            <w:tcW w:w="296" w:type="pct"/>
            <w:tcBorders>
              <w:top w:val="nil"/>
              <w:left w:val="nil"/>
              <w:bottom w:val="nil"/>
              <w:right w:val="nil"/>
            </w:tcBorders>
            <w:shd w:val="clear" w:color="auto" w:fill="auto"/>
            <w:vAlign w:val="center"/>
            <w:hideMark/>
          </w:tcPr>
          <w:p w14:paraId="165EA3D1" w14:textId="77777777" w:rsidR="005400BA" w:rsidRPr="00230B60" w:rsidRDefault="005400BA" w:rsidP="00BB0649">
            <w:pPr>
              <w:spacing w:after="0" w:line="240" w:lineRule="auto"/>
              <w:jc w:val="center"/>
              <w:rPr>
                <w:rFonts w:ascii="Times New Roman" w:eastAsia="Times New Roman" w:hAnsi="Times New Roman"/>
                <w:color w:val="000000"/>
                <w:lang w:eastAsia="es-ES"/>
              </w:rPr>
            </w:pPr>
            <w:r w:rsidRPr="00230B60">
              <w:rPr>
                <w:rFonts w:ascii="Times New Roman" w:eastAsia="Times New Roman" w:hAnsi="Times New Roman"/>
                <w:color w:val="000000"/>
                <w:lang w:eastAsia="es-ES"/>
              </w:rPr>
              <w:t>7</w:t>
            </w:r>
          </w:p>
        </w:tc>
        <w:tc>
          <w:tcPr>
            <w:tcW w:w="544" w:type="pct"/>
            <w:tcBorders>
              <w:top w:val="nil"/>
              <w:left w:val="nil"/>
              <w:bottom w:val="nil"/>
              <w:right w:val="nil"/>
            </w:tcBorders>
            <w:shd w:val="clear" w:color="auto" w:fill="auto"/>
            <w:vAlign w:val="center"/>
            <w:hideMark/>
          </w:tcPr>
          <w:p w14:paraId="47BF5893" w14:textId="77777777" w:rsidR="005400BA" w:rsidRPr="00230B60" w:rsidRDefault="005400BA" w:rsidP="00BB0649">
            <w:pPr>
              <w:spacing w:after="0" w:line="240" w:lineRule="auto"/>
              <w:jc w:val="center"/>
              <w:rPr>
                <w:rFonts w:ascii="Times New Roman" w:eastAsia="Times New Roman" w:hAnsi="Times New Roman"/>
                <w:color w:val="000000"/>
                <w:lang w:eastAsia="es-ES"/>
              </w:rPr>
            </w:pPr>
            <w:r w:rsidRPr="00230B60">
              <w:rPr>
                <w:rFonts w:ascii="Times New Roman" w:eastAsia="Times New Roman" w:hAnsi="Times New Roman"/>
                <w:color w:val="000000"/>
                <w:lang w:eastAsia="es-ES"/>
              </w:rPr>
              <w:t>39-40.99</w:t>
            </w:r>
          </w:p>
        </w:tc>
        <w:tc>
          <w:tcPr>
            <w:tcW w:w="455" w:type="pct"/>
            <w:tcBorders>
              <w:top w:val="nil"/>
              <w:left w:val="nil"/>
              <w:bottom w:val="nil"/>
              <w:right w:val="nil"/>
            </w:tcBorders>
            <w:shd w:val="clear" w:color="auto" w:fill="auto"/>
            <w:vAlign w:val="center"/>
            <w:hideMark/>
          </w:tcPr>
          <w:p w14:paraId="12B5DC77" w14:textId="77777777" w:rsidR="005400BA" w:rsidRPr="00230B60" w:rsidRDefault="005400BA" w:rsidP="00BB0649">
            <w:pPr>
              <w:spacing w:after="0" w:line="240" w:lineRule="auto"/>
              <w:jc w:val="center"/>
              <w:rPr>
                <w:rFonts w:ascii="Times New Roman" w:eastAsia="Times New Roman" w:hAnsi="Times New Roman"/>
                <w:color w:val="000000"/>
                <w:lang w:eastAsia="es-ES"/>
              </w:rPr>
            </w:pPr>
            <w:r w:rsidRPr="00230B60">
              <w:rPr>
                <w:rFonts w:ascii="Times New Roman" w:eastAsia="Times New Roman" w:hAnsi="Times New Roman"/>
                <w:color w:val="000000"/>
                <w:lang w:eastAsia="es-ES"/>
              </w:rPr>
              <w:t>NA</w:t>
            </w:r>
          </w:p>
        </w:tc>
        <w:tc>
          <w:tcPr>
            <w:tcW w:w="593" w:type="pct"/>
            <w:tcBorders>
              <w:top w:val="nil"/>
              <w:left w:val="nil"/>
              <w:bottom w:val="nil"/>
              <w:right w:val="nil"/>
            </w:tcBorders>
            <w:shd w:val="clear" w:color="auto" w:fill="auto"/>
            <w:vAlign w:val="center"/>
            <w:hideMark/>
          </w:tcPr>
          <w:p w14:paraId="65D78BA2" w14:textId="77777777" w:rsidR="005400BA" w:rsidRPr="00230B60" w:rsidRDefault="005400BA" w:rsidP="00BB0649">
            <w:pPr>
              <w:spacing w:after="0" w:line="240" w:lineRule="auto"/>
              <w:jc w:val="center"/>
              <w:rPr>
                <w:rFonts w:ascii="Times New Roman" w:eastAsia="Times New Roman" w:hAnsi="Times New Roman"/>
                <w:color w:val="000000"/>
                <w:lang w:eastAsia="es-ES"/>
              </w:rPr>
            </w:pPr>
            <w:r w:rsidRPr="00230B60">
              <w:rPr>
                <w:rFonts w:ascii="Times New Roman" w:eastAsia="Times New Roman" w:hAnsi="Times New Roman"/>
                <w:color w:val="000000"/>
                <w:lang w:eastAsia="es-ES"/>
              </w:rPr>
              <w:t>58.21-77.6</w:t>
            </w:r>
          </w:p>
        </w:tc>
        <w:tc>
          <w:tcPr>
            <w:tcW w:w="557" w:type="pct"/>
            <w:tcBorders>
              <w:top w:val="nil"/>
              <w:left w:val="nil"/>
              <w:bottom w:val="nil"/>
              <w:right w:val="nil"/>
            </w:tcBorders>
            <w:shd w:val="clear" w:color="auto" w:fill="auto"/>
            <w:vAlign w:val="center"/>
            <w:hideMark/>
          </w:tcPr>
          <w:p w14:paraId="1914ADDB" w14:textId="77777777" w:rsidR="005400BA" w:rsidRPr="00230B60" w:rsidRDefault="005400BA" w:rsidP="00BB0649">
            <w:pPr>
              <w:spacing w:after="0" w:line="240" w:lineRule="auto"/>
              <w:jc w:val="center"/>
              <w:rPr>
                <w:rFonts w:ascii="Times New Roman" w:eastAsia="Times New Roman" w:hAnsi="Times New Roman"/>
                <w:color w:val="000000"/>
                <w:lang w:eastAsia="es-ES"/>
              </w:rPr>
            </w:pPr>
            <w:r w:rsidRPr="00230B60">
              <w:rPr>
                <w:rFonts w:ascii="Times New Roman" w:eastAsia="Times New Roman" w:hAnsi="Times New Roman"/>
                <w:color w:val="000000"/>
                <w:lang w:eastAsia="es-ES"/>
              </w:rPr>
              <w:t>5.75-6.29</w:t>
            </w:r>
          </w:p>
        </w:tc>
        <w:tc>
          <w:tcPr>
            <w:tcW w:w="496" w:type="pct"/>
            <w:tcBorders>
              <w:top w:val="nil"/>
              <w:left w:val="nil"/>
              <w:bottom w:val="nil"/>
              <w:right w:val="nil"/>
            </w:tcBorders>
            <w:shd w:val="clear" w:color="auto" w:fill="auto"/>
            <w:vAlign w:val="center"/>
            <w:hideMark/>
          </w:tcPr>
          <w:p w14:paraId="495E6288" w14:textId="77777777" w:rsidR="005400BA" w:rsidRPr="00230B60" w:rsidRDefault="005400BA" w:rsidP="00BB0649">
            <w:pPr>
              <w:spacing w:after="0" w:line="240" w:lineRule="auto"/>
              <w:jc w:val="center"/>
              <w:rPr>
                <w:rFonts w:ascii="Times New Roman" w:eastAsia="Times New Roman" w:hAnsi="Times New Roman"/>
                <w:color w:val="000000"/>
                <w:lang w:eastAsia="es-ES"/>
              </w:rPr>
            </w:pPr>
            <w:r w:rsidRPr="00230B60">
              <w:rPr>
                <w:rFonts w:ascii="Times New Roman" w:eastAsia="Times New Roman" w:hAnsi="Times New Roman"/>
                <w:color w:val="000000"/>
                <w:lang w:eastAsia="es-ES"/>
              </w:rPr>
              <w:t>6.61-8.8</w:t>
            </w:r>
          </w:p>
        </w:tc>
        <w:tc>
          <w:tcPr>
            <w:tcW w:w="496" w:type="pct"/>
            <w:tcBorders>
              <w:top w:val="nil"/>
              <w:left w:val="nil"/>
              <w:bottom w:val="nil"/>
              <w:right w:val="nil"/>
            </w:tcBorders>
            <w:shd w:val="clear" w:color="auto" w:fill="auto"/>
            <w:vAlign w:val="center"/>
            <w:hideMark/>
          </w:tcPr>
          <w:p w14:paraId="44F6C92F" w14:textId="77777777" w:rsidR="005400BA" w:rsidRPr="00230B60" w:rsidRDefault="005400BA" w:rsidP="00BB0649">
            <w:pPr>
              <w:spacing w:after="0" w:line="240" w:lineRule="auto"/>
              <w:jc w:val="center"/>
              <w:rPr>
                <w:rFonts w:ascii="Times New Roman" w:eastAsia="Times New Roman" w:hAnsi="Times New Roman"/>
                <w:color w:val="000000"/>
                <w:lang w:eastAsia="es-ES"/>
              </w:rPr>
            </w:pPr>
            <w:r w:rsidRPr="00230B60">
              <w:rPr>
                <w:rFonts w:ascii="Times New Roman" w:eastAsia="Times New Roman" w:hAnsi="Times New Roman"/>
                <w:color w:val="000000"/>
                <w:lang w:eastAsia="es-ES"/>
              </w:rPr>
              <w:t>8.71-11.6</w:t>
            </w:r>
          </w:p>
        </w:tc>
        <w:tc>
          <w:tcPr>
            <w:tcW w:w="79" w:type="pct"/>
            <w:tcBorders>
              <w:top w:val="nil"/>
              <w:left w:val="nil"/>
              <w:bottom w:val="nil"/>
              <w:right w:val="nil"/>
            </w:tcBorders>
          </w:tcPr>
          <w:p w14:paraId="4A90D861" w14:textId="77777777" w:rsidR="005400BA" w:rsidRPr="00230B60" w:rsidRDefault="005400BA" w:rsidP="00BB0649">
            <w:pPr>
              <w:spacing w:after="0" w:line="240" w:lineRule="auto"/>
              <w:jc w:val="center"/>
              <w:rPr>
                <w:rFonts w:ascii="Times New Roman" w:eastAsia="Times New Roman" w:hAnsi="Times New Roman"/>
                <w:color w:val="000000"/>
                <w:lang w:eastAsia="es-ES"/>
              </w:rPr>
            </w:pPr>
          </w:p>
        </w:tc>
        <w:tc>
          <w:tcPr>
            <w:tcW w:w="296" w:type="pct"/>
            <w:tcBorders>
              <w:top w:val="nil"/>
              <w:left w:val="nil"/>
              <w:bottom w:val="nil"/>
              <w:right w:val="nil"/>
            </w:tcBorders>
            <w:shd w:val="clear" w:color="auto" w:fill="auto"/>
            <w:vAlign w:val="center"/>
            <w:hideMark/>
          </w:tcPr>
          <w:p w14:paraId="31C9E5F1" w14:textId="77777777" w:rsidR="005400BA" w:rsidRPr="00230B60" w:rsidRDefault="005400BA" w:rsidP="00BB0649">
            <w:pPr>
              <w:spacing w:after="0" w:line="240" w:lineRule="auto"/>
              <w:jc w:val="center"/>
              <w:rPr>
                <w:rFonts w:ascii="Times New Roman" w:eastAsia="Times New Roman" w:hAnsi="Times New Roman"/>
                <w:color w:val="000000"/>
                <w:lang w:eastAsia="es-ES"/>
              </w:rPr>
            </w:pPr>
          </w:p>
        </w:tc>
        <w:tc>
          <w:tcPr>
            <w:tcW w:w="741" w:type="pct"/>
            <w:tcBorders>
              <w:top w:val="nil"/>
              <w:left w:val="nil"/>
              <w:bottom w:val="nil"/>
              <w:right w:val="nil"/>
            </w:tcBorders>
            <w:shd w:val="clear" w:color="auto" w:fill="auto"/>
            <w:vAlign w:val="center"/>
            <w:hideMark/>
          </w:tcPr>
          <w:p w14:paraId="29872D30" w14:textId="77777777" w:rsidR="005400BA" w:rsidRPr="00230B60" w:rsidRDefault="005400BA" w:rsidP="00BB0649">
            <w:pPr>
              <w:spacing w:after="0" w:line="240" w:lineRule="auto"/>
              <w:rPr>
                <w:rFonts w:ascii="Times New Roman" w:eastAsia="Times New Roman" w:hAnsi="Times New Roman"/>
                <w:lang w:eastAsia="es-ES"/>
              </w:rPr>
            </w:pPr>
          </w:p>
        </w:tc>
        <w:tc>
          <w:tcPr>
            <w:tcW w:w="447" w:type="pct"/>
            <w:tcBorders>
              <w:top w:val="nil"/>
              <w:left w:val="nil"/>
              <w:bottom w:val="nil"/>
              <w:right w:val="nil"/>
            </w:tcBorders>
            <w:shd w:val="clear" w:color="auto" w:fill="auto"/>
            <w:noWrap/>
            <w:vAlign w:val="bottom"/>
            <w:hideMark/>
          </w:tcPr>
          <w:p w14:paraId="41DD4DB9" w14:textId="77777777" w:rsidR="005400BA" w:rsidRPr="00230B60" w:rsidRDefault="005400BA" w:rsidP="00BB0649">
            <w:pPr>
              <w:spacing w:after="0" w:line="240" w:lineRule="auto"/>
              <w:rPr>
                <w:rFonts w:ascii="Times New Roman" w:eastAsia="Times New Roman" w:hAnsi="Times New Roman"/>
                <w:lang w:eastAsia="es-ES"/>
              </w:rPr>
            </w:pPr>
          </w:p>
        </w:tc>
      </w:tr>
      <w:tr w:rsidR="00B06306" w:rsidRPr="00230B60" w14:paraId="19D894E1" w14:textId="77777777" w:rsidTr="00290FE0">
        <w:trPr>
          <w:trHeight w:val="290"/>
        </w:trPr>
        <w:tc>
          <w:tcPr>
            <w:tcW w:w="296" w:type="pct"/>
            <w:tcBorders>
              <w:top w:val="nil"/>
              <w:left w:val="nil"/>
              <w:bottom w:val="nil"/>
              <w:right w:val="nil"/>
            </w:tcBorders>
            <w:shd w:val="clear" w:color="auto" w:fill="auto"/>
            <w:vAlign w:val="center"/>
            <w:hideMark/>
          </w:tcPr>
          <w:p w14:paraId="0ADF3289" w14:textId="77777777" w:rsidR="005400BA" w:rsidRPr="00230B60" w:rsidRDefault="005400BA" w:rsidP="00BB0649">
            <w:pPr>
              <w:spacing w:after="0" w:line="240" w:lineRule="auto"/>
              <w:jc w:val="center"/>
              <w:rPr>
                <w:rFonts w:ascii="Times New Roman" w:eastAsia="Times New Roman" w:hAnsi="Times New Roman"/>
                <w:color w:val="000000"/>
                <w:lang w:eastAsia="es-ES"/>
              </w:rPr>
            </w:pPr>
            <w:r w:rsidRPr="00230B60">
              <w:rPr>
                <w:rFonts w:ascii="Times New Roman" w:eastAsia="Times New Roman" w:hAnsi="Times New Roman"/>
                <w:color w:val="000000"/>
                <w:lang w:eastAsia="es-ES"/>
              </w:rPr>
              <w:t>8</w:t>
            </w:r>
          </w:p>
        </w:tc>
        <w:tc>
          <w:tcPr>
            <w:tcW w:w="544" w:type="pct"/>
            <w:tcBorders>
              <w:top w:val="nil"/>
              <w:left w:val="nil"/>
              <w:bottom w:val="nil"/>
              <w:right w:val="nil"/>
            </w:tcBorders>
            <w:shd w:val="clear" w:color="auto" w:fill="auto"/>
            <w:vAlign w:val="center"/>
            <w:hideMark/>
          </w:tcPr>
          <w:p w14:paraId="2FA25BF5" w14:textId="77777777" w:rsidR="005400BA" w:rsidRPr="00230B60" w:rsidRDefault="005400BA" w:rsidP="00BB0649">
            <w:pPr>
              <w:spacing w:after="0" w:line="240" w:lineRule="auto"/>
              <w:jc w:val="center"/>
              <w:rPr>
                <w:rFonts w:ascii="Times New Roman" w:eastAsia="Times New Roman" w:hAnsi="Times New Roman"/>
                <w:color w:val="000000"/>
                <w:lang w:eastAsia="es-ES"/>
              </w:rPr>
            </w:pPr>
            <w:r w:rsidRPr="00230B60">
              <w:rPr>
                <w:rFonts w:ascii="Times New Roman" w:eastAsia="Times New Roman" w:hAnsi="Times New Roman"/>
                <w:color w:val="000000"/>
                <w:lang w:eastAsia="es-ES"/>
              </w:rPr>
              <w:t>41-42.99</w:t>
            </w:r>
          </w:p>
        </w:tc>
        <w:tc>
          <w:tcPr>
            <w:tcW w:w="455" w:type="pct"/>
            <w:tcBorders>
              <w:top w:val="nil"/>
              <w:left w:val="nil"/>
              <w:bottom w:val="nil"/>
              <w:right w:val="nil"/>
            </w:tcBorders>
            <w:shd w:val="clear" w:color="auto" w:fill="auto"/>
            <w:vAlign w:val="center"/>
            <w:hideMark/>
          </w:tcPr>
          <w:p w14:paraId="02AE8399" w14:textId="77777777" w:rsidR="005400BA" w:rsidRPr="00230B60" w:rsidRDefault="005400BA" w:rsidP="00BB0649">
            <w:pPr>
              <w:spacing w:after="0" w:line="240" w:lineRule="auto"/>
              <w:jc w:val="center"/>
              <w:rPr>
                <w:rFonts w:ascii="Times New Roman" w:eastAsia="Times New Roman" w:hAnsi="Times New Roman"/>
                <w:color w:val="000000"/>
                <w:lang w:eastAsia="es-ES"/>
              </w:rPr>
            </w:pPr>
            <w:r w:rsidRPr="00230B60">
              <w:rPr>
                <w:rFonts w:ascii="Times New Roman" w:eastAsia="Times New Roman" w:hAnsi="Times New Roman"/>
                <w:color w:val="000000"/>
                <w:lang w:eastAsia="es-ES"/>
              </w:rPr>
              <w:t>NA</w:t>
            </w:r>
          </w:p>
        </w:tc>
        <w:tc>
          <w:tcPr>
            <w:tcW w:w="593" w:type="pct"/>
            <w:tcBorders>
              <w:top w:val="nil"/>
              <w:left w:val="nil"/>
              <w:bottom w:val="nil"/>
              <w:right w:val="nil"/>
            </w:tcBorders>
            <w:shd w:val="clear" w:color="auto" w:fill="auto"/>
            <w:vAlign w:val="center"/>
            <w:hideMark/>
          </w:tcPr>
          <w:p w14:paraId="7BFB43E5" w14:textId="77777777" w:rsidR="005400BA" w:rsidRPr="00230B60" w:rsidRDefault="005400BA" w:rsidP="00BB0649">
            <w:pPr>
              <w:spacing w:after="0" w:line="240" w:lineRule="auto"/>
              <w:jc w:val="center"/>
              <w:rPr>
                <w:rFonts w:ascii="Times New Roman" w:eastAsia="Times New Roman" w:hAnsi="Times New Roman"/>
                <w:color w:val="000000"/>
                <w:lang w:eastAsia="es-ES"/>
              </w:rPr>
            </w:pPr>
            <w:r w:rsidRPr="00230B60">
              <w:rPr>
                <w:rFonts w:ascii="Times New Roman" w:eastAsia="Times New Roman" w:hAnsi="Times New Roman"/>
                <w:color w:val="000000"/>
                <w:lang w:eastAsia="es-ES"/>
              </w:rPr>
              <w:t>38.81-58.2</w:t>
            </w:r>
          </w:p>
        </w:tc>
        <w:tc>
          <w:tcPr>
            <w:tcW w:w="557" w:type="pct"/>
            <w:tcBorders>
              <w:top w:val="nil"/>
              <w:left w:val="nil"/>
              <w:bottom w:val="nil"/>
              <w:right w:val="nil"/>
            </w:tcBorders>
            <w:shd w:val="clear" w:color="auto" w:fill="auto"/>
            <w:vAlign w:val="center"/>
            <w:hideMark/>
          </w:tcPr>
          <w:p w14:paraId="716894B0" w14:textId="77777777" w:rsidR="005400BA" w:rsidRPr="00230B60" w:rsidRDefault="005400BA" w:rsidP="00BB0649">
            <w:pPr>
              <w:spacing w:after="0" w:line="240" w:lineRule="auto"/>
              <w:jc w:val="center"/>
              <w:rPr>
                <w:rFonts w:ascii="Times New Roman" w:eastAsia="Times New Roman" w:hAnsi="Times New Roman"/>
                <w:color w:val="000000"/>
                <w:lang w:eastAsia="es-ES"/>
              </w:rPr>
            </w:pPr>
            <w:r w:rsidRPr="00230B60">
              <w:rPr>
                <w:rFonts w:ascii="Times New Roman" w:eastAsia="Times New Roman" w:hAnsi="Times New Roman"/>
                <w:color w:val="000000"/>
                <w:lang w:eastAsia="es-ES"/>
              </w:rPr>
              <w:t>6.30-6.84</w:t>
            </w:r>
          </w:p>
        </w:tc>
        <w:tc>
          <w:tcPr>
            <w:tcW w:w="496" w:type="pct"/>
            <w:tcBorders>
              <w:top w:val="nil"/>
              <w:left w:val="nil"/>
              <w:bottom w:val="nil"/>
              <w:right w:val="nil"/>
            </w:tcBorders>
            <w:shd w:val="clear" w:color="auto" w:fill="auto"/>
            <w:vAlign w:val="center"/>
            <w:hideMark/>
          </w:tcPr>
          <w:p w14:paraId="541D1574" w14:textId="77777777" w:rsidR="005400BA" w:rsidRPr="00230B60" w:rsidRDefault="005400BA" w:rsidP="00BB0649">
            <w:pPr>
              <w:spacing w:after="0" w:line="240" w:lineRule="auto"/>
              <w:jc w:val="center"/>
              <w:rPr>
                <w:rFonts w:ascii="Times New Roman" w:eastAsia="Times New Roman" w:hAnsi="Times New Roman"/>
                <w:color w:val="000000"/>
                <w:lang w:eastAsia="es-ES"/>
              </w:rPr>
            </w:pPr>
            <w:r w:rsidRPr="00230B60">
              <w:rPr>
                <w:rFonts w:ascii="Times New Roman" w:eastAsia="Times New Roman" w:hAnsi="Times New Roman"/>
                <w:color w:val="000000"/>
                <w:lang w:eastAsia="es-ES"/>
              </w:rPr>
              <w:t>4.41-6.6</w:t>
            </w:r>
          </w:p>
        </w:tc>
        <w:tc>
          <w:tcPr>
            <w:tcW w:w="496" w:type="pct"/>
            <w:tcBorders>
              <w:top w:val="nil"/>
              <w:left w:val="nil"/>
              <w:bottom w:val="nil"/>
              <w:right w:val="nil"/>
            </w:tcBorders>
            <w:shd w:val="clear" w:color="auto" w:fill="auto"/>
            <w:vAlign w:val="center"/>
            <w:hideMark/>
          </w:tcPr>
          <w:p w14:paraId="7ACCE42B" w14:textId="77777777" w:rsidR="005400BA" w:rsidRPr="00230B60" w:rsidRDefault="005400BA" w:rsidP="00BB0649">
            <w:pPr>
              <w:spacing w:after="0" w:line="240" w:lineRule="auto"/>
              <w:jc w:val="center"/>
              <w:rPr>
                <w:rFonts w:ascii="Times New Roman" w:eastAsia="Times New Roman" w:hAnsi="Times New Roman"/>
                <w:color w:val="000000"/>
                <w:lang w:eastAsia="es-ES"/>
              </w:rPr>
            </w:pPr>
            <w:r w:rsidRPr="00230B60">
              <w:rPr>
                <w:rFonts w:ascii="Times New Roman" w:eastAsia="Times New Roman" w:hAnsi="Times New Roman"/>
                <w:color w:val="000000"/>
                <w:lang w:eastAsia="es-ES"/>
              </w:rPr>
              <w:t>5.81-8.7</w:t>
            </w:r>
          </w:p>
        </w:tc>
        <w:tc>
          <w:tcPr>
            <w:tcW w:w="79" w:type="pct"/>
            <w:tcBorders>
              <w:top w:val="nil"/>
              <w:left w:val="nil"/>
              <w:bottom w:val="nil"/>
              <w:right w:val="nil"/>
            </w:tcBorders>
          </w:tcPr>
          <w:p w14:paraId="215A4E71" w14:textId="77777777" w:rsidR="005400BA" w:rsidRPr="00230B60" w:rsidRDefault="005400BA" w:rsidP="00BB0649">
            <w:pPr>
              <w:spacing w:after="0" w:line="240" w:lineRule="auto"/>
              <w:jc w:val="center"/>
              <w:rPr>
                <w:rFonts w:ascii="Times New Roman" w:eastAsia="Times New Roman" w:hAnsi="Times New Roman"/>
                <w:color w:val="000000"/>
                <w:lang w:eastAsia="es-ES"/>
              </w:rPr>
            </w:pPr>
          </w:p>
        </w:tc>
        <w:tc>
          <w:tcPr>
            <w:tcW w:w="296" w:type="pct"/>
            <w:tcBorders>
              <w:top w:val="nil"/>
              <w:left w:val="nil"/>
              <w:bottom w:val="nil"/>
              <w:right w:val="nil"/>
            </w:tcBorders>
            <w:shd w:val="clear" w:color="auto" w:fill="auto"/>
            <w:vAlign w:val="center"/>
            <w:hideMark/>
          </w:tcPr>
          <w:p w14:paraId="2080129B" w14:textId="77777777" w:rsidR="005400BA" w:rsidRPr="00230B60" w:rsidRDefault="005400BA" w:rsidP="00BB0649">
            <w:pPr>
              <w:spacing w:after="0" w:line="240" w:lineRule="auto"/>
              <w:jc w:val="center"/>
              <w:rPr>
                <w:rFonts w:ascii="Times New Roman" w:eastAsia="Times New Roman" w:hAnsi="Times New Roman"/>
                <w:color w:val="000000"/>
                <w:lang w:eastAsia="es-ES"/>
              </w:rPr>
            </w:pPr>
          </w:p>
        </w:tc>
        <w:tc>
          <w:tcPr>
            <w:tcW w:w="741" w:type="pct"/>
            <w:tcBorders>
              <w:top w:val="nil"/>
              <w:left w:val="nil"/>
              <w:bottom w:val="nil"/>
              <w:right w:val="nil"/>
            </w:tcBorders>
            <w:shd w:val="clear" w:color="auto" w:fill="auto"/>
            <w:vAlign w:val="center"/>
            <w:hideMark/>
          </w:tcPr>
          <w:p w14:paraId="6C5677B5" w14:textId="77777777" w:rsidR="005400BA" w:rsidRPr="00230B60" w:rsidRDefault="005400BA" w:rsidP="00BB0649">
            <w:pPr>
              <w:spacing w:after="0" w:line="240" w:lineRule="auto"/>
              <w:rPr>
                <w:rFonts w:ascii="Times New Roman" w:eastAsia="Times New Roman" w:hAnsi="Times New Roman"/>
                <w:lang w:eastAsia="es-ES"/>
              </w:rPr>
            </w:pPr>
          </w:p>
        </w:tc>
        <w:tc>
          <w:tcPr>
            <w:tcW w:w="447" w:type="pct"/>
            <w:tcBorders>
              <w:top w:val="nil"/>
              <w:left w:val="nil"/>
              <w:bottom w:val="nil"/>
              <w:right w:val="nil"/>
            </w:tcBorders>
            <w:shd w:val="clear" w:color="auto" w:fill="auto"/>
            <w:noWrap/>
            <w:vAlign w:val="bottom"/>
            <w:hideMark/>
          </w:tcPr>
          <w:p w14:paraId="4C3B4BD2" w14:textId="77777777" w:rsidR="005400BA" w:rsidRPr="00230B60" w:rsidRDefault="005400BA" w:rsidP="00BB0649">
            <w:pPr>
              <w:spacing w:after="0" w:line="240" w:lineRule="auto"/>
              <w:rPr>
                <w:rFonts w:ascii="Times New Roman" w:eastAsia="Times New Roman" w:hAnsi="Times New Roman"/>
                <w:lang w:eastAsia="es-ES"/>
              </w:rPr>
            </w:pPr>
          </w:p>
        </w:tc>
      </w:tr>
      <w:tr w:rsidR="00B06306" w:rsidRPr="00230B60" w14:paraId="2E3DD1EE" w14:textId="77777777" w:rsidTr="00290FE0">
        <w:trPr>
          <w:trHeight w:val="290"/>
        </w:trPr>
        <w:tc>
          <w:tcPr>
            <w:tcW w:w="296" w:type="pct"/>
            <w:tcBorders>
              <w:top w:val="nil"/>
              <w:left w:val="nil"/>
              <w:bottom w:val="nil"/>
              <w:right w:val="nil"/>
            </w:tcBorders>
            <w:shd w:val="clear" w:color="auto" w:fill="auto"/>
            <w:vAlign w:val="center"/>
            <w:hideMark/>
          </w:tcPr>
          <w:p w14:paraId="24D42A32" w14:textId="77777777" w:rsidR="005400BA" w:rsidRPr="00230B60" w:rsidRDefault="005400BA" w:rsidP="00BB0649">
            <w:pPr>
              <w:spacing w:after="0" w:line="240" w:lineRule="auto"/>
              <w:jc w:val="center"/>
              <w:rPr>
                <w:rFonts w:ascii="Times New Roman" w:eastAsia="Times New Roman" w:hAnsi="Times New Roman"/>
                <w:color w:val="000000"/>
                <w:lang w:eastAsia="es-ES"/>
              </w:rPr>
            </w:pPr>
            <w:r w:rsidRPr="00230B60">
              <w:rPr>
                <w:rFonts w:ascii="Times New Roman" w:eastAsia="Times New Roman" w:hAnsi="Times New Roman"/>
                <w:color w:val="000000"/>
                <w:lang w:eastAsia="es-ES"/>
              </w:rPr>
              <w:t>9</w:t>
            </w:r>
          </w:p>
        </w:tc>
        <w:tc>
          <w:tcPr>
            <w:tcW w:w="544" w:type="pct"/>
            <w:tcBorders>
              <w:top w:val="nil"/>
              <w:left w:val="nil"/>
              <w:bottom w:val="nil"/>
              <w:right w:val="nil"/>
            </w:tcBorders>
            <w:shd w:val="clear" w:color="auto" w:fill="auto"/>
            <w:vAlign w:val="center"/>
            <w:hideMark/>
          </w:tcPr>
          <w:p w14:paraId="7A638B50" w14:textId="77777777" w:rsidR="005400BA" w:rsidRPr="00230B60" w:rsidRDefault="005400BA" w:rsidP="00BB0649">
            <w:pPr>
              <w:spacing w:after="0" w:line="240" w:lineRule="auto"/>
              <w:jc w:val="center"/>
              <w:rPr>
                <w:rFonts w:ascii="Times New Roman" w:eastAsia="Times New Roman" w:hAnsi="Times New Roman"/>
                <w:color w:val="000000"/>
                <w:lang w:eastAsia="es-ES"/>
              </w:rPr>
            </w:pPr>
            <w:r w:rsidRPr="00230B60">
              <w:rPr>
                <w:rFonts w:ascii="Times New Roman" w:eastAsia="Times New Roman" w:hAnsi="Times New Roman"/>
                <w:color w:val="000000"/>
                <w:lang w:eastAsia="es-ES"/>
              </w:rPr>
              <w:t>43-44.99</w:t>
            </w:r>
          </w:p>
        </w:tc>
        <w:tc>
          <w:tcPr>
            <w:tcW w:w="455" w:type="pct"/>
            <w:tcBorders>
              <w:top w:val="nil"/>
              <w:left w:val="nil"/>
              <w:bottom w:val="nil"/>
              <w:right w:val="nil"/>
            </w:tcBorders>
            <w:shd w:val="clear" w:color="auto" w:fill="auto"/>
            <w:vAlign w:val="center"/>
            <w:hideMark/>
          </w:tcPr>
          <w:p w14:paraId="57E48362" w14:textId="77777777" w:rsidR="005400BA" w:rsidRPr="00230B60" w:rsidRDefault="005400BA" w:rsidP="00BB0649">
            <w:pPr>
              <w:spacing w:after="0" w:line="240" w:lineRule="auto"/>
              <w:jc w:val="center"/>
              <w:rPr>
                <w:rFonts w:ascii="Times New Roman" w:eastAsia="Times New Roman" w:hAnsi="Times New Roman"/>
                <w:color w:val="000000"/>
                <w:lang w:eastAsia="es-ES"/>
              </w:rPr>
            </w:pPr>
            <w:r w:rsidRPr="00230B60">
              <w:rPr>
                <w:rFonts w:ascii="Times New Roman" w:eastAsia="Times New Roman" w:hAnsi="Times New Roman"/>
                <w:color w:val="000000"/>
                <w:lang w:eastAsia="es-ES"/>
              </w:rPr>
              <w:t>NA</w:t>
            </w:r>
          </w:p>
        </w:tc>
        <w:tc>
          <w:tcPr>
            <w:tcW w:w="593" w:type="pct"/>
            <w:tcBorders>
              <w:top w:val="nil"/>
              <w:left w:val="nil"/>
              <w:bottom w:val="nil"/>
              <w:right w:val="nil"/>
            </w:tcBorders>
            <w:shd w:val="clear" w:color="auto" w:fill="auto"/>
            <w:vAlign w:val="center"/>
            <w:hideMark/>
          </w:tcPr>
          <w:p w14:paraId="7491223C" w14:textId="77777777" w:rsidR="005400BA" w:rsidRPr="00230B60" w:rsidRDefault="005400BA" w:rsidP="00BB0649">
            <w:pPr>
              <w:spacing w:after="0" w:line="240" w:lineRule="auto"/>
              <w:jc w:val="center"/>
              <w:rPr>
                <w:rFonts w:ascii="Times New Roman" w:eastAsia="Times New Roman" w:hAnsi="Times New Roman"/>
                <w:color w:val="000000"/>
                <w:lang w:eastAsia="es-ES"/>
              </w:rPr>
            </w:pPr>
            <w:r w:rsidRPr="00230B60">
              <w:rPr>
                <w:rFonts w:ascii="Times New Roman" w:eastAsia="Times New Roman" w:hAnsi="Times New Roman"/>
                <w:color w:val="000000"/>
                <w:lang w:eastAsia="es-ES"/>
              </w:rPr>
              <w:t>19.41-38.8</w:t>
            </w:r>
          </w:p>
        </w:tc>
        <w:tc>
          <w:tcPr>
            <w:tcW w:w="557" w:type="pct"/>
            <w:tcBorders>
              <w:top w:val="nil"/>
              <w:left w:val="nil"/>
              <w:bottom w:val="nil"/>
              <w:right w:val="nil"/>
            </w:tcBorders>
            <w:shd w:val="clear" w:color="auto" w:fill="auto"/>
            <w:vAlign w:val="center"/>
            <w:hideMark/>
          </w:tcPr>
          <w:p w14:paraId="7EDB5D9E" w14:textId="77777777" w:rsidR="005400BA" w:rsidRPr="00230B60" w:rsidRDefault="005400BA" w:rsidP="00BB0649">
            <w:pPr>
              <w:spacing w:after="0" w:line="240" w:lineRule="auto"/>
              <w:jc w:val="center"/>
              <w:rPr>
                <w:rFonts w:ascii="Times New Roman" w:eastAsia="Times New Roman" w:hAnsi="Times New Roman"/>
                <w:color w:val="000000"/>
                <w:lang w:eastAsia="es-ES"/>
              </w:rPr>
            </w:pPr>
            <w:r w:rsidRPr="00230B60">
              <w:rPr>
                <w:rFonts w:ascii="Times New Roman" w:eastAsia="Times New Roman" w:hAnsi="Times New Roman"/>
                <w:color w:val="000000"/>
                <w:lang w:eastAsia="es-ES"/>
              </w:rPr>
              <w:t>6.85-7.39</w:t>
            </w:r>
          </w:p>
        </w:tc>
        <w:tc>
          <w:tcPr>
            <w:tcW w:w="496" w:type="pct"/>
            <w:tcBorders>
              <w:top w:val="nil"/>
              <w:left w:val="nil"/>
              <w:bottom w:val="nil"/>
              <w:right w:val="nil"/>
            </w:tcBorders>
            <w:shd w:val="clear" w:color="auto" w:fill="auto"/>
            <w:vAlign w:val="center"/>
            <w:hideMark/>
          </w:tcPr>
          <w:p w14:paraId="40A3601F" w14:textId="77777777" w:rsidR="005400BA" w:rsidRPr="00230B60" w:rsidRDefault="005400BA" w:rsidP="00BB0649">
            <w:pPr>
              <w:spacing w:after="0" w:line="240" w:lineRule="auto"/>
              <w:jc w:val="center"/>
              <w:rPr>
                <w:rFonts w:ascii="Times New Roman" w:eastAsia="Times New Roman" w:hAnsi="Times New Roman"/>
                <w:color w:val="000000"/>
                <w:lang w:eastAsia="es-ES"/>
              </w:rPr>
            </w:pPr>
            <w:r w:rsidRPr="00230B60">
              <w:rPr>
                <w:rFonts w:ascii="Times New Roman" w:eastAsia="Times New Roman" w:hAnsi="Times New Roman"/>
                <w:color w:val="000000"/>
                <w:lang w:eastAsia="es-ES"/>
              </w:rPr>
              <w:t>2.21-4.4</w:t>
            </w:r>
          </w:p>
        </w:tc>
        <w:tc>
          <w:tcPr>
            <w:tcW w:w="496" w:type="pct"/>
            <w:tcBorders>
              <w:top w:val="nil"/>
              <w:left w:val="nil"/>
              <w:bottom w:val="nil"/>
              <w:right w:val="nil"/>
            </w:tcBorders>
            <w:shd w:val="clear" w:color="auto" w:fill="auto"/>
            <w:vAlign w:val="center"/>
            <w:hideMark/>
          </w:tcPr>
          <w:p w14:paraId="56AB6A7D" w14:textId="77777777" w:rsidR="005400BA" w:rsidRPr="00230B60" w:rsidRDefault="005400BA" w:rsidP="00BB0649">
            <w:pPr>
              <w:spacing w:after="0" w:line="240" w:lineRule="auto"/>
              <w:jc w:val="center"/>
              <w:rPr>
                <w:rFonts w:ascii="Times New Roman" w:eastAsia="Times New Roman" w:hAnsi="Times New Roman"/>
                <w:color w:val="000000"/>
                <w:lang w:eastAsia="es-ES"/>
              </w:rPr>
            </w:pPr>
            <w:r w:rsidRPr="00230B60">
              <w:rPr>
                <w:rFonts w:ascii="Times New Roman" w:eastAsia="Times New Roman" w:hAnsi="Times New Roman"/>
                <w:color w:val="000000"/>
                <w:lang w:eastAsia="es-ES"/>
              </w:rPr>
              <w:t>2.91-5.8</w:t>
            </w:r>
          </w:p>
        </w:tc>
        <w:tc>
          <w:tcPr>
            <w:tcW w:w="79" w:type="pct"/>
            <w:tcBorders>
              <w:top w:val="nil"/>
              <w:left w:val="nil"/>
              <w:bottom w:val="nil"/>
              <w:right w:val="nil"/>
            </w:tcBorders>
          </w:tcPr>
          <w:p w14:paraId="09212677" w14:textId="77777777" w:rsidR="005400BA" w:rsidRPr="00230B60" w:rsidRDefault="005400BA" w:rsidP="00BB0649">
            <w:pPr>
              <w:spacing w:after="0" w:line="240" w:lineRule="auto"/>
              <w:jc w:val="center"/>
              <w:rPr>
                <w:rFonts w:ascii="Times New Roman" w:eastAsia="Times New Roman" w:hAnsi="Times New Roman"/>
                <w:color w:val="000000"/>
                <w:lang w:eastAsia="es-ES"/>
              </w:rPr>
            </w:pPr>
          </w:p>
        </w:tc>
        <w:tc>
          <w:tcPr>
            <w:tcW w:w="296" w:type="pct"/>
            <w:tcBorders>
              <w:top w:val="nil"/>
              <w:left w:val="nil"/>
              <w:bottom w:val="nil"/>
              <w:right w:val="nil"/>
            </w:tcBorders>
            <w:shd w:val="clear" w:color="auto" w:fill="auto"/>
            <w:vAlign w:val="center"/>
            <w:hideMark/>
          </w:tcPr>
          <w:p w14:paraId="57CD49AB" w14:textId="77777777" w:rsidR="005400BA" w:rsidRPr="00230B60" w:rsidRDefault="005400BA" w:rsidP="00BB0649">
            <w:pPr>
              <w:spacing w:after="0" w:line="240" w:lineRule="auto"/>
              <w:jc w:val="center"/>
              <w:rPr>
                <w:rFonts w:ascii="Times New Roman" w:eastAsia="Times New Roman" w:hAnsi="Times New Roman"/>
                <w:color w:val="000000"/>
                <w:lang w:eastAsia="es-ES"/>
              </w:rPr>
            </w:pPr>
          </w:p>
        </w:tc>
        <w:tc>
          <w:tcPr>
            <w:tcW w:w="741" w:type="pct"/>
            <w:tcBorders>
              <w:top w:val="nil"/>
              <w:left w:val="nil"/>
              <w:bottom w:val="nil"/>
              <w:right w:val="nil"/>
            </w:tcBorders>
            <w:shd w:val="clear" w:color="auto" w:fill="auto"/>
            <w:vAlign w:val="center"/>
            <w:hideMark/>
          </w:tcPr>
          <w:p w14:paraId="799005ED" w14:textId="77777777" w:rsidR="005400BA" w:rsidRPr="00230B60" w:rsidRDefault="005400BA" w:rsidP="00BB0649">
            <w:pPr>
              <w:spacing w:after="0" w:line="240" w:lineRule="auto"/>
              <w:rPr>
                <w:rFonts w:ascii="Times New Roman" w:eastAsia="Times New Roman" w:hAnsi="Times New Roman"/>
                <w:lang w:eastAsia="es-ES"/>
              </w:rPr>
            </w:pPr>
          </w:p>
        </w:tc>
        <w:tc>
          <w:tcPr>
            <w:tcW w:w="447" w:type="pct"/>
            <w:tcBorders>
              <w:top w:val="nil"/>
              <w:left w:val="nil"/>
              <w:bottom w:val="nil"/>
              <w:right w:val="nil"/>
            </w:tcBorders>
            <w:shd w:val="clear" w:color="auto" w:fill="auto"/>
            <w:noWrap/>
            <w:vAlign w:val="bottom"/>
            <w:hideMark/>
          </w:tcPr>
          <w:p w14:paraId="25404904" w14:textId="77777777" w:rsidR="005400BA" w:rsidRPr="00230B60" w:rsidRDefault="005400BA" w:rsidP="00BB0649">
            <w:pPr>
              <w:spacing w:after="0" w:line="240" w:lineRule="auto"/>
              <w:rPr>
                <w:rFonts w:ascii="Times New Roman" w:eastAsia="Times New Roman" w:hAnsi="Times New Roman"/>
                <w:lang w:eastAsia="es-ES"/>
              </w:rPr>
            </w:pPr>
          </w:p>
        </w:tc>
      </w:tr>
      <w:tr w:rsidR="00B06306" w:rsidRPr="00230B60" w14:paraId="4658EE8D" w14:textId="77777777" w:rsidTr="00290FE0">
        <w:trPr>
          <w:trHeight w:val="290"/>
        </w:trPr>
        <w:tc>
          <w:tcPr>
            <w:tcW w:w="296" w:type="pct"/>
            <w:tcBorders>
              <w:top w:val="nil"/>
              <w:left w:val="nil"/>
              <w:bottom w:val="nil"/>
              <w:right w:val="nil"/>
            </w:tcBorders>
            <w:shd w:val="clear" w:color="auto" w:fill="auto"/>
            <w:vAlign w:val="center"/>
            <w:hideMark/>
          </w:tcPr>
          <w:p w14:paraId="14AB6923" w14:textId="77777777" w:rsidR="005400BA" w:rsidRPr="00230B60" w:rsidRDefault="005400BA" w:rsidP="00BB0649">
            <w:pPr>
              <w:spacing w:after="0" w:line="240" w:lineRule="auto"/>
              <w:jc w:val="center"/>
              <w:rPr>
                <w:rFonts w:ascii="Times New Roman" w:eastAsia="Times New Roman" w:hAnsi="Times New Roman"/>
                <w:color w:val="000000"/>
                <w:lang w:eastAsia="es-ES"/>
              </w:rPr>
            </w:pPr>
            <w:r w:rsidRPr="00230B60">
              <w:rPr>
                <w:rFonts w:ascii="Times New Roman" w:eastAsia="Times New Roman" w:hAnsi="Times New Roman"/>
                <w:color w:val="000000"/>
                <w:lang w:eastAsia="es-ES"/>
              </w:rPr>
              <w:t>10</w:t>
            </w:r>
          </w:p>
        </w:tc>
        <w:tc>
          <w:tcPr>
            <w:tcW w:w="544" w:type="pct"/>
            <w:tcBorders>
              <w:top w:val="nil"/>
              <w:left w:val="nil"/>
              <w:bottom w:val="nil"/>
              <w:right w:val="nil"/>
            </w:tcBorders>
            <w:shd w:val="clear" w:color="auto" w:fill="auto"/>
            <w:vAlign w:val="center"/>
            <w:hideMark/>
          </w:tcPr>
          <w:p w14:paraId="0EED16BF" w14:textId="77777777" w:rsidR="005400BA" w:rsidRPr="00230B60" w:rsidRDefault="005400BA" w:rsidP="00BB0649">
            <w:pPr>
              <w:spacing w:after="0" w:line="240" w:lineRule="auto"/>
              <w:jc w:val="center"/>
              <w:rPr>
                <w:rFonts w:ascii="Times New Roman" w:eastAsia="Times New Roman" w:hAnsi="Times New Roman"/>
                <w:color w:val="000000"/>
                <w:lang w:eastAsia="es-ES"/>
              </w:rPr>
            </w:pPr>
            <w:r w:rsidRPr="00230B60">
              <w:rPr>
                <w:rFonts w:ascii="Times New Roman" w:eastAsia="Times New Roman" w:hAnsi="Times New Roman"/>
                <w:color w:val="000000"/>
                <w:lang w:eastAsia="es-ES"/>
              </w:rPr>
              <w:t>≤45</w:t>
            </w:r>
          </w:p>
        </w:tc>
        <w:tc>
          <w:tcPr>
            <w:tcW w:w="455" w:type="pct"/>
            <w:tcBorders>
              <w:top w:val="nil"/>
              <w:left w:val="nil"/>
              <w:bottom w:val="nil"/>
              <w:right w:val="nil"/>
            </w:tcBorders>
            <w:shd w:val="clear" w:color="auto" w:fill="auto"/>
            <w:vAlign w:val="center"/>
            <w:hideMark/>
          </w:tcPr>
          <w:p w14:paraId="388E4540" w14:textId="77777777" w:rsidR="005400BA" w:rsidRPr="00230B60" w:rsidRDefault="005400BA" w:rsidP="00BB0649">
            <w:pPr>
              <w:spacing w:after="0" w:line="240" w:lineRule="auto"/>
              <w:jc w:val="center"/>
              <w:rPr>
                <w:rFonts w:ascii="Times New Roman" w:eastAsia="Times New Roman" w:hAnsi="Times New Roman"/>
                <w:color w:val="000000"/>
                <w:lang w:eastAsia="es-ES"/>
              </w:rPr>
            </w:pPr>
            <w:r w:rsidRPr="00230B60">
              <w:rPr>
                <w:rFonts w:ascii="Times New Roman" w:eastAsia="Times New Roman" w:hAnsi="Times New Roman"/>
                <w:color w:val="000000"/>
                <w:lang w:eastAsia="es-ES"/>
              </w:rPr>
              <w:t>NA</w:t>
            </w:r>
          </w:p>
        </w:tc>
        <w:tc>
          <w:tcPr>
            <w:tcW w:w="593" w:type="pct"/>
            <w:tcBorders>
              <w:top w:val="nil"/>
              <w:left w:val="nil"/>
              <w:bottom w:val="nil"/>
              <w:right w:val="nil"/>
            </w:tcBorders>
            <w:shd w:val="clear" w:color="auto" w:fill="auto"/>
            <w:vAlign w:val="center"/>
            <w:hideMark/>
          </w:tcPr>
          <w:p w14:paraId="45037401" w14:textId="77777777" w:rsidR="005400BA" w:rsidRPr="00230B60" w:rsidRDefault="005400BA" w:rsidP="00BB0649">
            <w:pPr>
              <w:spacing w:after="0" w:line="240" w:lineRule="auto"/>
              <w:jc w:val="center"/>
              <w:rPr>
                <w:rFonts w:ascii="Times New Roman" w:eastAsia="Times New Roman" w:hAnsi="Times New Roman"/>
                <w:color w:val="000000"/>
                <w:lang w:eastAsia="es-ES"/>
              </w:rPr>
            </w:pPr>
            <w:r w:rsidRPr="00230B60">
              <w:rPr>
                <w:rFonts w:ascii="Times New Roman" w:eastAsia="Times New Roman" w:hAnsi="Times New Roman"/>
                <w:color w:val="000000"/>
                <w:lang w:eastAsia="es-ES"/>
              </w:rPr>
              <w:t>0-19.4</w:t>
            </w:r>
          </w:p>
        </w:tc>
        <w:tc>
          <w:tcPr>
            <w:tcW w:w="557" w:type="pct"/>
            <w:tcBorders>
              <w:top w:val="nil"/>
              <w:left w:val="nil"/>
              <w:bottom w:val="nil"/>
              <w:right w:val="nil"/>
            </w:tcBorders>
            <w:shd w:val="clear" w:color="auto" w:fill="auto"/>
            <w:vAlign w:val="center"/>
            <w:hideMark/>
          </w:tcPr>
          <w:p w14:paraId="30861658" w14:textId="77777777" w:rsidR="005400BA" w:rsidRPr="00230B60" w:rsidRDefault="005400BA" w:rsidP="00BB0649">
            <w:pPr>
              <w:spacing w:after="0" w:line="240" w:lineRule="auto"/>
              <w:jc w:val="center"/>
              <w:rPr>
                <w:rFonts w:ascii="Times New Roman" w:eastAsia="Times New Roman" w:hAnsi="Times New Roman"/>
                <w:color w:val="000000"/>
                <w:lang w:eastAsia="es-ES"/>
              </w:rPr>
            </w:pPr>
            <w:r w:rsidRPr="00230B60">
              <w:rPr>
                <w:rFonts w:ascii="Times New Roman" w:eastAsia="Times New Roman" w:hAnsi="Times New Roman"/>
                <w:color w:val="000000"/>
                <w:lang w:eastAsia="es-ES"/>
              </w:rPr>
              <w:t>≤7.4</w:t>
            </w:r>
          </w:p>
        </w:tc>
        <w:tc>
          <w:tcPr>
            <w:tcW w:w="496" w:type="pct"/>
            <w:tcBorders>
              <w:top w:val="nil"/>
              <w:left w:val="nil"/>
              <w:bottom w:val="nil"/>
              <w:right w:val="nil"/>
            </w:tcBorders>
            <w:shd w:val="clear" w:color="auto" w:fill="auto"/>
            <w:vAlign w:val="center"/>
            <w:hideMark/>
          </w:tcPr>
          <w:p w14:paraId="2313E87D" w14:textId="77777777" w:rsidR="005400BA" w:rsidRPr="00230B60" w:rsidRDefault="005400BA" w:rsidP="00BB0649">
            <w:pPr>
              <w:spacing w:after="0" w:line="240" w:lineRule="auto"/>
              <w:jc w:val="center"/>
              <w:rPr>
                <w:rFonts w:ascii="Times New Roman" w:eastAsia="Times New Roman" w:hAnsi="Times New Roman"/>
                <w:color w:val="000000"/>
                <w:lang w:eastAsia="es-ES"/>
              </w:rPr>
            </w:pPr>
            <w:r w:rsidRPr="00230B60">
              <w:rPr>
                <w:rFonts w:ascii="Times New Roman" w:eastAsia="Times New Roman" w:hAnsi="Times New Roman"/>
                <w:color w:val="000000"/>
                <w:lang w:eastAsia="es-ES"/>
              </w:rPr>
              <w:t>0-2.2</w:t>
            </w:r>
          </w:p>
        </w:tc>
        <w:tc>
          <w:tcPr>
            <w:tcW w:w="496" w:type="pct"/>
            <w:tcBorders>
              <w:top w:val="nil"/>
              <w:left w:val="nil"/>
              <w:bottom w:val="nil"/>
              <w:right w:val="nil"/>
            </w:tcBorders>
            <w:shd w:val="clear" w:color="auto" w:fill="auto"/>
            <w:vAlign w:val="center"/>
            <w:hideMark/>
          </w:tcPr>
          <w:p w14:paraId="4DCAD7EE" w14:textId="77777777" w:rsidR="005400BA" w:rsidRPr="00230B60" w:rsidRDefault="005400BA" w:rsidP="00BB0649">
            <w:pPr>
              <w:spacing w:after="0" w:line="240" w:lineRule="auto"/>
              <w:jc w:val="center"/>
              <w:rPr>
                <w:rFonts w:ascii="Times New Roman" w:eastAsia="Times New Roman" w:hAnsi="Times New Roman"/>
                <w:color w:val="000000"/>
                <w:lang w:eastAsia="es-ES"/>
              </w:rPr>
            </w:pPr>
            <w:r w:rsidRPr="00230B60">
              <w:rPr>
                <w:rFonts w:ascii="Times New Roman" w:eastAsia="Times New Roman" w:hAnsi="Times New Roman"/>
                <w:color w:val="000000"/>
                <w:lang w:eastAsia="es-ES"/>
              </w:rPr>
              <w:t>0-2.9</w:t>
            </w:r>
          </w:p>
        </w:tc>
        <w:tc>
          <w:tcPr>
            <w:tcW w:w="79" w:type="pct"/>
            <w:tcBorders>
              <w:top w:val="nil"/>
              <w:left w:val="nil"/>
              <w:bottom w:val="nil"/>
              <w:right w:val="nil"/>
            </w:tcBorders>
          </w:tcPr>
          <w:p w14:paraId="79CA9B1A" w14:textId="77777777" w:rsidR="005400BA" w:rsidRPr="00230B60" w:rsidRDefault="005400BA" w:rsidP="00BB0649">
            <w:pPr>
              <w:spacing w:after="0" w:line="240" w:lineRule="auto"/>
              <w:jc w:val="center"/>
              <w:rPr>
                <w:rFonts w:ascii="Times New Roman" w:eastAsia="Times New Roman" w:hAnsi="Times New Roman"/>
                <w:color w:val="000000"/>
                <w:lang w:eastAsia="es-ES"/>
              </w:rPr>
            </w:pPr>
          </w:p>
        </w:tc>
        <w:tc>
          <w:tcPr>
            <w:tcW w:w="296" w:type="pct"/>
            <w:tcBorders>
              <w:top w:val="nil"/>
              <w:left w:val="nil"/>
              <w:bottom w:val="nil"/>
              <w:right w:val="nil"/>
            </w:tcBorders>
            <w:shd w:val="clear" w:color="auto" w:fill="auto"/>
            <w:vAlign w:val="center"/>
            <w:hideMark/>
          </w:tcPr>
          <w:p w14:paraId="6CAD25E2" w14:textId="77777777" w:rsidR="005400BA" w:rsidRPr="00230B60" w:rsidRDefault="005400BA" w:rsidP="00BB0649">
            <w:pPr>
              <w:spacing w:after="0" w:line="240" w:lineRule="auto"/>
              <w:jc w:val="center"/>
              <w:rPr>
                <w:rFonts w:ascii="Times New Roman" w:eastAsia="Times New Roman" w:hAnsi="Times New Roman"/>
                <w:color w:val="000000"/>
                <w:lang w:eastAsia="es-ES"/>
              </w:rPr>
            </w:pPr>
          </w:p>
        </w:tc>
        <w:tc>
          <w:tcPr>
            <w:tcW w:w="741" w:type="pct"/>
            <w:tcBorders>
              <w:top w:val="nil"/>
              <w:left w:val="nil"/>
              <w:bottom w:val="nil"/>
              <w:right w:val="nil"/>
            </w:tcBorders>
            <w:shd w:val="clear" w:color="auto" w:fill="auto"/>
            <w:vAlign w:val="center"/>
            <w:hideMark/>
          </w:tcPr>
          <w:p w14:paraId="49934F9A" w14:textId="77777777" w:rsidR="005400BA" w:rsidRPr="00230B60" w:rsidRDefault="005400BA" w:rsidP="00BB0649">
            <w:pPr>
              <w:spacing w:after="0" w:line="240" w:lineRule="auto"/>
              <w:rPr>
                <w:rFonts w:ascii="Times New Roman" w:eastAsia="Times New Roman" w:hAnsi="Times New Roman"/>
                <w:lang w:eastAsia="es-ES"/>
              </w:rPr>
            </w:pPr>
          </w:p>
        </w:tc>
        <w:tc>
          <w:tcPr>
            <w:tcW w:w="447" w:type="pct"/>
            <w:tcBorders>
              <w:top w:val="nil"/>
              <w:left w:val="nil"/>
              <w:bottom w:val="nil"/>
              <w:right w:val="nil"/>
            </w:tcBorders>
            <w:shd w:val="clear" w:color="auto" w:fill="auto"/>
            <w:noWrap/>
            <w:vAlign w:val="bottom"/>
            <w:hideMark/>
          </w:tcPr>
          <w:p w14:paraId="3361B491" w14:textId="77777777" w:rsidR="005400BA" w:rsidRPr="00230B60" w:rsidRDefault="005400BA" w:rsidP="00BB0649">
            <w:pPr>
              <w:spacing w:after="0" w:line="240" w:lineRule="auto"/>
              <w:rPr>
                <w:rFonts w:ascii="Times New Roman" w:eastAsia="Times New Roman" w:hAnsi="Times New Roman"/>
                <w:lang w:eastAsia="es-ES"/>
              </w:rPr>
            </w:pPr>
          </w:p>
        </w:tc>
      </w:tr>
    </w:tbl>
    <w:p w14:paraId="3EABF1A5" w14:textId="45720DAD" w:rsidR="002D71BC" w:rsidRPr="00857F85" w:rsidRDefault="002D71BC" w:rsidP="002D71BC">
      <w:pPr>
        <w:spacing w:line="240" w:lineRule="auto"/>
        <w:jc w:val="both"/>
        <w:rPr>
          <w:rFonts w:ascii="Times New Roman" w:hAnsi="Times New Roman"/>
          <w:sz w:val="20"/>
          <w:szCs w:val="20"/>
          <w:lang w:val="en-GB"/>
        </w:rPr>
      </w:pPr>
    </w:p>
    <w:p w14:paraId="6562262D" w14:textId="77777777" w:rsidR="002D71BC" w:rsidRPr="00857F85" w:rsidRDefault="002D71BC" w:rsidP="002D71BC">
      <w:pPr>
        <w:spacing w:before="25" w:line="240" w:lineRule="auto"/>
        <w:ind w:left="150"/>
        <w:jc w:val="both"/>
        <w:rPr>
          <w:rFonts w:ascii="Times New Roman" w:hAnsi="Times New Roman"/>
          <w:sz w:val="20"/>
          <w:szCs w:val="20"/>
          <w:lang w:val="en-GB"/>
        </w:rPr>
      </w:pPr>
      <w:r w:rsidRPr="00857F85">
        <w:rPr>
          <w:rFonts w:ascii="Times New Roman" w:hAnsi="Times New Roman"/>
          <w:sz w:val="20"/>
          <w:szCs w:val="20"/>
          <w:lang w:val="en-GB"/>
        </w:rPr>
        <w:t>BMI: Body Mass Index. P</w:t>
      </w:r>
      <w:r w:rsidRPr="00857F85">
        <w:rPr>
          <w:rFonts w:ascii="Times New Roman" w:hAnsi="Times New Roman"/>
          <w:w w:val="110"/>
          <w:sz w:val="20"/>
          <w:szCs w:val="20"/>
          <w:lang w:val="en-GB"/>
        </w:rPr>
        <w:t>ASE: Physical Activity Scale for the</w:t>
      </w:r>
      <w:r w:rsidRPr="00857F85">
        <w:rPr>
          <w:rFonts w:ascii="Times New Roman" w:hAnsi="Times New Roman"/>
          <w:spacing w:val="29"/>
          <w:w w:val="110"/>
          <w:sz w:val="20"/>
          <w:szCs w:val="20"/>
          <w:lang w:val="en-GB"/>
        </w:rPr>
        <w:t xml:space="preserve"> </w:t>
      </w:r>
      <w:r w:rsidRPr="00857F85">
        <w:rPr>
          <w:rFonts w:ascii="Times New Roman" w:hAnsi="Times New Roman"/>
          <w:w w:val="110"/>
          <w:sz w:val="20"/>
          <w:szCs w:val="20"/>
          <w:lang w:val="en-GB"/>
        </w:rPr>
        <w:t>Elderly.</w:t>
      </w:r>
    </w:p>
    <w:p w14:paraId="015F6C7C" w14:textId="77777777" w:rsidR="002D71BC" w:rsidRPr="00857F85" w:rsidRDefault="002D71BC" w:rsidP="002D71BC">
      <w:pPr>
        <w:spacing w:before="15" w:line="240" w:lineRule="auto"/>
        <w:ind w:left="150"/>
        <w:jc w:val="both"/>
        <w:rPr>
          <w:rFonts w:ascii="Times New Roman" w:hAnsi="Times New Roman"/>
          <w:sz w:val="20"/>
          <w:szCs w:val="20"/>
          <w:lang w:val="en-GB"/>
        </w:rPr>
      </w:pPr>
      <w:r w:rsidRPr="00857F85">
        <w:rPr>
          <w:rFonts w:ascii="Times New Roman" w:hAnsi="Times New Roman"/>
          <w:w w:val="115"/>
          <w:sz w:val="20"/>
          <w:szCs w:val="20"/>
          <w:lang w:val="en-GB"/>
        </w:rPr>
        <w:t>FTS</w:t>
      </w:r>
      <w:r w:rsidRPr="00857F85">
        <w:rPr>
          <w:rFonts w:ascii="Times New Roman" w:hAnsi="Times New Roman"/>
          <w:w w:val="115"/>
          <w:sz w:val="20"/>
          <w:szCs w:val="20"/>
          <w:vertAlign w:val="subscript"/>
          <w:lang w:val="en-GB"/>
        </w:rPr>
        <w:t>5</w:t>
      </w:r>
      <w:r w:rsidRPr="00857F85">
        <w:rPr>
          <w:rFonts w:ascii="Times New Roman" w:hAnsi="Times New Roman"/>
          <w:spacing w:val="-3"/>
          <w:w w:val="115"/>
          <w:sz w:val="20"/>
          <w:szCs w:val="20"/>
          <w:lang w:val="en-GB"/>
        </w:rPr>
        <w:t xml:space="preserve"> </w:t>
      </w:r>
      <w:r w:rsidRPr="00857F85">
        <w:rPr>
          <w:rFonts w:ascii="Times New Roman" w:hAnsi="Times New Roman"/>
          <w:w w:val="115"/>
          <w:sz w:val="20"/>
          <w:szCs w:val="20"/>
          <w:lang w:val="en-GB"/>
        </w:rPr>
        <w:t>includes</w:t>
      </w:r>
      <w:r w:rsidRPr="00857F85">
        <w:rPr>
          <w:rFonts w:ascii="Times New Roman" w:hAnsi="Times New Roman"/>
          <w:spacing w:val="-3"/>
          <w:w w:val="115"/>
          <w:sz w:val="20"/>
          <w:szCs w:val="20"/>
          <w:lang w:val="en-GB"/>
        </w:rPr>
        <w:t xml:space="preserve"> </w:t>
      </w:r>
      <w:r w:rsidRPr="00857F85">
        <w:rPr>
          <w:rFonts w:ascii="Times New Roman" w:hAnsi="Times New Roman"/>
          <w:w w:val="115"/>
          <w:sz w:val="20"/>
          <w:szCs w:val="20"/>
          <w:lang w:val="en-GB"/>
        </w:rPr>
        <w:t>all</w:t>
      </w:r>
      <w:r w:rsidRPr="00857F85">
        <w:rPr>
          <w:rFonts w:ascii="Times New Roman" w:hAnsi="Times New Roman"/>
          <w:spacing w:val="-3"/>
          <w:w w:val="115"/>
          <w:sz w:val="20"/>
          <w:szCs w:val="20"/>
          <w:lang w:val="en-GB"/>
        </w:rPr>
        <w:t xml:space="preserve"> </w:t>
      </w:r>
      <w:r w:rsidRPr="00857F85">
        <w:rPr>
          <w:rFonts w:ascii="Times New Roman" w:hAnsi="Times New Roman"/>
          <w:w w:val="115"/>
          <w:sz w:val="20"/>
          <w:szCs w:val="20"/>
          <w:lang w:val="en-GB"/>
        </w:rPr>
        <w:t>the</w:t>
      </w:r>
      <w:r w:rsidRPr="00857F85">
        <w:rPr>
          <w:rFonts w:ascii="Times New Roman" w:hAnsi="Times New Roman"/>
          <w:spacing w:val="-3"/>
          <w:w w:val="115"/>
          <w:sz w:val="20"/>
          <w:szCs w:val="20"/>
          <w:lang w:val="en-GB"/>
        </w:rPr>
        <w:t xml:space="preserve"> </w:t>
      </w:r>
      <w:r w:rsidRPr="00857F85">
        <w:rPr>
          <w:rFonts w:ascii="Times New Roman" w:hAnsi="Times New Roman"/>
          <w:w w:val="115"/>
          <w:sz w:val="20"/>
          <w:szCs w:val="20"/>
          <w:lang w:val="en-GB"/>
        </w:rPr>
        <w:t>items</w:t>
      </w:r>
      <w:r w:rsidRPr="00857F85">
        <w:rPr>
          <w:rFonts w:ascii="Times New Roman" w:hAnsi="Times New Roman"/>
          <w:spacing w:val="-2"/>
          <w:w w:val="115"/>
          <w:sz w:val="20"/>
          <w:szCs w:val="20"/>
          <w:lang w:val="en-GB"/>
        </w:rPr>
        <w:t xml:space="preserve"> </w:t>
      </w:r>
      <w:r w:rsidRPr="00857F85">
        <w:rPr>
          <w:rFonts w:ascii="Times New Roman" w:hAnsi="Times New Roman"/>
          <w:w w:val="115"/>
          <w:sz w:val="20"/>
          <w:szCs w:val="20"/>
          <w:lang w:val="en-GB"/>
        </w:rPr>
        <w:t>of</w:t>
      </w:r>
      <w:r w:rsidRPr="00857F85">
        <w:rPr>
          <w:rFonts w:ascii="Times New Roman" w:hAnsi="Times New Roman"/>
          <w:spacing w:val="-4"/>
          <w:w w:val="115"/>
          <w:sz w:val="20"/>
          <w:szCs w:val="20"/>
          <w:lang w:val="en-GB"/>
        </w:rPr>
        <w:t xml:space="preserve"> </w:t>
      </w:r>
      <w:r w:rsidRPr="00857F85">
        <w:rPr>
          <w:rFonts w:ascii="Times New Roman" w:hAnsi="Times New Roman"/>
          <w:w w:val="115"/>
          <w:sz w:val="20"/>
          <w:szCs w:val="20"/>
          <w:lang w:val="en-GB"/>
        </w:rPr>
        <w:t>the</w:t>
      </w:r>
      <w:r w:rsidRPr="00857F85">
        <w:rPr>
          <w:rFonts w:ascii="Times New Roman" w:hAnsi="Times New Roman"/>
          <w:spacing w:val="-3"/>
          <w:w w:val="115"/>
          <w:sz w:val="20"/>
          <w:szCs w:val="20"/>
          <w:lang w:val="en-GB"/>
        </w:rPr>
        <w:t xml:space="preserve"> </w:t>
      </w:r>
      <w:r w:rsidRPr="00857F85">
        <w:rPr>
          <w:rFonts w:ascii="Times New Roman" w:hAnsi="Times New Roman"/>
          <w:w w:val="115"/>
          <w:sz w:val="20"/>
          <w:szCs w:val="20"/>
          <w:lang w:val="en-GB"/>
        </w:rPr>
        <w:t>table</w:t>
      </w:r>
      <w:r w:rsidRPr="00857F85">
        <w:rPr>
          <w:rFonts w:ascii="Times New Roman" w:hAnsi="Times New Roman"/>
          <w:spacing w:val="-2"/>
          <w:w w:val="115"/>
          <w:sz w:val="20"/>
          <w:szCs w:val="20"/>
          <w:lang w:val="en-GB"/>
        </w:rPr>
        <w:t xml:space="preserve"> </w:t>
      </w:r>
      <w:r w:rsidRPr="00857F85">
        <w:rPr>
          <w:rFonts w:ascii="Times New Roman" w:hAnsi="Times New Roman"/>
          <w:w w:val="115"/>
          <w:sz w:val="20"/>
          <w:szCs w:val="20"/>
          <w:lang w:val="en-GB"/>
        </w:rPr>
        <w:t>(range</w:t>
      </w:r>
      <w:r w:rsidRPr="00857F85">
        <w:rPr>
          <w:rFonts w:ascii="Times New Roman" w:hAnsi="Times New Roman"/>
          <w:spacing w:val="-4"/>
          <w:w w:val="115"/>
          <w:sz w:val="20"/>
          <w:szCs w:val="20"/>
          <w:lang w:val="en-GB"/>
        </w:rPr>
        <w:t xml:space="preserve"> </w:t>
      </w:r>
      <w:r w:rsidRPr="00857F85">
        <w:rPr>
          <w:rFonts w:ascii="Times New Roman" w:hAnsi="Times New Roman"/>
          <w:w w:val="115"/>
          <w:sz w:val="20"/>
          <w:szCs w:val="20"/>
          <w:lang w:val="en-GB"/>
        </w:rPr>
        <w:t>0-50),</w:t>
      </w:r>
      <w:r w:rsidRPr="00857F85">
        <w:rPr>
          <w:rFonts w:ascii="Times New Roman" w:hAnsi="Times New Roman"/>
          <w:spacing w:val="-3"/>
          <w:w w:val="115"/>
          <w:sz w:val="20"/>
          <w:szCs w:val="20"/>
          <w:lang w:val="en-GB"/>
        </w:rPr>
        <w:t xml:space="preserve"> </w:t>
      </w:r>
      <w:r w:rsidRPr="00857F85">
        <w:rPr>
          <w:rFonts w:ascii="Times New Roman" w:hAnsi="Times New Roman"/>
          <w:w w:val="115"/>
          <w:sz w:val="20"/>
          <w:szCs w:val="20"/>
          <w:lang w:val="en-GB"/>
        </w:rPr>
        <w:t>and</w:t>
      </w:r>
      <w:r w:rsidRPr="00857F85">
        <w:rPr>
          <w:rFonts w:ascii="Times New Roman" w:hAnsi="Times New Roman"/>
          <w:spacing w:val="-4"/>
          <w:w w:val="115"/>
          <w:sz w:val="20"/>
          <w:szCs w:val="20"/>
          <w:lang w:val="en-GB"/>
        </w:rPr>
        <w:t xml:space="preserve"> </w:t>
      </w:r>
      <w:r w:rsidRPr="00857F85">
        <w:rPr>
          <w:rFonts w:ascii="Times New Roman" w:hAnsi="Times New Roman"/>
          <w:w w:val="115"/>
          <w:sz w:val="20"/>
          <w:szCs w:val="20"/>
          <w:lang w:val="en-GB"/>
        </w:rPr>
        <w:t>frail</w:t>
      </w:r>
      <w:r w:rsidRPr="00857F85">
        <w:rPr>
          <w:rFonts w:ascii="Times New Roman" w:hAnsi="Times New Roman"/>
          <w:spacing w:val="-2"/>
          <w:w w:val="115"/>
          <w:sz w:val="20"/>
          <w:szCs w:val="20"/>
          <w:lang w:val="en-GB"/>
        </w:rPr>
        <w:t xml:space="preserve"> </w:t>
      </w:r>
      <w:r w:rsidRPr="00857F85">
        <w:rPr>
          <w:rFonts w:ascii="Times New Roman" w:hAnsi="Times New Roman"/>
          <w:w w:val="115"/>
          <w:sz w:val="20"/>
          <w:szCs w:val="20"/>
          <w:lang w:val="en-GB"/>
        </w:rPr>
        <w:t>participants</w:t>
      </w:r>
      <w:r w:rsidRPr="00857F85">
        <w:rPr>
          <w:rFonts w:ascii="Times New Roman" w:hAnsi="Times New Roman"/>
          <w:spacing w:val="-2"/>
          <w:w w:val="115"/>
          <w:sz w:val="20"/>
          <w:szCs w:val="20"/>
          <w:lang w:val="en-GB"/>
        </w:rPr>
        <w:t xml:space="preserve"> </w:t>
      </w:r>
      <w:r w:rsidRPr="00857F85">
        <w:rPr>
          <w:rFonts w:ascii="Times New Roman" w:hAnsi="Times New Roman"/>
          <w:w w:val="115"/>
          <w:sz w:val="20"/>
          <w:szCs w:val="20"/>
          <w:lang w:val="en-GB"/>
        </w:rPr>
        <w:t>are</w:t>
      </w:r>
      <w:r w:rsidRPr="00857F85">
        <w:rPr>
          <w:rFonts w:ascii="Times New Roman" w:hAnsi="Times New Roman"/>
          <w:spacing w:val="-3"/>
          <w:w w:val="115"/>
          <w:sz w:val="20"/>
          <w:szCs w:val="20"/>
          <w:lang w:val="en-GB"/>
        </w:rPr>
        <w:t xml:space="preserve"> </w:t>
      </w:r>
      <w:r w:rsidRPr="00857F85">
        <w:rPr>
          <w:rFonts w:ascii="Times New Roman" w:hAnsi="Times New Roman"/>
          <w:w w:val="115"/>
          <w:sz w:val="20"/>
          <w:szCs w:val="20"/>
          <w:lang w:val="en-GB"/>
        </w:rPr>
        <w:t>those</w:t>
      </w:r>
      <w:r w:rsidRPr="00857F85">
        <w:rPr>
          <w:rFonts w:ascii="Times New Roman" w:hAnsi="Times New Roman"/>
          <w:spacing w:val="-3"/>
          <w:w w:val="115"/>
          <w:sz w:val="20"/>
          <w:szCs w:val="20"/>
          <w:lang w:val="en-GB"/>
        </w:rPr>
        <w:t xml:space="preserve"> </w:t>
      </w:r>
      <w:r w:rsidRPr="00857F85">
        <w:rPr>
          <w:rFonts w:ascii="Times New Roman" w:hAnsi="Times New Roman"/>
          <w:w w:val="115"/>
          <w:sz w:val="20"/>
          <w:szCs w:val="20"/>
          <w:lang w:val="en-GB"/>
        </w:rPr>
        <w:t>with</w:t>
      </w:r>
      <w:r w:rsidRPr="00857F85">
        <w:rPr>
          <w:rFonts w:ascii="Times New Roman" w:hAnsi="Times New Roman"/>
          <w:spacing w:val="-2"/>
          <w:w w:val="115"/>
          <w:sz w:val="20"/>
          <w:szCs w:val="20"/>
          <w:lang w:val="en-GB"/>
        </w:rPr>
        <w:t xml:space="preserve"> </w:t>
      </w:r>
      <w:r w:rsidRPr="00857F85">
        <w:rPr>
          <w:rFonts w:ascii="Times New Roman" w:hAnsi="Times New Roman"/>
          <w:w w:val="115"/>
          <w:sz w:val="20"/>
          <w:szCs w:val="20"/>
          <w:lang w:val="en-GB"/>
        </w:rPr>
        <w:t>FTS</w:t>
      </w:r>
      <w:r w:rsidRPr="00857F85">
        <w:rPr>
          <w:rFonts w:ascii="Times New Roman" w:hAnsi="Times New Roman"/>
          <w:w w:val="115"/>
          <w:sz w:val="20"/>
          <w:szCs w:val="20"/>
          <w:vertAlign w:val="subscript"/>
          <w:lang w:val="en-GB"/>
        </w:rPr>
        <w:t>5</w:t>
      </w:r>
      <w:r w:rsidRPr="00857F85">
        <w:rPr>
          <w:rFonts w:ascii="Times New Roman" w:hAnsi="Times New Roman"/>
          <w:spacing w:val="-2"/>
          <w:w w:val="115"/>
          <w:sz w:val="20"/>
          <w:szCs w:val="20"/>
          <w:lang w:val="en-GB"/>
        </w:rPr>
        <w:t xml:space="preserve"> </w:t>
      </w:r>
      <w:r w:rsidRPr="00857F85">
        <w:rPr>
          <w:rFonts w:ascii="Times New Roman" w:hAnsi="Times New Roman"/>
          <w:w w:val="115"/>
          <w:sz w:val="20"/>
          <w:szCs w:val="20"/>
          <w:lang w:val="en-GB"/>
        </w:rPr>
        <w:t>scores</w:t>
      </w:r>
      <w:r w:rsidRPr="00857F85">
        <w:rPr>
          <w:rFonts w:ascii="Times New Roman" w:hAnsi="Times New Roman"/>
          <w:spacing w:val="-3"/>
          <w:w w:val="115"/>
          <w:sz w:val="20"/>
          <w:szCs w:val="20"/>
          <w:lang w:val="en-GB"/>
        </w:rPr>
        <w:t xml:space="preserve"> </w:t>
      </w:r>
      <w:r w:rsidRPr="00857F85">
        <w:rPr>
          <w:rFonts w:ascii="Times New Roman" w:hAnsi="Times New Roman"/>
          <w:w w:val="115"/>
          <w:sz w:val="20"/>
          <w:szCs w:val="20"/>
          <w:lang w:val="en-GB"/>
        </w:rPr>
        <w:t>&gt;25.</w:t>
      </w:r>
      <w:r w:rsidRPr="00857F85">
        <w:rPr>
          <w:rFonts w:ascii="Times New Roman" w:hAnsi="Times New Roman"/>
          <w:spacing w:val="-4"/>
          <w:w w:val="115"/>
          <w:sz w:val="20"/>
          <w:szCs w:val="20"/>
          <w:lang w:val="en-GB"/>
        </w:rPr>
        <w:t xml:space="preserve"> </w:t>
      </w:r>
    </w:p>
    <w:p w14:paraId="44D1863F" w14:textId="77777777" w:rsidR="002D71BC" w:rsidRPr="00857F85" w:rsidRDefault="002D71BC" w:rsidP="002D71BC">
      <w:pPr>
        <w:spacing w:before="7" w:line="240" w:lineRule="auto"/>
        <w:ind w:left="333"/>
        <w:jc w:val="both"/>
        <w:rPr>
          <w:rFonts w:ascii="Times New Roman" w:hAnsi="Times New Roman"/>
          <w:sz w:val="20"/>
          <w:szCs w:val="20"/>
          <w:lang w:val="en-GB"/>
        </w:rPr>
      </w:pPr>
      <w:r w:rsidRPr="00857F85">
        <w:rPr>
          <w:rFonts w:ascii="Times New Roman" w:hAnsi="Times New Roman"/>
          <w:w w:val="115"/>
          <w:sz w:val="20"/>
          <w:szCs w:val="20"/>
          <w:vertAlign w:val="superscript"/>
          <w:lang w:val="en-GB"/>
        </w:rPr>
        <w:t>a</w:t>
      </w:r>
      <w:r w:rsidRPr="00857F85">
        <w:rPr>
          <w:rFonts w:ascii="Times New Roman" w:hAnsi="Times New Roman"/>
          <w:w w:val="115"/>
          <w:sz w:val="20"/>
          <w:szCs w:val="20"/>
          <w:lang w:val="en-GB"/>
        </w:rPr>
        <w:t>: Gait speed refers to time in accomplish 3-metres at usual pace in seconds.</w:t>
      </w:r>
    </w:p>
    <w:p w14:paraId="05E57735" w14:textId="77777777" w:rsidR="0040420E" w:rsidRPr="002D5F96" w:rsidRDefault="002D71BC" w:rsidP="0040420E">
      <w:pPr>
        <w:spacing w:line="240" w:lineRule="auto"/>
        <w:jc w:val="both"/>
        <w:rPr>
          <w:rFonts w:ascii="Times New Roman" w:hAnsi="Times New Roman"/>
          <w:sz w:val="20"/>
          <w:szCs w:val="20"/>
          <w:u w:val="single"/>
          <w:lang w:val="en-GB"/>
        </w:rPr>
      </w:pPr>
      <w:r w:rsidRPr="00857F85">
        <w:rPr>
          <w:rFonts w:ascii="Times New Roman" w:hAnsi="Times New Roman"/>
          <w:w w:val="110"/>
          <w:sz w:val="20"/>
          <w:szCs w:val="20"/>
          <w:vertAlign w:val="superscript"/>
          <w:lang w:val="en-GB"/>
        </w:rPr>
        <w:t>b</w:t>
      </w:r>
      <w:r w:rsidRPr="00857F85">
        <w:rPr>
          <w:rFonts w:ascii="Times New Roman" w:hAnsi="Times New Roman"/>
          <w:w w:val="110"/>
          <w:sz w:val="20"/>
          <w:szCs w:val="20"/>
          <w:lang w:val="en-GB"/>
        </w:rPr>
        <w:t>: Model estimation.</w:t>
      </w:r>
      <w:r w:rsidR="00F83932">
        <w:rPr>
          <w:rFonts w:ascii="Times New Roman" w:hAnsi="Times New Roman"/>
          <w:w w:val="110"/>
          <w:sz w:val="20"/>
          <w:szCs w:val="20"/>
          <w:lang w:val="en-GB"/>
        </w:rPr>
        <w:br w:type="page"/>
      </w:r>
      <w:r w:rsidR="0040420E" w:rsidRPr="002D5F96">
        <w:rPr>
          <w:rFonts w:ascii="Times New Roman" w:hAnsi="Times New Roman"/>
          <w:sz w:val="20"/>
          <w:szCs w:val="20"/>
          <w:u w:val="single"/>
          <w:lang w:val="en-GB"/>
        </w:rPr>
        <w:lastRenderedPageBreak/>
        <w:t xml:space="preserve">Table </w:t>
      </w:r>
      <w:r w:rsidR="0040420E">
        <w:rPr>
          <w:rFonts w:ascii="Times New Roman" w:hAnsi="Times New Roman"/>
          <w:sz w:val="20"/>
          <w:szCs w:val="20"/>
          <w:u w:val="single"/>
          <w:lang w:val="en-GB"/>
        </w:rPr>
        <w:t>S3</w:t>
      </w:r>
      <w:r w:rsidR="0040420E" w:rsidRPr="002D5F96">
        <w:rPr>
          <w:rFonts w:ascii="Times New Roman" w:hAnsi="Times New Roman"/>
          <w:sz w:val="20"/>
          <w:szCs w:val="20"/>
          <w:u w:val="single"/>
          <w:lang w:val="en-GB"/>
        </w:rPr>
        <w:t>. Results on the association between the interaction term between frailty and sarcopenia and the hospitalization-related outcomes, both at the cross-sectional level and at-follow up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1"/>
        <w:gridCol w:w="1575"/>
        <w:gridCol w:w="1574"/>
        <w:gridCol w:w="1565"/>
        <w:gridCol w:w="1569"/>
      </w:tblGrid>
      <w:tr w:rsidR="0040420E" w:rsidRPr="002D5F96" w14:paraId="120C19FF" w14:textId="77777777" w:rsidTr="00137ECF">
        <w:trPr>
          <w:tblHeader/>
        </w:trPr>
        <w:tc>
          <w:tcPr>
            <w:tcW w:w="2211" w:type="dxa"/>
            <w:shd w:val="clear" w:color="auto" w:fill="auto"/>
          </w:tcPr>
          <w:p w14:paraId="4F1AEE6A" w14:textId="77777777" w:rsidR="0040420E" w:rsidRPr="002D5F96" w:rsidRDefault="0040420E" w:rsidP="00137ECF">
            <w:pPr>
              <w:spacing w:after="0" w:line="240" w:lineRule="auto"/>
              <w:jc w:val="center"/>
              <w:rPr>
                <w:rFonts w:ascii="Times New Roman" w:hAnsi="Times New Roman"/>
                <w:b/>
                <w:bCs/>
                <w:sz w:val="20"/>
                <w:szCs w:val="20"/>
                <w:lang w:val="en-GB"/>
              </w:rPr>
            </w:pPr>
          </w:p>
        </w:tc>
        <w:tc>
          <w:tcPr>
            <w:tcW w:w="3149" w:type="dxa"/>
            <w:gridSpan w:val="2"/>
            <w:shd w:val="clear" w:color="auto" w:fill="auto"/>
          </w:tcPr>
          <w:p w14:paraId="57394142" w14:textId="77777777" w:rsidR="0040420E" w:rsidRPr="002D5F96" w:rsidRDefault="0040420E" w:rsidP="00137ECF">
            <w:pPr>
              <w:spacing w:after="0" w:line="240" w:lineRule="auto"/>
              <w:jc w:val="center"/>
              <w:rPr>
                <w:rFonts w:ascii="Times New Roman" w:hAnsi="Times New Roman"/>
                <w:b/>
                <w:bCs/>
                <w:sz w:val="20"/>
                <w:szCs w:val="20"/>
                <w:lang w:val="en-GB"/>
              </w:rPr>
            </w:pPr>
            <w:r w:rsidRPr="002D5F96">
              <w:rPr>
                <w:rFonts w:ascii="Times New Roman" w:hAnsi="Times New Roman"/>
                <w:b/>
                <w:bCs/>
                <w:sz w:val="20"/>
                <w:szCs w:val="20"/>
                <w:lang w:val="en-GB"/>
              </w:rPr>
              <w:t>Cross-sectional analysis</w:t>
            </w:r>
          </w:p>
        </w:tc>
        <w:tc>
          <w:tcPr>
            <w:tcW w:w="3134" w:type="dxa"/>
            <w:gridSpan w:val="2"/>
            <w:shd w:val="clear" w:color="auto" w:fill="auto"/>
          </w:tcPr>
          <w:p w14:paraId="4A895845" w14:textId="77777777" w:rsidR="0040420E" w:rsidRPr="002D5F96" w:rsidRDefault="0040420E" w:rsidP="00137ECF">
            <w:pPr>
              <w:spacing w:after="0" w:line="240" w:lineRule="auto"/>
              <w:jc w:val="center"/>
              <w:rPr>
                <w:rFonts w:ascii="Times New Roman" w:hAnsi="Times New Roman"/>
                <w:b/>
                <w:bCs/>
                <w:sz w:val="20"/>
                <w:szCs w:val="20"/>
                <w:lang w:val="en-GB"/>
              </w:rPr>
            </w:pPr>
            <w:r w:rsidRPr="002D5F96">
              <w:rPr>
                <w:rFonts w:ascii="Times New Roman" w:hAnsi="Times New Roman"/>
                <w:b/>
                <w:bCs/>
                <w:sz w:val="20"/>
                <w:szCs w:val="20"/>
                <w:lang w:val="en-GB"/>
              </w:rPr>
              <w:t>At follow-up</w:t>
            </w:r>
          </w:p>
        </w:tc>
      </w:tr>
      <w:tr w:rsidR="0040420E" w:rsidRPr="00F358E1" w14:paraId="4A3EC892" w14:textId="77777777" w:rsidTr="00137ECF">
        <w:trPr>
          <w:tblHeader/>
        </w:trPr>
        <w:tc>
          <w:tcPr>
            <w:tcW w:w="2211" w:type="dxa"/>
            <w:tcBorders>
              <w:bottom w:val="single" w:sz="4" w:space="0" w:color="auto"/>
            </w:tcBorders>
            <w:shd w:val="clear" w:color="auto" w:fill="auto"/>
          </w:tcPr>
          <w:p w14:paraId="754E17B0" w14:textId="77777777" w:rsidR="0040420E" w:rsidRPr="00242EF1" w:rsidRDefault="0040420E" w:rsidP="00137ECF">
            <w:pPr>
              <w:spacing w:after="0" w:line="240" w:lineRule="auto"/>
              <w:jc w:val="center"/>
              <w:rPr>
                <w:rFonts w:ascii="Times New Roman" w:hAnsi="Times New Roman"/>
                <w:sz w:val="20"/>
                <w:szCs w:val="20"/>
                <w:lang w:val="en-GB"/>
              </w:rPr>
            </w:pPr>
          </w:p>
        </w:tc>
        <w:tc>
          <w:tcPr>
            <w:tcW w:w="1575" w:type="dxa"/>
            <w:tcBorders>
              <w:bottom w:val="single" w:sz="4" w:space="0" w:color="auto"/>
            </w:tcBorders>
            <w:shd w:val="clear" w:color="auto" w:fill="auto"/>
          </w:tcPr>
          <w:p w14:paraId="4FEFA2CA" w14:textId="77777777" w:rsidR="0040420E" w:rsidRPr="00242EF1" w:rsidRDefault="0040420E" w:rsidP="00137ECF">
            <w:pPr>
              <w:spacing w:after="0" w:line="240" w:lineRule="auto"/>
              <w:jc w:val="center"/>
              <w:rPr>
                <w:rFonts w:ascii="Times New Roman" w:hAnsi="Times New Roman"/>
                <w:sz w:val="20"/>
                <w:szCs w:val="20"/>
                <w:lang w:val="en-GB"/>
              </w:rPr>
            </w:pPr>
            <w:r w:rsidRPr="00242EF1">
              <w:rPr>
                <w:rFonts w:ascii="Times New Roman" w:hAnsi="Times New Roman"/>
                <w:sz w:val="20"/>
                <w:szCs w:val="20"/>
                <w:lang w:val="en-GB"/>
              </w:rPr>
              <w:t>Frailty measured with the Frailty Index</w:t>
            </w:r>
          </w:p>
        </w:tc>
        <w:tc>
          <w:tcPr>
            <w:tcW w:w="1574" w:type="dxa"/>
            <w:tcBorders>
              <w:bottom w:val="single" w:sz="4" w:space="0" w:color="auto"/>
            </w:tcBorders>
            <w:shd w:val="clear" w:color="auto" w:fill="auto"/>
          </w:tcPr>
          <w:p w14:paraId="3744EFEE" w14:textId="77777777" w:rsidR="0040420E" w:rsidRPr="00242EF1" w:rsidRDefault="0040420E" w:rsidP="00137ECF">
            <w:pPr>
              <w:spacing w:after="0" w:line="240" w:lineRule="auto"/>
              <w:jc w:val="center"/>
              <w:rPr>
                <w:rFonts w:ascii="Times New Roman" w:hAnsi="Times New Roman"/>
                <w:sz w:val="20"/>
                <w:szCs w:val="20"/>
                <w:lang w:val="en-GB"/>
              </w:rPr>
            </w:pPr>
            <w:r w:rsidRPr="00242EF1">
              <w:rPr>
                <w:rFonts w:ascii="Times New Roman" w:hAnsi="Times New Roman"/>
                <w:sz w:val="20"/>
                <w:szCs w:val="20"/>
                <w:lang w:val="en-GB"/>
              </w:rPr>
              <w:t>Frailty measured with the FTS5</w:t>
            </w:r>
          </w:p>
        </w:tc>
        <w:tc>
          <w:tcPr>
            <w:tcW w:w="1565" w:type="dxa"/>
            <w:tcBorders>
              <w:bottom w:val="single" w:sz="4" w:space="0" w:color="auto"/>
            </w:tcBorders>
            <w:shd w:val="clear" w:color="auto" w:fill="auto"/>
          </w:tcPr>
          <w:p w14:paraId="6AB5616A" w14:textId="77777777" w:rsidR="0040420E" w:rsidRPr="00242EF1" w:rsidRDefault="0040420E" w:rsidP="00137ECF">
            <w:pPr>
              <w:spacing w:after="0" w:line="240" w:lineRule="auto"/>
              <w:jc w:val="center"/>
              <w:rPr>
                <w:rFonts w:ascii="Times New Roman" w:hAnsi="Times New Roman"/>
                <w:sz w:val="20"/>
                <w:szCs w:val="20"/>
                <w:lang w:val="en-GB"/>
              </w:rPr>
            </w:pPr>
            <w:r w:rsidRPr="00242EF1">
              <w:rPr>
                <w:rFonts w:ascii="Times New Roman" w:hAnsi="Times New Roman"/>
                <w:sz w:val="20"/>
                <w:szCs w:val="20"/>
                <w:lang w:val="en-GB"/>
              </w:rPr>
              <w:t>Frailty measured with the Frailty Index</w:t>
            </w:r>
          </w:p>
        </w:tc>
        <w:tc>
          <w:tcPr>
            <w:tcW w:w="1569" w:type="dxa"/>
            <w:tcBorders>
              <w:bottom w:val="single" w:sz="4" w:space="0" w:color="auto"/>
            </w:tcBorders>
            <w:shd w:val="clear" w:color="auto" w:fill="auto"/>
          </w:tcPr>
          <w:p w14:paraId="4B67052F" w14:textId="77777777" w:rsidR="0040420E" w:rsidRPr="00242EF1" w:rsidRDefault="0040420E" w:rsidP="00137ECF">
            <w:pPr>
              <w:spacing w:after="0" w:line="240" w:lineRule="auto"/>
              <w:jc w:val="center"/>
              <w:rPr>
                <w:rFonts w:ascii="Times New Roman" w:hAnsi="Times New Roman"/>
                <w:sz w:val="20"/>
                <w:szCs w:val="20"/>
                <w:lang w:val="en-GB"/>
              </w:rPr>
            </w:pPr>
            <w:r w:rsidRPr="00242EF1">
              <w:rPr>
                <w:rFonts w:ascii="Times New Roman" w:hAnsi="Times New Roman"/>
                <w:sz w:val="20"/>
                <w:szCs w:val="20"/>
                <w:lang w:val="en-GB"/>
              </w:rPr>
              <w:t>Frailty measured with the FTS5</w:t>
            </w:r>
          </w:p>
        </w:tc>
      </w:tr>
      <w:tr w:rsidR="0040420E" w:rsidRPr="002D5F96" w14:paraId="7FC83C72" w14:textId="77777777" w:rsidTr="00137ECF">
        <w:tc>
          <w:tcPr>
            <w:tcW w:w="2211" w:type="dxa"/>
            <w:tcBorders>
              <w:top w:val="single" w:sz="4" w:space="0" w:color="auto"/>
              <w:bottom w:val="single" w:sz="4" w:space="0" w:color="auto"/>
            </w:tcBorders>
            <w:shd w:val="clear" w:color="auto" w:fill="auto"/>
          </w:tcPr>
          <w:p w14:paraId="65A1637A" w14:textId="77777777" w:rsidR="0040420E" w:rsidRPr="00242EF1" w:rsidRDefault="0040420E" w:rsidP="00137ECF">
            <w:pPr>
              <w:spacing w:after="0" w:line="240" w:lineRule="auto"/>
              <w:jc w:val="both"/>
              <w:rPr>
                <w:rFonts w:ascii="Times New Roman" w:hAnsi="Times New Roman"/>
                <w:sz w:val="20"/>
                <w:szCs w:val="20"/>
                <w:lang w:val="en-GB"/>
              </w:rPr>
            </w:pPr>
            <w:r w:rsidRPr="00242EF1">
              <w:rPr>
                <w:rFonts w:ascii="Times New Roman" w:hAnsi="Times New Roman"/>
                <w:sz w:val="20"/>
                <w:szCs w:val="20"/>
                <w:lang w:val="en-GB"/>
              </w:rPr>
              <w:t>Model 1</w:t>
            </w:r>
          </w:p>
        </w:tc>
        <w:tc>
          <w:tcPr>
            <w:tcW w:w="1575" w:type="dxa"/>
            <w:tcBorders>
              <w:top w:val="single" w:sz="4" w:space="0" w:color="auto"/>
              <w:bottom w:val="single" w:sz="4" w:space="0" w:color="auto"/>
            </w:tcBorders>
            <w:shd w:val="clear" w:color="auto" w:fill="auto"/>
          </w:tcPr>
          <w:p w14:paraId="7B72225F" w14:textId="77777777" w:rsidR="0040420E" w:rsidRPr="00242EF1" w:rsidRDefault="0040420E" w:rsidP="00137ECF">
            <w:pPr>
              <w:spacing w:after="0" w:line="240" w:lineRule="auto"/>
              <w:jc w:val="center"/>
              <w:rPr>
                <w:rFonts w:ascii="Times New Roman" w:hAnsi="Times New Roman"/>
                <w:sz w:val="20"/>
                <w:szCs w:val="20"/>
                <w:lang w:val="en-GB"/>
              </w:rPr>
            </w:pPr>
          </w:p>
        </w:tc>
        <w:tc>
          <w:tcPr>
            <w:tcW w:w="1574" w:type="dxa"/>
            <w:tcBorders>
              <w:top w:val="single" w:sz="4" w:space="0" w:color="auto"/>
              <w:bottom w:val="single" w:sz="4" w:space="0" w:color="auto"/>
            </w:tcBorders>
            <w:shd w:val="clear" w:color="auto" w:fill="auto"/>
          </w:tcPr>
          <w:p w14:paraId="649D9BA8" w14:textId="77777777" w:rsidR="0040420E" w:rsidRPr="00242EF1" w:rsidRDefault="0040420E" w:rsidP="00137ECF">
            <w:pPr>
              <w:spacing w:after="0" w:line="240" w:lineRule="auto"/>
              <w:jc w:val="center"/>
              <w:rPr>
                <w:rFonts w:ascii="Times New Roman" w:hAnsi="Times New Roman"/>
                <w:sz w:val="20"/>
                <w:szCs w:val="20"/>
                <w:lang w:val="en-GB"/>
              </w:rPr>
            </w:pPr>
          </w:p>
        </w:tc>
        <w:tc>
          <w:tcPr>
            <w:tcW w:w="1565" w:type="dxa"/>
            <w:tcBorders>
              <w:top w:val="single" w:sz="4" w:space="0" w:color="auto"/>
              <w:bottom w:val="single" w:sz="4" w:space="0" w:color="auto"/>
            </w:tcBorders>
            <w:shd w:val="clear" w:color="auto" w:fill="auto"/>
          </w:tcPr>
          <w:p w14:paraId="0D6973B2" w14:textId="77777777" w:rsidR="0040420E" w:rsidRPr="00242EF1" w:rsidRDefault="0040420E" w:rsidP="00137ECF">
            <w:pPr>
              <w:spacing w:after="0" w:line="240" w:lineRule="auto"/>
              <w:jc w:val="center"/>
              <w:rPr>
                <w:rFonts w:ascii="Times New Roman" w:hAnsi="Times New Roman"/>
                <w:sz w:val="20"/>
                <w:szCs w:val="20"/>
                <w:lang w:val="en-GB"/>
              </w:rPr>
            </w:pPr>
          </w:p>
        </w:tc>
        <w:tc>
          <w:tcPr>
            <w:tcW w:w="1569" w:type="dxa"/>
            <w:tcBorders>
              <w:top w:val="single" w:sz="4" w:space="0" w:color="auto"/>
              <w:bottom w:val="single" w:sz="4" w:space="0" w:color="auto"/>
            </w:tcBorders>
            <w:shd w:val="clear" w:color="auto" w:fill="auto"/>
          </w:tcPr>
          <w:p w14:paraId="21882A37" w14:textId="77777777" w:rsidR="0040420E" w:rsidRPr="00242EF1" w:rsidRDefault="0040420E" w:rsidP="00137ECF">
            <w:pPr>
              <w:spacing w:after="0" w:line="240" w:lineRule="auto"/>
              <w:jc w:val="center"/>
              <w:rPr>
                <w:rFonts w:ascii="Times New Roman" w:hAnsi="Times New Roman"/>
                <w:sz w:val="20"/>
                <w:szCs w:val="20"/>
                <w:lang w:val="en-GB"/>
              </w:rPr>
            </w:pPr>
          </w:p>
        </w:tc>
      </w:tr>
      <w:tr w:rsidR="0040420E" w:rsidRPr="002D5F96" w14:paraId="06F3DFF3" w14:textId="77777777" w:rsidTr="00137ECF">
        <w:tc>
          <w:tcPr>
            <w:tcW w:w="2211" w:type="dxa"/>
            <w:tcBorders>
              <w:top w:val="single" w:sz="4" w:space="0" w:color="auto"/>
              <w:bottom w:val="single" w:sz="4" w:space="0" w:color="auto"/>
            </w:tcBorders>
            <w:shd w:val="clear" w:color="auto" w:fill="auto"/>
          </w:tcPr>
          <w:p w14:paraId="3FC3D1A8" w14:textId="77777777" w:rsidR="0040420E" w:rsidRPr="00242EF1" w:rsidRDefault="0040420E" w:rsidP="00137ECF">
            <w:pPr>
              <w:spacing w:after="0" w:line="240" w:lineRule="auto"/>
              <w:jc w:val="right"/>
              <w:rPr>
                <w:rFonts w:ascii="Times New Roman" w:hAnsi="Times New Roman"/>
                <w:i/>
                <w:iCs/>
                <w:sz w:val="20"/>
                <w:szCs w:val="20"/>
                <w:lang w:val="en-GB"/>
              </w:rPr>
            </w:pPr>
            <w:r>
              <w:rPr>
                <w:rFonts w:ascii="Times New Roman" w:hAnsi="Times New Roman"/>
                <w:i/>
                <w:iCs/>
                <w:sz w:val="20"/>
                <w:szCs w:val="20"/>
                <w:lang w:val="en-GB"/>
              </w:rPr>
              <w:t>Having sarcopenia</w:t>
            </w:r>
          </w:p>
        </w:tc>
        <w:tc>
          <w:tcPr>
            <w:tcW w:w="1575" w:type="dxa"/>
            <w:tcBorders>
              <w:top w:val="single" w:sz="4" w:space="0" w:color="auto"/>
              <w:bottom w:val="single" w:sz="4" w:space="0" w:color="auto"/>
            </w:tcBorders>
            <w:shd w:val="clear" w:color="auto" w:fill="auto"/>
          </w:tcPr>
          <w:p w14:paraId="564EF7C4" w14:textId="77777777" w:rsidR="0040420E" w:rsidRPr="00242EF1" w:rsidRDefault="0040420E" w:rsidP="00137ECF">
            <w:pPr>
              <w:spacing w:after="0" w:line="240" w:lineRule="auto"/>
              <w:jc w:val="center"/>
              <w:rPr>
                <w:rFonts w:ascii="Times New Roman" w:hAnsi="Times New Roman"/>
                <w:sz w:val="20"/>
                <w:szCs w:val="20"/>
                <w:lang w:val="en-GB"/>
              </w:rPr>
            </w:pPr>
          </w:p>
        </w:tc>
        <w:tc>
          <w:tcPr>
            <w:tcW w:w="1574" w:type="dxa"/>
            <w:tcBorders>
              <w:top w:val="single" w:sz="4" w:space="0" w:color="auto"/>
              <w:bottom w:val="single" w:sz="4" w:space="0" w:color="auto"/>
            </w:tcBorders>
            <w:shd w:val="clear" w:color="auto" w:fill="auto"/>
          </w:tcPr>
          <w:p w14:paraId="2E83FCF6" w14:textId="77777777" w:rsidR="0040420E" w:rsidRPr="00242EF1" w:rsidRDefault="0040420E" w:rsidP="00137ECF">
            <w:pPr>
              <w:spacing w:after="0" w:line="240" w:lineRule="auto"/>
              <w:jc w:val="center"/>
              <w:rPr>
                <w:rFonts w:ascii="Times New Roman" w:hAnsi="Times New Roman"/>
                <w:sz w:val="20"/>
                <w:szCs w:val="20"/>
                <w:lang w:val="en-GB"/>
              </w:rPr>
            </w:pPr>
          </w:p>
        </w:tc>
        <w:tc>
          <w:tcPr>
            <w:tcW w:w="1565" w:type="dxa"/>
            <w:tcBorders>
              <w:top w:val="single" w:sz="4" w:space="0" w:color="auto"/>
              <w:bottom w:val="single" w:sz="4" w:space="0" w:color="auto"/>
            </w:tcBorders>
            <w:shd w:val="clear" w:color="auto" w:fill="auto"/>
          </w:tcPr>
          <w:p w14:paraId="188C2C48" w14:textId="77777777" w:rsidR="0040420E" w:rsidRPr="00242EF1" w:rsidRDefault="0040420E" w:rsidP="00137ECF">
            <w:pPr>
              <w:spacing w:after="0" w:line="240" w:lineRule="auto"/>
              <w:jc w:val="center"/>
              <w:rPr>
                <w:rFonts w:ascii="Times New Roman" w:hAnsi="Times New Roman"/>
                <w:sz w:val="20"/>
                <w:szCs w:val="20"/>
                <w:lang w:val="en-GB"/>
              </w:rPr>
            </w:pPr>
          </w:p>
        </w:tc>
        <w:tc>
          <w:tcPr>
            <w:tcW w:w="1569" w:type="dxa"/>
            <w:tcBorders>
              <w:top w:val="single" w:sz="4" w:space="0" w:color="auto"/>
              <w:bottom w:val="single" w:sz="4" w:space="0" w:color="auto"/>
            </w:tcBorders>
            <w:shd w:val="clear" w:color="auto" w:fill="auto"/>
          </w:tcPr>
          <w:p w14:paraId="548B8180" w14:textId="77777777" w:rsidR="0040420E" w:rsidRPr="00242EF1" w:rsidRDefault="0040420E" w:rsidP="00137ECF">
            <w:pPr>
              <w:spacing w:after="0" w:line="240" w:lineRule="auto"/>
              <w:jc w:val="center"/>
              <w:rPr>
                <w:rFonts w:ascii="Times New Roman" w:hAnsi="Times New Roman"/>
                <w:sz w:val="20"/>
                <w:szCs w:val="20"/>
                <w:lang w:val="en-GB"/>
              </w:rPr>
            </w:pPr>
          </w:p>
        </w:tc>
      </w:tr>
      <w:tr w:rsidR="0040420E" w:rsidRPr="002D5F96" w14:paraId="0F94E815" w14:textId="77777777" w:rsidTr="00137ECF">
        <w:tc>
          <w:tcPr>
            <w:tcW w:w="2211" w:type="dxa"/>
            <w:tcBorders>
              <w:top w:val="single" w:sz="4" w:space="0" w:color="auto"/>
              <w:bottom w:val="single" w:sz="4" w:space="0" w:color="auto"/>
            </w:tcBorders>
            <w:shd w:val="clear" w:color="auto" w:fill="auto"/>
          </w:tcPr>
          <w:p w14:paraId="54E31596" w14:textId="77777777" w:rsidR="0040420E" w:rsidRPr="00242EF1" w:rsidRDefault="0040420E" w:rsidP="00137ECF">
            <w:pPr>
              <w:spacing w:after="0" w:line="240" w:lineRule="auto"/>
              <w:jc w:val="right"/>
              <w:rPr>
                <w:rFonts w:ascii="Times New Roman" w:hAnsi="Times New Roman"/>
                <w:i/>
                <w:iCs/>
                <w:sz w:val="20"/>
                <w:szCs w:val="20"/>
                <w:lang w:val="en-GB"/>
              </w:rPr>
            </w:pPr>
            <w:r w:rsidRPr="00242EF1">
              <w:rPr>
                <w:rFonts w:ascii="Times New Roman" w:hAnsi="Times New Roman"/>
                <w:sz w:val="20"/>
                <w:szCs w:val="20"/>
                <w:lang w:val="en-GB"/>
              </w:rPr>
              <w:t>OR on the probability of being admitted to hospital</w:t>
            </w:r>
          </w:p>
        </w:tc>
        <w:tc>
          <w:tcPr>
            <w:tcW w:w="1575" w:type="dxa"/>
            <w:tcBorders>
              <w:top w:val="single" w:sz="4" w:space="0" w:color="auto"/>
              <w:bottom w:val="single" w:sz="4" w:space="0" w:color="auto"/>
            </w:tcBorders>
            <w:shd w:val="clear" w:color="auto" w:fill="auto"/>
          </w:tcPr>
          <w:p w14:paraId="26C0110E" w14:textId="46D57AC5" w:rsidR="0040420E" w:rsidRPr="00F358E1" w:rsidRDefault="0040420E" w:rsidP="00137ECF">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1.</w:t>
            </w:r>
            <w:r w:rsidR="00D40649" w:rsidRPr="00F358E1">
              <w:rPr>
                <w:rFonts w:ascii="Times New Roman" w:hAnsi="Times New Roman"/>
                <w:sz w:val="20"/>
                <w:szCs w:val="20"/>
                <w:lang w:val="en-GB"/>
              </w:rPr>
              <w:t>318</w:t>
            </w:r>
          </w:p>
          <w:p w14:paraId="315B1FB4" w14:textId="792E301D" w:rsidR="0040420E" w:rsidRPr="00F358E1" w:rsidRDefault="0040420E" w:rsidP="00137ECF">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w:t>
            </w:r>
            <w:r w:rsidR="00D40649" w:rsidRPr="00F358E1">
              <w:rPr>
                <w:rFonts w:ascii="Times New Roman" w:hAnsi="Times New Roman"/>
                <w:sz w:val="20"/>
                <w:szCs w:val="20"/>
                <w:lang w:val="en-GB"/>
              </w:rPr>
              <w:t>934 – 1.862</w:t>
            </w:r>
            <w:r w:rsidRPr="00F358E1">
              <w:rPr>
                <w:rFonts w:ascii="Times New Roman" w:hAnsi="Times New Roman"/>
                <w:sz w:val="20"/>
                <w:szCs w:val="20"/>
                <w:lang w:val="en-GB"/>
              </w:rPr>
              <w:t>)</w:t>
            </w:r>
          </w:p>
        </w:tc>
        <w:tc>
          <w:tcPr>
            <w:tcW w:w="1574" w:type="dxa"/>
            <w:tcBorders>
              <w:top w:val="single" w:sz="4" w:space="0" w:color="auto"/>
              <w:bottom w:val="single" w:sz="4" w:space="0" w:color="auto"/>
            </w:tcBorders>
            <w:shd w:val="clear" w:color="auto" w:fill="auto"/>
          </w:tcPr>
          <w:p w14:paraId="0FDBF929" w14:textId="02CE4248" w:rsidR="0040420E" w:rsidRPr="00F358E1" w:rsidRDefault="0040420E" w:rsidP="00137ECF">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1.3</w:t>
            </w:r>
            <w:r w:rsidR="004E4191" w:rsidRPr="00F358E1">
              <w:rPr>
                <w:rFonts w:ascii="Times New Roman" w:hAnsi="Times New Roman"/>
                <w:sz w:val="20"/>
                <w:szCs w:val="20"/>
                <w:lang w:val="en-GB"/>
              </w:rPr>
              <w:t>95</w:t>
            </w:r>
            <w:r w:rsidRPr="00F358E1">
              <w:rPr>
                <w:rFonts w:ascii="Times New Roman" w:hAnsi="Times New Roman"/>
                <w:sz w:val="20"/>
                <w:szCs w:val="20"/>
                <w:lang w:val="en-GB"/>
              </w:rPr>
              <w:t xml:space="preserve"> </w:t>
            </w:r>
          </w:p>
          <w:p w14:paraId="04F2594A" w14:textId="52CD3EF3" w:rsidR="0040420E" w:rsidRPr="00F358E1" w:rsidRDefault="0040420E" w:rsidP="00137ECF">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w:t>
            </w:r>
            <w:r w:rsidR="004E4191" w:rsidRPr="00F358E1">
              <w:rPr>
                <w:rFonts w:ascii="Times New Roman" w:hAnsi="Times New Roman"/>
                <w:sz w:val="20"/>
                <w:szCs w:val="20"/>
                <w:lang w:val="en-GB"/>
              </w:rPr>
              <w:t>957 – 2.034</w:t>
            </w:r>
            <w:r w:rsidRPr="00F358E1">
              <w:rPr>
                <w:rFonts w:ascii="Times New Roman" w:hAnsi="Times New Roman"/>
                <w:sz w:val="20"/>
                <w:szCs w:val="20"/>
                <w:lang w:val="en-GB"/>
              </w:rPr>
              <w:t>)</w:t>
            </w:r>
          </w:p>
        </w:tc>
        <w:tc>
          <w:tcPr>
            <w:tcW w:w="1565" w:type="dxa"/>
            <w:tcBorders>
              <w:top w:val="single" w:sz="4" w:space="0" w:color="auto"/>
              <w:bottom w:val="single" w:sz="4" w:space="0" w:color="auto"/>
            </w:tcBorders>
            <w:shd w:val="clear" w:color="auto" w:fill="auto"/>
          </w:tcPr>
          <w:p w14:paraId="6058129E" w14:textId="79DD5A20" w:rsidR="0040420E" w:rsidRPr="00F358E1" w:rsidRDefault="0040420E" w:rsidP="00137ECF">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1.</w:t>
            </w:r>
            <w:r w:rsidR="00D36017" w:rsidRPr="00F358E1">
              <w:rPr>
                <w:rFonts w:ascii="Times New Roman" w:hAnsi="Times New Roman"/>
                <w:sz w:val="20"/>
                <w:szCs w:val="20"/>
                <w:lang w:val="en-GB"/>
              </w:rPr>
              <w:t>36</w:t>
            </w:r>
            <w:r w:rsidRPr="00F358E1">
              <w:rPr>
                <w:rFonts w:ascii="Times New Roman" w:hAnsi="Times New Roman"/>
                <w:sz w:val="20"/>
                <w:szCs w:val="20"/>
                <w:lang w:val="en-GB"/>
              </w:rPr>
              <w:t>5*</w:t>
            </w:r>
          </w:p>
          <w:p w14:paraId="2DCF3415" w14:textId="287BC1A3" w:rsidR="0040420E" w:rsidRPr="00F358E1" w:rsidRDefault="0040420E" w:rsidP="00137ECF">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w:t>
            </w:r>
            <w:r w:rsidR="00D36017" w:rsidRPr="00F358E1">
              <w:rPr>
                <w:rFonts w:ascii="Times New Roman" w:hAnsi="Times New Roman"/>
                <w:sz w:val="20"/>
                <w:szCs w:val="20"/>
                <w:lang w:val="en-GB"/>
              </w:rPr>
              <w:t>1.005 – 1.854</w:t>
            </w:r>
            <w:r w:rsidRPr="00F358E1">
              <w:rPr>
                <w:rFonts w:ascii="Times New Roman" w:hAnsi="Times New Roman"/>
                <w:sz w:val="20"/>
                <w:szCs w:val="20"/>
                <w:lang w:val="en-GB"/>
              </w:rPr>
              <w:t>)</w:t>
            </w:r>
          </w:p>
        </w:tc>
        <w:tc>
          <w:tcPr>
            <w:tcW w:w="1569" w:type="dxa"/>
            <w:tcBorders>
              <w:top w:val="single" w:sz="4" w:space="0" w:color="auto"/>
              <w:bottom w:val="single" w:sz="4" w:space="0" w:color="auto"/>
            </w:tcBorders>
            <w:shd w:val="clear" w:color="auto" w:fill="auto"/>
          </w:tcPr>
          <w:p w14:paraId="010DC6B3" w14:textId="47B70622" w:rsidR="0040420E" w:rsidRPr="00F358E1" w:rsidRDefault="0040420E" w:rsidP="00137ECF">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1.29</w:t>
            </w:r>
            <w:r w:rsidR="00516DCD" w:rsidRPr="00F358E1">
              <w:rPr>
                <w:rFonts w:ascii="Times New Roman" w:hAnsi="Times New Roman"/>
                <w:sz w:val="20"/>
                <w:szCs w:val="20"/>
                <w:lang w:val="en-GB"/>
              </w:rPr>
              <w:t>2</w:t>
            </w:r>
          </w:p>
          <w:p w14:paraId="088C75EE" w14:textId="43D14C58" w:rsidR="0040420E" w:rsidRPr="00F358E1" w:rsidRDefault="0040420E" w:rsidP="00137ECF">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w:t>
            </w:r>
            <w:r w:rsidR="00516DCD" w:rsidRPr="00F358E1">
              <w:rPr>
                <w:rFonts w:ascii="Times New Roman" w:hAnsi="Times New Roman"/>
                <w:sz w:val="20"/>
                <w:szCs w:val="20"/>
                <w:lang w:val="en-GB"/>
              </w:rPr>
              <w:t>916 – 1.822</w:t>
            </w:r>
            <w:r w:rsidRPr="00F358E1">
              <w:rPr>
                <w:rFonts w:ascii="Times New Roman" w:hAnsi="Times New Roman"/>
                <w:sz w:val="20"/>
                <w:szCs w:val="20"/>
                <w:lang w:val="en-GB"/>
              </w:rPr>
              <w:t>)</w:t>
            </w:r>
          </w:p>
        </w:tc>
      </w:tr>
      <w:tr w:rsidR="0040420E" w:rsidRPr="00975513" w14:paraId="605D9632" w14:textId="77777777" w:rsidTr="00DC2A5C">
        <w:tc>
          <w:tcPr>
            <w:tcW w:w="2211" w:type="dxa"/>
            <w:tcBorders>
              <w:top w:val="single" w:sz="4" w:space="0" w:color="auto"/>
              <w:bottom w:val="single" w:sz="4" w:space="0" w:color="auto"/>
            </w:tcBorders>
            <w:shd w:val="clear" w:color="auto" w:fill="auto"/>
          </w:tcPr>
          <w:p w14:paraId="5E982A95" w14:textId="77777777" w:rsidR="0040420E" w:rsidRPr="00242EF1" w:rsidRDefault="0040420E" w:rsidP="00137ECF">
            <w:pPr>
              <w:spacing w:after="0" w:line="240" w:lineRule="auto"/>
              <w:jc w:val="right"/>
              <w:rPr>
                <w:rFonts w:ascii="Times New Roman" w:hAnsi="Times New Roman"/>
                <w:i/>
                <w:iCs/>
                <w:sz w:val="20"/>
                <w:szCs w:val="20"/>
                <w:lang w:val="en-GB"/>
              </w:rPr>
            </w:pPr>
            <w:r w:rsidRPr="00242EF1">
              <w:rPr>
                <w:rFonts w:ascii="Times New Roman" w:hAnsi="Times New Roman"/>
                <w:sz w:val="20"/>
                <w:szCs w:val="20"/>
                <w:lang w:val="en-GB"/>
              </w:rPr>
              <w:t>Coeff on number of hospital admissions</w:t>
            </w:r>
          </w:p>
        </w:tc>
        <w:tc>
          <w:tcPr>
            <w:tcW w:w="1575" w:type="dxa"/>
            <w:tcBorders>
              <w:top w:val="single" w:sz="4" w:space="0" w:color="auto"/>
              <w:bottom w:val="single" w:sz="4" w:space="0" w:color="auto"/>
            </w:tcBorders>
            <w:shd w:val="clear" w:color="auto" w:fill="auto"/>
            <w:vAlign w:val="center"/>
          </w:tcPr>
          <w:p w14:paraId="77EBAC6C" w14:textId="77777777" w:rsidR="00C23555" w:rsidRPr="00F358E1" w:rsidRDefault="00C23555" w:rsidP="00C23555">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0.258</w:t>
            </w:r>
          </w:p>
          <w:p w14:paraId="23A7CD48" w14:textId="27429795" w:rsidR="00C23555" w:rsidRPr="00F358E1" w:rsidRDefault="00C23555" w:rsidP="00C23555">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(-0.443 – 0.959)</w:t>
            </w:r>
          </w:p>
        </w:tc>
        <w:tc>
          <w:tcPr>
            <w:tcW w:w="1574" w:type="dxa"/>
            <w:tcBorders>
              <w:top w:val="single" w:sz="4" w:space="0" w:color="auto"/>
              <w:bottom w:val="single" w:sz="4" w:space="0" w:color="auto"/>
            </w:tcBorders>
            <w:shd w:val="clear" w:color="auto" w:fill="auto"/>
            <w:vAlign w:val="center"/>
          </w:tcPr>
          <w:p w14:paraId="782763CA" w14:textId="77777777" w:rsidR="00C23555" w:rsidRPr="00F358E1" w:rsidRDefault="00C23555" w:rsidP="00C23555">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0.101</w:t>
            </w:r>
          </w:p>
          <w:p w14:paraId="4656D3DD" w14:textId="1A2C3A31" w:rsidR="00975513" w:rsidRPr="00F358E1" w:rsidRDefault="00C23555" w:rsidP="00C23555">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(-0.683 – 0.884)</w:t>
            </w:r>
          </w:p>
        </w:tc>
        <w:tc>
          <w:tcPr>
            <w:tcW w:w="1565" w:type="dxa"/>
            <w:tcBorders>
              <w:top w:val="single" w:sz="4" w:space="0" w:color="auto"/>
              <w:bottom w:val="single" w:sz="4" w:space="0" w:color="auto"/>
            </w:tcBorders>
            <w:shd w:val="clear" w:color="auto" w:fill="auto"/>
            <w:vAlign w:val="center"/>
          </w:tcPr>
          <w:p w14:paraId="002483B0" w14:textId="77777777" w:rsidR="00221082" w:rsidRPr="00F358E1" w:rsidRDefault="00DC3FD6"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-0.095</w:t>
            </w:r>
          </w:p>
          <w:p w14:paraId="0FB252DA" w14:textId="4A4E1BAE" w:rsidR="00DC3FD6" w:rsidRPr="00F358E1" w:rsidRDefault="00DC3FD6"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(-0.618 – 0.429)</w:t>
            </w:r>
          </w:p>
        </w:tc>
        <w:tc>
          <w:tcPr>
            <w:tcW w:w="1569" w:type="dxa"/>
            <w:tcBorders>
              <w:top w:val="single" w:sz="4" w:space="0" w:color="auto"/>
              <w:bottom w:val="single" w:sz="4" w:space="0" w:color="auto"/>
            </w:tcBorders>
            <w:shd w:val="clear" w:color="auto" w:fill="auto"/>
            <w:vAlign w:val="center"/>
          </w:tcPr>
          <w:p w14:paraId="3753DBDD" w14:textId="77777777" w:rsidR="00221082" w:rsidRPr="00F358E1" w:rsidRDefault="00DC3FD6"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-0.335</w:t>
            </w:r>
          </w:p>
          <w:p w14:paraId="5D13EC50" w14:textId="0AD3CC64" w:rsidR="00DC3FD6" w:rsidRPr="00F358E1" w:rsidRDefault="00DC3FD6"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(-0.728 – 0.059)</w:t>
            </w:r>
          </w:p>
        </w:tc>
      </w:tr>
      <w:tr w:rsidR="0040420E" w:rsidRPr="00975513" w14:paraId="3D9855F6" w14:textId="77777777" w:rsidTr="00DC2A5C">
        <w:tc>
          <w:tcPr>
            <w:tcW w:w="2211" w:type="dxa"/>
            <w:tcBorders>
              <w:top w:val="single" w:sz="4" w:space="0" w:color="auto"/>
              <w:bottom w:val="single" w:sz="4" w:space="0" w:color="auto"/>
            </w:tcBorders>
            <w:shd w:val="clear" w:color="auto" w:fill="auto"/>
          </w:tcPr>
          <w:p w14:paraId="0157F3E7" w14:textId="77777777" w:rsidR="0040420E" w:rsidRPr="00242EF1" w:rsidRDefault="0040420E" w:rsidP="00137ECF">
            <w:pPr>
              <w:spacing w:after="0" w:line="240" w:lineRule="auto"/>
              <w:jc w:val="right"/>
              <w:rPr>
                <w:rFonts w:ascii="Times New Roman" w:hAnsi="Times New Roman"/>
                <w:i/>
                <w:iCs/>
                <w:sz w:val="20"/>
                <w:szCs w:val="20"/>
                <w:lang w:val="en-GB"/>
              </w:rPr>
            </w:pPr>
            <w:r w:rsidRPr="00242EF1">
              <w:rPr>
                <w:rFonts w:ascii="Times New Roman" w:hAnsi="Times New Roman"/>
                <w:sz w:val="20"/>
                <w:szCs w:val="20"/>
                <w:lang w:val="en-GB"/>
              </w:rPr>
              <w:t>Coeff on length of hospitalization</w:t>
            </w:r>
          </w:p>
        </w:tc>
        <w:tc>
          <w:tcPr>
            <w:tcW w:w="1575" w:type="dxa"/>
            <w:tcBorders>
              <w:top w:val="single" w:sz="4" w:space="0" w:color="auto"/>
              <w:bottom w:val="single" w:sz="4" w:space="0" w:color="auto"/>
            </w:tcBorders>
            <w:shd w:val="clear" w:color="auto" w:fill="auto"/>
            <w:vAlign w:val="center"/>
          </w:tcPr>
          <w:p w14:paraId="0271E1A9" w14:textId="77777777" w:rsidR="00281537" w:rsidRPr="00F358E1" w:rsidRDefault="005A3F83"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0.264</w:t>
            </w:r>
          </w:p>
          <w:p w14:paraId="4C485B09" w14:textId="04F08418" w:rsidR="005A3F83" w:rsidRPr="00F358E1" w:rsidRDefault="005A3F83"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(-0.185 – 0.713)</w:t>
            </w:r>
          </w:p>
        </w:tc>
        <w:tc>
          <w:tcPr>
            <w:tcW w:w="1574" w:type="dxa"/>
            <w:tcBorders>
              <w:top w:val="single" w:sz="4" w:space="0" w:color="auto"/>
              <w:bottom w:val="single" w:sz="4" w:space="0" w:color="auto"/>
            </w:tcBorders>
            <w:shd w:val="clear" w:color="auto" w:fill="auto"/>
            <w:vAlign w:val="center"/>
          </w:tcPr>
          <w:p w14:paraId="01CC8E56" w14:textId="77777777" w:rsidR="00281537" w:rsidRPr="00F358E1" w:rsidRDefault="00043C83"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0.007</w:t>
            </w:r>
          </w:p>
          <w:p w14:paraId="3F2D54EE" w14:textId="6A0CD583" w:rsidR="00043C83" w:rsidRPr="00F358E1" w:rsidRDefault="00043C83"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w:t>
            </w:r>
            <w:r w:rsidR="005A3F83" w:rsidRPr="00F358E1">
              <w:rPr>
                <w:rFonts w:ascii="Times New Roman" w:hAnsi="Times New Roman"/>
                <w:sz w:val="20"/>
                <w:szCs w:val="20"/>
                <w:lang w:val="en-GB"/>
              </w:rPr>
              <w:t>453 – 0.466)</w:t>
            </w:r>
          </w:p>
        </w:tc>
        <w:tc>
          <w:tcPr>
            <w:tcW w:w="1565" w:type="dxa"/>
            <w:tcBorders>
              <w:top w:val="single" w:sz="4" w:space="0" w:color="auto"/>
              <w:bottom w:val="single" w:sz="4" w:space="0" w:color="auto"/>
            </w:tcBorders>
            <w:shd w:val="clear" w:color="auto" w:fill="auto"/>
            <w:vAlign w:val="center"/>
          </w:tcPr>
          <w:p w14:paraId="76ADECBD" w14:textId="77777777" w:rsidR="001F0984" w:rsidRPr="00F358E1" w:rsidRDefault="00FE12A5"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-0.125</w:t>
            </w:r>
          </w:p>
          <w:p w14:paraId="6C89880A" w14:textId="0248BED4" w:rsidR="00FE12A5" w:rsidRPr="00F358E1" w:rsidRDefault="00FE12A5"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(-0.487 – 0.238)</w:t>
            </w:r>
          </w:p>
        </w:tc>
        <w:tc>
          <w:tcPr>
            <w:tcW w:w="1569" w:type="dxa"/>
            <w:tcBorders>
              <w:top w:val="single" w:sz="4" w:space="0" w:color="auto"/>
              <w:bottom w:val="single" w:sz="4" w:space="0" w:color="auto"/>
            </w:tcBorders>
            <w:shd w:val="clear" w:color="auto" w:fill="auto"/>
            <w:vAlign w:val="center"/>
          </w:tcPr>
          <w:p w14:paraId="128739C0" w14:textId="77777777" w:rsidR="001F0984" w:rsidRPr="00F358E1" w:rsidRDefault="00FE12A5"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-0.122</w:t>
            </w:r>
          </w:p>
          <w:p w14:paraId="4D9DE649" w14:textId="254D8B5F" w:rsidR="00FE12A5" w:rsidRPr="00F358E1" w:rsidRDefault="00FE12A5"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(-0.527 – 0.282)</w:t>
            </w:r>
          </w:p>
        </w:tc>
      </w:tr>
      <w:tr w:rsidR="0040420E" w:rsidRPr="002D5F96" w14:paraId="10369C40" w14:textId="77777777" w:rsidTr="00DC2A5C">
        <w:tc>
          <w:tcPr>
            <w:tcW w:w="2211" w:type="dxa"/>
            <w:tcBorders>
              <w:top w:val="single" w:sz="4" w:space="0" w:color="auto"/>
              <w:bottom w:val="single" w:sz="4" w:space="0" w:color="auto"/>
            </w:tcBorders>
            <w:shd w:val="clear" w:color="auto" w:fill="auto"/>
          </w:tcPr>
          <w:p w14:paraId="1826973C" w14:textId="77777777" w:rsidR="0040420E" w:rsidRPr="00242EF1" w:rsidRDefault="0040420E" w:rsidP="00137ECF">
            <w:pPr>
              <w:spacing w:after="0" w:line="240" w:lineRule="auto"/>
              <w:jc w:val="right"/>
              <w:rPr>
                <w:rFonts w:ascii="Times New Roman" w:hAnsi="Times New Roman"/>
                <w:i/>
                <w:iCs/>
                <w:sz w:val="20"/>
                <w:szCs w:val="20"/>
                <w:lang w:val="en-GB"/>
              </w:rPr>
            </w:pPr>
            <w:r w:rsidRPr="00242EF1">
              <w:rPr>
                <w:rFonts w:ascii="Times New Roman" w:hAnsi="Times New Roman"/>
                <w:sz w:val="20"/>
                <w:szCs w:val="20"/>
                <w:lang w:val="en-GB"/>
              </w:rPr>
              <w:t>Coeff on hospitalization costs</w:t>
            </w:r>
          </w:p>
        </w:tc>
        <w:tc>
          <w:tcPr>
            <w:tcW w:w="1575" w:type="dxa"/>
            <w:tcBorders>
              <w:top w:val="single" w:sz="4" w:space="0" w:color="auto"/>
              <w:bottom w:val="single" w:sz="4" w:space="0" w:color="auto"/>
            </w:tcBorders>
            <w:shd w:val="clear" w:color="auto" w:fill="auto"/>
            <w:vAlign w:val="center"/>
          </w:tcPr>
          <w:p w14:paraId="1F558EAA" w14:textId="77777777" w:rsidR="00E56565" w:rsidRPr="00F358E1" w:rsidRDefault="00D40649"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-0.005</w:t>
            </w:r>
          </w:p>
          <w:p w14:paraId="4978CEE9" w14:textId="7AF4C6E4" w:rsidR="00D40649" w:rsidRPr="00F358E1" w:rsidRDefault="00D40649"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(-0.327 – 0.317)</w:t>
            </w:r>
          </w:p>
        </w:tc>
        <w:tc>
          <w:tcPr>
            <w:tcW w:w="1574" w:type="dxa"/>
            <w:tcBorders>
              <w:top w:val="single" w:sz="4" w:space="0" w:color="auto"/>
              <w:bottom w:val="single" w:sz="4" w:space="0" w:color="auto"/>
            </w:tcBorders>
            <w:shd w:val="clear" w:color="auto" w:fill="auto"/>
            <w:vAlign w:val="center"/>
          </w:tcPr>
          <w:p w14:paraId="05BA76A1" w14:textId="77777777" w:rsidR="00E56565" w:rsidRPr="00F358E1" w:rsidRDefault="00D40649"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0.043</w:t>
            </w:r>
          </w:p>
          <w:p w14:paraId="2208F52C" w14:textId="380F9E34" w:rsidR="00D40649" w:rsidRPr="00F358E1" w:rsidRDefault="00D40649"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(-0.341 – 0.427)</w:t>
            </w:r>
          </w:p>
        </w:tc>
        <w:tc>
          <w:tcPr>
            <w:tcW w:w="1565" w:type="dxa"/>
            <w:tcBorders>
              <w:top w:val="single" w:sz="4" w:space="0" w:color="auto"/>
              <w:bottom w:val="single" w:sz="4" w:space="0" w:color="auto"/>
            </w:tcBorders>
            <w:shd w:val="clear" w:color="auto" w:fill="auto"/>
            <w:vAlign w:val="center"/>
          </w:tcPr>
          <w:p w14:paraId="4697A9C4" w14:textId="77777777" w:rsidR="00EB2047" w:rsidRPr="00F358E1" w:rsidRDefault="00D36017"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-0.096</w:t>
            </w:r>
          </w:p>
          <w:p w14:paraId="72BE3369" w14:textId="5728B53F" w:rsidR="00D36017" w:rsidRPr="00F358E1" w:rsidRDefault="00D36017"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(-0.377 – 0.185)</w:t>
            </w:r>
          </w:p>
        </w:tc>
        <w:tc>
          <w:tcPr>
            <w:tcW w:w="1569" w:type="dxa"/>
            <w:tcBorders>
              <w:top w:val="single" w:sz="4" w:space="0" w:color="auto"/>
              <w:bottom w:val="single" w:sz="4" w:space="0" w:color="auto"/>
            </w:tcBorders>
            <w:shd w:val="clear" w:color="auto" w:fill="auto"/>
            <w:vAlign w:val="center"/>
          </w:tcPr>
          <w:p w14:paraId="62A86EA8" w14:textId="77777777" w:rsidR="00EB2047" w:rsidRPr="00F358E1" w:rsidRDefault="00D36017"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-0.177</w:t>
            </w:r>
          </w:p>
          <w:p w14:paraId="47728A76" w14:textId="72100CED" w:rsidR="00D36017" w:rsidRPr="00F358E1" w:rsidRDefault="00D36017"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(-0.429 – 0.075)</w:t>
            </w:r>
          </w:p>
        </w:tc>
      </w:tr>
      <w:tr w:rsidR="0040420E" w:rsidRPr="002D5F96" w14:paraId="4D40E61C" w14:textId="77777777" w:rsidTr="00137ECF">
        <w:tc>
          <w:tcPr>
            <w:tcW w:w="2211" w:type="dxa"/>
            <w:tcBorders>
              <w:top w:val="single" w:sz="4" w:space="0" w:color="auto"/>
              <w:bottom w:val="single" w:sz="4" w:space="0" w:color="auto"/>
            </w:tcBorders>
            <w:shd w:val="clear" w:color="auto" w:fill="auto"/>
          </w:tcPr>
          <w:p w14:paraId="1A14EC63" w14:textId="77777777" w:rsidR="0040420E" w:rsidRPr="00242EF1" w:rsidRDefault="0040420E" w:rsidP="00137ECF">
            <w:pPr>
              <w:spacing w:after="0" w:line="240" w:lineRule="auto"/>
              <w:jc w:val="right"/>
              <w:rPr>
                <w:rFonts w:ascii="Times New Roman" w:hAnsi="Times New Roman"/>
                <w:i/>
                <w:iCs/>
                <w:sz w:val="20"/>
                <w:szCs w:val="20"/>
                <w:lang w:val="en-GB"/>
              </w:rPr>
            </w:pPr>
            <w:r>
              <w:rPr>
                <w:rFonts w:ascii="Times New Roman" w:hAnsi="Times New Roman"/>
                <w:i/>
                <w:iCs/>
                <w:sz w:val="20"/>
                <w:szCs w:val="20"/>
                <w:lang w:val="en-GB"/>
              </w:rPr>
              <w:t>Being frail</w:t>
            </w:r>
          </w:p>
        </w:tc>
        <w:tc>
          <w:tcPr>
            <w:tcW w:w="1575" w:type="dxa"/>
            <w:tcBorders>
              <w:top w:val="single" w:sz="4" w:space="0" w:color="auto"/>
              <w:bottom w:val="single" w:sz="4" w:space="0" w:color="auto"/>
            </w:tcBorders>
            <w:shd w:val="clear" w:color="auto" w:fill="auto"/>
          </w:tcPr>
          <w:p w14:paraId="2FBD6117" w14:textId="77777777" w:rsidR="0040420E" w:rsidRPr="00F358E1" w:rsidRDefault="0040420E" w:rsidP="00137ECF">
            <w:pPr>
              <w:spacing w:after="0" w:line="240" w:lineRule="auto"/>
              <w:jc w:val="center"/>
              <w:rPr>
                <w:rFonts w:ascii="Times New Roman" w:hAnsi="Times New Roman"/>
                <w:sz w:val="20"/>
                <w:szCs w:val="20"/>
                <w:lang w:val="en-GB"/>
              </w:rPr>
            </w:pPr>
          </w:p>
        </w:tc>
        <w:tc>
          <w:tcPr>
            <w:tcW w:w="1574" w:type="dxa"/>
            <w:tcBorders>
              <w:top w:val="single" w:sz="4" w:space="0" w:color="auto"/>
              <w:bottom w:val="single" w:sz="4" w:space="0" w:color="auto"/>
            </w:tcBorders>
            <w:shd w:val="clear" w:color="auto" w:fill="auto"/>
          </w:tcPr>
          <w:p w14:paraId="0F428201" w14:textId="77777777" w:rsidR="0040420E" w:rsidRPr="00F358E1" w:rsidRDefault="0040420E" w:rsidP="00137ECF">
            <w:pPr>
              <w:spacing w:after="0" w:line="240" w:lineRule="auto"/>
              <w:jc w:val="center"/>
              <w:rPr>
                <w:rFonts w:ascii="Times New Roman" w:hAnsi="Times New Roman"/>
                <w:sz w:val="20"/>
                <w:szCs w:val="20"/>
                <w:lang w:val="en-GB"/>
              </w:rPr>
            </w:pPr>
          </w:p>
        </w:tc>
        <w:tc>
          <w:tcPr>
            <w:tcW w:w="1565" w:type="dxa"/>
            <w:tcBorders>
              <w:top w:val="single" w:sz="4" w:space="0" w:color="auto"/>
              <w:bottom w:val="single" w:sz="4" w:space="0" w:color="auto"/>
            </w:tcBorders>
            <w:shd w:val="clear" w:color="auto" w:fill="auto"/>
          </w:tcPr>
          <w:p w14:paraId="05822141" w14:textId="77777777" w:rsidR="0040420E" w:rsidRPr="00F358E1" w:rsidRDefault="0040420E" w:rsidP="00137ECF">
            <w:pPr>
              <w:spacing w:after="0" w:line="240" w:lineRule="auto"/>
              <w:jc w:val="center"/>
              <w:rPr>
                <w:rFonts w:ascii="Times New Roman" w:hAnsi="Times New Roman"/>
                <w:sz w:val="20"/>
                <w:szCs w:val="20"/>
                <w:lang w:val="en-GB"/>
              </w:rPr>
            </w:pPr>
          </w:p>
        </w:tc>
        <w:tc>
          <w:tcPr>
            <w:tcW w:w="1569" w:type="dxa"/>
            <w:tcBorders>
              <w:top w:val="single" w:sz="4" w:space="0" w:color="auto"/>
              <w:bottom w:val="single" w:sz="4" w:space="0" w:color="auto"/>
            </w:tcBorders>
            <w:shd w:val="clear" w:color="auto" w:fill="auto"/>
          </w:tcPr>
          <w:p w14:paraId="6C4279A0" w14:textId="77777777" w:rsidR="0040420E" w:rsidRPr="00F358E1" w:rsidRDefault="0040420E" w:rsidP="00137ECF">
            <w:pPr>
              <w:spacing w:after="0" w:line="240" w:lineRule="auto"/>
              <w:jc w:val="center"/>
              <w:rPr>
                <w:rFonts w:ascii="Times New Roman" w:hAnsi="Times New Roman"/>
                <w:sz w:val="20"/>
                <w:szCs w:val="20"/>
                <w:lang w:val="en-GB"/>
              </w:rPr>
            </w:pPr>
          </w:p>
        </w:tc>
      </w:tr>
      <w:tr w:rsidR="0040420E" w:rsidRPr="002D5F96" w14:paraId="7FA66C9B" w14:textId="77777777" w:rsidTr="00137ECF">
        <w:tc>
          <w:tcPr>
            <w:tcW w:w="2211" w:type="dxa"/>
            <w:tcBorders>
              <w:top w:val="single" w:sz="4" w:space="0" w:color="auto"/>
              <w:bottom w:val="single" w:sz="4" w:space="0" w:color="auto"/>
            </w:tcBorders>
            <w:shd w:val="clear" w:color="auto" w:fill="auto"/>
          </w:tcPr>
          <w:p w14:paraId="4DC8AB18" w14:textId="77777777" w:rsidR="0040420E" w:rsidRPr="00242EF1" w:rsidRDefault="0040420E" w:rsidP="00137ECF">
            <w:pPr>
              <w:spacing w:after="0" w:line="240" w:lineRule="auto"/>
              <w:jc w:val="right"/>
              <w:rPr>
                <w:rFonts w:ascii="Times New Roman" w:hAnsi="Times New Roman"/>
                <w:i/>
                <w:iCs/>
                <w:sz w:val="20"/>
                <w:szCs w:val="20"/>
                <w:lang w:val="en-GB"/>
              </w:rPr>
            </w:pPr>
            <w:r w:rsidRPr="00242EF1">
              <w:rPr>
                <w:rFonts w:ascii="Times New Roman" w:hAnsi="Times New Roman"/>
                <w:sz w:val="20"/>
                <w:szCs w:val="20"/>
                <w:lang w:val="en-GB"/>
              </w:rPr>
              <w:t>OR on the probability of being admitted to hospital</w:t>
            </w:r>
          </w:p>
        </w:tc>
        <w:tc>
          <w:tcPr>
            <w:tcW w:w="1575" w:type="dxa"/>
            <w:tcBorders>
              <w:top w:val="single" w:sz="4" w:space="0" w:color="auto"/>
              <w:bottom w:val="single" w:sz="4" w:space="0" w:color="auto"/>
            </w:tcBorders>
            <w:shd w:val="clear" w:color="auto" w:fill="auto"/>
          </w:tcPr>
          <w:p w14:paraId="26589947" w14:textId="4256465E" w:rsidR="0040420E" w:rsidRPr="00F358E1" w:rsidRDefault="0040420E" w:rsidP="00137ECF">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2.</w:t>
            </w:r>
            <w:r w:rsidR="00D40649" w:rsidRPr="00F358E1">
              <w:rPr>
                <w:rFonts w:ascii="Times New Roman" w:hAnsi="Times New Roman"/>
                <w:sz w:val="20"/>
                <w:szCs w:val="20"/>
                <w:lang w:val="en-GB"/>
              </w:rPr>
              <w:t>851</w:t>
            </w:r>
            <w:r w:rsidRPr="00F358E1">
              <w:rPr>
                <w:rFonts w:ascii="Times New Roman" w:hAnsi="Times New Roman"/>
                <w:sz w:val="20"/>
                <w:szCs w:val="20"/>
                <w:lang w:val="en-GB"/>
              </w:rPr>
              <w:t>**</w:t>
            </w:r>
          </w:p>
          <w:p w14:paraId="2FFCFF4D" w14:textId="54D740B8" w:rsidR="0040420E" w:rsidRPr="00F358E1" w:rsidRDefault="0040420E" w:rsidP="00137ECF">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w:t>
            </w:r>
            <w:r w:rsidR="00D40649" w:rsidRPr="00F358E1">
              <w:rPr>
                <w:rFonts w:ascii="Times New Roman" w:hAnsi="Times New Roman"/>
                <w:sz w:val="20"/>
                <w:szCs w:val="20"/>
                <w:lang w:val="en-GB"/>
              </w:rPr>
              <w:t>1.333 – 6.101</w:t>
            </w:r>
            <w:r w:rsidRPr="00F358E1">
              <w:rPr>
                <w:rFonts w:ascii="Times New Roman" w:hAnsi="Times New Roman"/>
                <w:sz w:val="20"/>
                <w:szCs w:val="20"/>
                <w:lang w:val="en-GB"/>
              </w:rPr>
              <w:t>)</w:t>
            </w:r>
          </w:p>
        </w:tc>
        <w:tc>
          <w:tcPr>
            <w:tcW w:w="1574" w:type="dxa"/>
            <w:tcBorders>
              <w:top w:val="single" w:sz="4" w:space="0" w:color="auto"/>
              <w:bottom w:val="single" w:sz="4" w:space="0" w:color="auto"/>
            </w:tcBorders>
            <w:shd w:val="clear" w:color="auto" w:fill="auto"/>
          </w:tcPr>
          <w:p w14:paraId="17DB03E4" w14:textId="33F2F6CE" w:rsidR="0040420E" w:rsidRPr="00F358E1" w:rsidRDefault="0040420E" w:rsidP="00137ECF">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1.3</w:t>
            </w:r>
            <w:r w:rsidR="00D40649" w:rsidRPr="00F358E1">
              <w:rPr>
                <w:rFonts w:ascii="Times New Roman" w:hAnsi="Times New Roman"/>
                <w:sz w:val="20"/>
                <w:szCs w:val="20"/>
                <w:lang w:val="en-GB"/>
              </w:rPr>
              <w:t>01</w:t>
            </w:r>
          </w:p>
          <w:p w14:paraId="48311047" w14:textId="6B6509D7" w:rsidR="0040420E" w:rsidRPr="00F358E1" w:rsidRDefault="0040420E" w:rsidP="00137ECF">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w:t>
            </w:r>
            <w:r w:rsidR="00D40649" w:rsidRPr="00F358E1">
              <w:rPr>
                <w:rFonts w:ascii="Times New Roman" w:hAnsi="Times New Roman"/>
                <w:sz w:val="20"/>
                <w:szCs w:val="20"/>
                <w:lang w:val="en-GB"/>
              </w:rPr>
              <w:t>520 – 3.256</w:t>
            </w:r>
            <w:r w:rsidRPr="00F358E1">
              <w:rPr>
                <w:rFonts w:ascii="Times New Roman" w:hAnsi="Times New Roman"/>
                <w:sz w:val="20"/>
                <w:szCs w:val="20"/>
                <w:lang w:val="en-GB"/>
              </w:rPr>
              <w:t>)</w:t>
            </w:r>
          </w:p>
        </w:tc>
        <w:tc>
          <w:tcPr>
            <w:tcW w:w="1565" w:type="dxa"/>
            <w:tcBorders>
              <w:top w:val="single" w:sz="4" w:space="0" w:color="auto"/>
              <w:bottom w:val="single" w:sz="4" w:space="0" w:color="auto"/>
            </w:tcBorders>
            <w:shd w:val="clear" w:color="auto" w:fill="auto"/>
          </w:tcPr>
          <w:p w14:paraId="1D4A5474" w14:textId="4884081D" w:rsidR="0040420E" w:rsidRPr="00F358E1" w:rsidRDefault="0040420E" w:rsidP="00137ECF">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2.</w:t>
            </w:r>
            <w:r w:rsidR="00D36017" w:rsidRPr="00F358E1">
              <w:rPr>
                <w:rFonts w:ascii="Times New Roman" w:hAnsi="Times New Roman"/>
                <w:sz w:val="20"/>
                <w:szCs w:val="20"/>
                <w:lang w:val="en-GB"/>
              </w:rPr>
              <w:t>698</w:t>
            </w:r>
            <w:r w:rsidRPr="00F358E1">
              <w:rPr>
                <w:rFonts w:ascii="Times New Roman" w:hAnsi="Times New Roman"/>
                <w:sz w:val="20"/>
                <w:szCs w:val="20"/>
                <w:lang w:val="en-GB"/>
              </w:rPr>
              <w:t>**</w:t>
            </w:r>
          </w:p>
          <w:p w14:paraId="4796A5C1" w14:textId="7EDD2947" w:rsidR="0040420E" w:rsidRPr="00F358E1" w:rsidRDefault="0040420E" w:rsidP="00137ECF">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(1.</w:t>
            </w:r>
            <w:r w:rsidR="00D36017" w:rsidRPr="00F358E1">
              <w:rPr>
                <w:rFonts w:ascii="Times New Roman" w:hAnsi="Times New Roman"/>
                <w:sz w:val="20"/>
                <w:szCs w:val="20"/>
                <w:lang w:val="en-GB"/>
              </w:rPr>
              <w:t>298 – 5.608</w:t>
            </w:r>
            <w:r w:rsidRPr="00F358E1">
              <w:rPr>
                <w:rFonts w:ascii="Times New Roman" w:hAnsi="Times New Roman"/>
                <w:sz w:val="20"/>
                <w:szCs w:val="20"/>
                <w:lang w:val="en-GB"/>
              </w:rPr>
              <w:t>)</w:t>
            </w:r>
          </w:p>
        </w:tc>
        <w:tc>
          <w:tcPr>
            <w:tcW w:w="1569" w:type="dxa"/>
            <w:tcBorders>
              <w:top w:val="single" w:sz="4" w:space="0" w:color="auto"/>
              <w:bottom w:val="single" w:sz="4" w:space="0" w:color="auto"/>
            </w:tcBorders>
            <w:shd w:val="clear" w:color="auto" w:fill="auto"/>
          </w:tcPr>
          <w:p w14:paraId="7961BF1E" w14:textId="43F80CC8" w:rsidR="0040420E" w:rsidRPr="00F358E1" w:rsidRDefault="0040420E" w:rsidP="00137ECF">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3.</w:t>
            </w:r>
            <w:r w:rsidR="00D36017" w:rsidRPr="00F358E1">
              <w:rPr>
                <w:rFonts w:ascii="Times New Roman" w:hAnsi="Times New Roman"/>
                <w:sz w:val="20"/>
                <w:szCs w:val="20"/>
                <w:lang w:val="en-GB"/>
              </w:rPr>
              <w:t>092</w:t>
            </w:r>
            <w:r w:rsidRPr="00F358E1">
              <w:rPr>
                <w:rFonts w:ascii="Times New Roman" w:hAnsi="Times New Roman"/>
                <w:sz w:val="20"/>
                <w:szCs w:val="20"/>
                <w:lang w:val="en-GB"/>
              </w:rPr>
              <w:t>**</w:t>
            </w:r>
          </w:p>
          <w:p w14:paraId="35EDD238" w14:textId="77FEBB96" w:rsidR="0040420E" w:rsidRPr="00F358E1" w:rsidRDefault="0040420E" w:rsidP="00137ECF">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(1.</w:t>
            </w:r>
            <w:r w:rsidR="00D36017" w:rsidRPr="00F358E1">
              <w:rPr>
                <w:rFonts w:ascii="Times New Roman" w:hAnsi="Times New Roman"/>
                <w:sz w:val="20"/>
                <w:szCs w:val="20"/>
                <w:lang w:val="en-GB"/>
              </w:rPr>
              <w:t>454 – 6.575</w:t>
            </w:r>
            <w:r w:rsidRPr="00F358E1">
              <w:rPr>
                <w:rFonts w:ascii="Times New Roman" w:hAnsi="Times New Roman"/>
                <w:sz w:val="20"/>
                <w:szCs w:val="20"/>
                <w:lang w:val="en-GB"/>
              </w:rPr>
              <w:t>)</w:t>
            </w:r>
          </w:p>
        </w:tc>
      </w:tr>
      <w:tr w:rsidR="0040420E" w:rsidRPr="00FB677A" w14:paraId="69A9D8B9" w14:textId="77777777" w:rsidTr="00DC2A5C">
        <w:tc>
          <w:tcPr>
            <w:tcW w:w="2211" w:type="dxa"/>
            <w:tcBorders>
              <w:top w:val="single" w:sz="4" w:space="0" w:color="auto"/>
              <w:bottom w:val="single" w:sz="4" w:space="0" w:color="auto"/>
            </w:tcBorders>
            <w:shd w:val="clear" w:color="auto" w:fill="auto"/>
          </w:tcPr>
          <w:p w14:paraId="2EA17457" w14:textId="77777777" w:rsidR="0040420E" w:rsidRPr="00242EF1" w:rsidRDefault="0040420E" w:rsidP="00137ECF">
            <w:pPr>
              <w:spacing w:after="0" w:line="240" w:lineRule="auto"/>
              <w:jc w:val="right"/>
              <w:rPr>
                <w:rFonts w:ascii="Times New Roman" w:hAnsi="Times New Roman"/>
                <w:i/>
                <w:iCs/>
                <w:sz w:val="20"/>
                <w:szCs w:val="20"/>
                <w:lang w:val="en-GB"/>
              </w:rPr>
            </w:pPr>
            <w:r w:rsidRPr="00242EF1">
              <w:rPr>
                <w:rFonts w:ascii="Times New Roman" w:hAnsi="Times New Roman"/>
                <w:sz w:val="20"/>
                <w:szCs w:val="20"/>
                <w:lang w:val="en-GB"/>
              </w:rPr>
              <w:t>Coeff on number of hospital admissions</w:t>
            </w:r>
          </w:p>
        </w:tc>
        <w:tc>
          <w:tcPr>
            <w:tcW w:w="1575" w:type="dxa"/>
            <w:tcBorders>
              <w:top w:val="single" w:sz="4" w:space="0" w:color="auto"/>
              <w:bottom w:val="single" w:sz="4" w:space="0" w:color="auto"/>
            </w:tcBorders>
            <w:shd w:val="clear" w:color="auto" w:fill="auto"/>
            <w:vAlign w:val="center"/>
          </w:tcPr>
          <w:p w14:paraId="79EF843A" w14:textId="77777777" w:rsidR="00C23555" w:rsidRPr="00F358E1" w:rsidRDefault="00C23555"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 xml:space="preserve">0.391 </w:t>
            </w:r>
          </w:p>
          <w:p w14:paraId="23E211A5" w14:textId="4DD0A772" w:rsidR="00975513" w:rsidRPr="00F358E1" w:rsidRDefault="00C23555"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(-0.694 – 1.477)</w:t>
            </w:r>
          </w:p>
        </w:tc>
        <w:tc>
          <w:tcPr>
            <w:tcW w:w="1574" w:type="dxa"/>
            <w:tcBorders>
              <w:top w:val="single" w:sz="4" w:space="0" w:color="auto"/>
              <w:bottom w:val="single" w:sz="4" w:space="0" w:color="auto"/>
            </w:tcBorders>
            <w:shd w:val="clear" w:color="auto" w:fill="auto"/>
            <w:vAlign w:val="center"/>
          </w:tcPr>
          <w:p w14:paraId="3D8DE5E6" w14:textId="77777777" w:rsidR="00C23555" w:rsidRPr="00F358E1" w:rsidRDefault="00C23555" w:rsidP="00C23555">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 xml:space="preserve">0.467 </w:t>
            </w:r>
          </w:p>
          <w:p w14:paraId="4915165B" w14:textId="5D666DC4" w:rsidR="00975513" w:rsidRPr="00F358E1" w:rsidRDefault="00C23555" w:rsidP="00C23555">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(-0.311 – 1.245)</w:t>
            </w:r>
          </w:p>
        </w:tc>
        <w:tc>
          <w:tcPr>
            <w:tcW w:w="1565" w:type="dxa"/>
            <w:tcBorders>
              <w:top w:val="single" w:sz="4" w:space="0" w:color="auto"/>
              <w:bottom w:val="single" w:sz="4" w:space="0" w:color="auto"/>
            </w:tcBorders>
            <w:shd w:val="clear" w:color="auto" w:fill="auto"/>
            <w:vAlign w:val="center"/>
          </w:tcPr>
          <w:p w14:paraId="165E822F" w14:textId="60834EC0" w:rsidR="00221082" w:rsidRPr="00F358E1" w:rsidRDefault="00DC3FD6"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0.733**</w:t>
            </w:r>
          </w:p>
          <w:p w14:paraId="3DD4C8CE" w14:textId="20DB969B" w:rsidR="00DC3FD6" w:rsidRPr="00F358E1" w:rsidRDefault="00DC3FD6"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(0.241 – 1-226)</w:t>
            </w:r>
          </w:p>
        </w:tc>
        <w:tc>
          <w:tcPr>
            <w:tcW w:w="1569" w:type="dxa"/>
            <w:tcBorders>
              <w:top w:val="single" w:sz="4" w:space="0" w:color="auto"/>
              <w:bottom w:val="single" w:sz="4" w:space="0" w:color="auto"/>
            </w:tcBorders>
            <w:shd w:val="clear" w:color="auto" w:fill="auto"/>
            <w:vAlign w:val="center"/>
          </w:tcPr>
          <w:p w14:paraId="4B69E072" w14:textId="77777777" w:rsidR="00221082" w:rsidRPr="00F358E1" w:rsidRDefault="00DC3FD6"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0.165</w:t>
            </w:r>
          </w:p>
          <w:p w14:paraId="549B6CCD" w14:textId="131728FF" w:rsidR="00DC3FD6" w:rsidRPr="00F358E1" w:rsidRDefault="00DC3FD6"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(-0.561 – 0.891)</w:t>
            </w:r>
          </w:p>
        </w:tc>
      </w:tr>
      <w:tr w:rsidR="0040420E" w:rsidRPr="00FB677A" w14:paraId="5A802D80" w14:textId="77777777" w:rsidTr="00DC2A5C">
        <w:tc>
          <w:tcPr>
            <w:tcW w:w="2211" w:type="dxa"/>
            <w:tcBorders>
              <w:top w:val="single" w:sz="4" w:space="0" w:color="auto"/>
              <w:bottom w:val="single" w:sz="4" w:space="0" w:color="auto"/>
            </w:tcBorders>
            <w:shd w:val="clear" w:color="auto" w:fill="auto"/>
          </w:tcPr>
          <w:p w14:paraId="33EC32C2" w14:textId="77777777" w:rsidR="0040420E" w:rsidRPr="00242EF1" w:rsidRDefault="0040420E" w:rsidP="00137ECF">
            <w:pPr>
              <w:spacing w:after="0" w:line="240" w:lineRule="auto"/>
              <w:jc w:val="right"/>
              <w:rPr>
                <w:rFonts w:ascii="Times New Roman" w:hAnsi="Times New Roman"/>
                <w:i/>
                <w:iCs/>
                <w:sz w:val="20"/>
                <w:szCs w:val="20"/>
                <w:lang w:val="en-GB"/>
              </w:rPr>
            </w:pPr>
            <w:r w:rsidRPr="00242EF1">
              <w:rPr>
                <w:rFonts w:ascii="Times New Roman" w:hAnsi="Times New Roman"/>
                <w:sz w:val="20"/>
                <w:szCs w:val="20"/>
                <w:lang w:val="en-GB"/>
              </w:rPr>
              <w:t>Coeff on length of hospitalization</w:t>
            </w:r>
          </w:p>
        </w:tc>
        <w:tc>
          <w:tcPr>
            <w:tcW w:w="1575" w:type="dxa"/>
            <w:tcBorders>
              <w:top w:val="single" w:sz="4" w:space="0" w:color="auto"/>
              <w:bottom w:val="single" w:sz="4" w:space="0" w:color="auto"/>
            </w:tcBorders>
            <w:shd w:val="clear" w:color="auto" w:fill="auto"/>
            <w:vAlign w:val="center"/>
          </w:tcPr>
          <w:p w14:paraId="48393820" w14:textId="77777777" w:rsidR="00281537" w:rsidRPr="00F358E1" w:rsidRDefault="005A3F83"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1.302***</w:t>
            </w:r>
          </w:p>
          <w:p w14:paraId="260C4F59" w14:textId="77296ED9" w:rsidR="005A3F83" w:rsidRPr="00F358E1" w:rsidRDefault="005A3F83"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(0.745 – 1.859)</w:t>
            </w:r>
          </w:p>
        </w:tc>
        <w:tc>
          <w:tcPr>
            <w:tcW w:w="1574" w:type="dxa"/>
            <w:tcBorders>
              <w:top w:val="single" w:sz="4" w:space="0" w:color="auto"/>
              <w:bottom w:val="single" w:sz="4" w:space="0" w:color="auto"/>
            </w:tcBorders>
            <w:shd w:val="clear" w:color="auto" w:fill="auto"/>
            <w:vAlign w:val="center"/>
          </w:tcPr>
          <w:p w14:paraId="388C8629" w14:textId="77777777" w:rsidR="00281537" w:rsidRPr="00F358E1" w:rsidRDefault="005A3F83"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0.891**</w:t>
            </w:r>
          </w:p>
          <w:p w14:paraId="3CF90910" w14:textId="0B5DB451" w:rsidR="005A3F83" w:rsidRPr="00F358E1" w:rsidRDefault="005A3F83"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(0.261 – 1.521)</w:t>
            </w:r>
          </w:p>
        </w:tc>
        <w:tc>
          <w:tcPr>
            <w:tcW w:w="1565" w:type="dxa"/>
            <w:tcBorders>
              <w:top w:val="single" w:sz="4" w:space="0" w:color="auto"/>
              <w:bottom w:val="single" w:sz="4" w:space="0" w:color="auto"/>
            </w:tcBorders>
            <w:shd w:val="clear" w:color="auto" w:fill="auto"/>
            <w:vAlign w:val="center"/>
          </w:tcPr>
          <w:p w14:paraId="58ED5E46" w14:textId="77777777" w:rsidR="001F0984" w:rsidRPr="00F358E1" w:rsidRDefault="00FE12A5"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0.985**</w:t>
            </w:r>
          </w:p>
          <w:p w14:paraId="250BAE48" w14:textId="12DF6CAA" w:rsidR="00FE12A5" w:rsidRPr="00F358E1" w:rsidRDefault="00FE12A5"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(0.371 – 1.599)</w:t>
            </w:r>
          </w:p>
        </w:tc>
        <w:tc>
          <w:tcPr>
            <w:tcW w:w="1569" w:type="dxa"/>
            <w:tcBorders>
              <w:top w:val="single" w:sz="4" w:space="0" w:color="auto"/>
              <w:bottom w:val="single" w:sz="4" w:space="0" w:color="auto"/>
            </w:tcBorders>
            <w:shd w:val="clear" w:color="auto" w:fill="auto"/>
            <w:vAlign w:val="center"/>
          </w:tcPr>
          <w:p w14:paraId="2E158985" w14:textId="77777777" w:rsidR="0040420E" w:rsidRPr="00F358E1" w:rsidRDefault="00FE12A5" w:rsidP="001F0984">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0.337</w:t>
            </w:r>
          </w:p>
          <w:p w14:paraId="7A4F97D1" w14:textId="69190681" w:rsidR="00FE12A5" w:rsidRPr="00F358E1" w:rsidRDefault="00FE12A5" w:rsidP="001F0984">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(-0.510 – 1.184)</w:t>
            </w:r>
          </w:p>
        </w:tc>
      </w:tr>
      <w:tr w:rsidR="0040420E" w:rsidRPr="002D5F96" w14:paraId="5B0B7B12" w14:textId="77777777" w:rsidTr="00DC2A5C">
        <w:tc>
          <w:tcPr>
            <w:tcW w:w="2211" w:type="dxa"/>
            <w:tcBorders>
              <w:top w:val="single" w:sz="4" w:space="0" w:color="auto"/>
              <w:bottom w:val="single" w:sz="4" w:space="0" w:color="auto"/>
            </w:tcBorders>
            <w:shd w:val="clear" w:color="auto" w:fill="auto"/>
          </w:tcPr>
          <w:p w14:paraId="025E7C05" w14:textId="77777777" w:rsidR="0040420E" w:rsidRPr="00242EF1" w:rsidRDefault="0040420E" w:rsidP="00137ECF">
            <w:pPr>
              <w:spacing w:after="0" w:line="240" w:lineRule="auto"/>
              <w:jc w:val="right"/>
              <w:rPr>
                <w:rFonts w:ascii="Times New Roman" w:hAnsi="Times New Roman"/>
                <w:i/>
                <w:iCs/>
                <w:sz w:val="20"/>
                <w:szCs w:val="20"/>
                <w:lang w:val="en-GB"/>
              </w:rPr>
            </w:pPr>
            <w:r w:rsidRPr="00242EF1">
              <w:rPr>
                <w:rFonts w:ascii="Times New Roman" w:hAnsi="Times New Roman"/>
                <w:sz w:val="20"/>
                <w:szCs w:val="20"/>
                <w:lang w:val="en-GB"/>
              </w:rPr>
              <w:t>Coeff on hospitalization costs</w:t>
            </w:r>
          </w:p>
        </w:tc>
        <w:tc>
          <w:tcPr>
            <w:tcW w:w="1575" w:type="dxa"/>
            <w:tcBorders>
              <w:top w:val="single" w:sz="4" w:space="0" w:color="auto"/>
              <w:bottom w:val="single" w:sz="4" w:space="0" w:color="auto"/>
            </w:tcBorders>
            <w:shd w:val="clear" w:color="auto" w:fill="auto"/>
            <w:vAlign w:val="center"/>
          </w:tcPr>
          <w:p w14:paraId="124984D5" w14:textId="77777777" w:rsidR="00E56565" w:rsidRPr="00F358E1" w:rsidRDefault="00D40649"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0.380</w:t>
            </w:r>
          </w:p>
          <w:p w14:paraId="0CA07644" w14:textId="38A86CD7" w:rsidR="00D40649" w:rsidRPr="00F358E1" w:rsidRDefault="00D40649"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(-0.240 – 1.001)</w:t>
            </w:r>
          </w:p>
        </w:tc>
        <w:tc>
          <w:tcPr>
            <w:tcW w:w="1574" w:type="dxa"/>
            <w:tcBorders>
              <w:top w:val="single" w:sz="4" w:space="0" w:color="auto"/>
              <w:bottom w:val="single" w:sz="4" w:space="0" w:color="auto"/>
            </w:tcBorders>
            <w:shd w:val="clear" w:color="auto" w:fill="auto"/>
            <w:vAlign w:val="center"/>
          </w:tcPr>
          <w:p w14:paraId="6DF8FF5C" w14:textId="77777777" w:rsidR="00E56565" w:rsidRPr="00F358E1" w:rsidRDefault="00D40649"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0.362</w:t>
            </w:r>
          </w:p>
          <w:p w14:paraId="4209BF63" w14:textId="25B67A79" w:rsidR="00D40649" w:rsidRPr="00F358E1" w:rsidRDefault="00D40649"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 xml:space="preserve">(-0.070 – 0.795) </w:t>
            </w:r>
          </w:p>
        </w:tc>
        <w:tc>
          <w:tcPr>
            <w:tcW w:w="1565" w:type="dxa"/>
            <w:tcBorders>
              <w:top w:val="single" w:sz="4" w:space="0" w:color="auto"/>
              <w:bottom w:val="single" w:sz="4" w:space="0" w:color="auto"/>
            </w:tcBorders>
            <w:shd w:val="clear" w:color="auto" w:fill="auto"/>
            <w:vAlign w:val="center"/>
          </w:tcPr>
          <w:p w14:paraId="77961928" w14:textId="73DCBA48" w:rsidR="00EB2047" w:rsidRPr="00F358E1" w:rsidRDefault="00D36017"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0.259</w:t>
            </w:r>
          </w:p>
          <w:p w14:paraId="19B3B5FC" w14:textId="6DC81A0C" w:rsidR="00D36017" w:rsidRPr="00F358E1" w:rsidRDefault="00D36017"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(-0.207 – 0.726)</w:t>
            </w:r>
          </w:p>
        </w:tc>
        <w:tc>
          <w:tcPr>
            <w:tcW w:w="1569" w:type="dxa"/>
            <w:tcBorders>
              <w:top w:val="single" w:sz="4" w:space="0" w:color="auto"/>
              <w:bottom w:val="single" w:sz="4" w:space="0" w:color="auto"/>
            </w:tcBorders>
            <w:shd w:val="clear" w:color="auto" w:fill="auto"/>
            <w:vAlign w:val="center"/>
          </w:tcPr>
          <w:p w14:paraId="4BBC7C7A" w14:textId="77777777" w:rsidR="00EB2047" w:rsidRPr="00F358E1" w:rsidRDefault="00D36017"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-0.045</w:t>
            </w:r>
          </w:p>
          <w:p w14:paraId="60092CE0" w14:textId="129106D5" w:rsidR="00D36017" w:rsidRPr="00F358E1" w:rsidRDefault="00D36017"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(-0.579 – 0.490)</w:t>
            </w:r>
          </w:p>
        </w:tc>
      </w:tr>
      <w:tr w:rsidR="0040420E" w:rsidRPr="002D5F96" w14:paraId="1E211F71" w14:textId="77777777" w:rsidTr="00137ECF">
        <w:tc>
          <w:tcPr>
            <w:tcW w:w="2211" w:type="dxa"/>
            <w:tcBorders>
              <w:top w:val="single" w:sz="4" w:space="0" w:color="auto"/>
              <w:bottom w:val="single" w:sz="4" w:space="0" w:color="auto"/>
            </w:tcBorders>
            <w:shd w:val="clear" w:color="auto" w:fill="auto"/>
          </w:tcPr>
          <w:p w14:paraId="627D3861" w14:textId="77777777" w:rsidR="0040420E" w:rsidRPr="00242EF1" w:rsidRDefault="0040420E" w:rsidP="00137ECF">
            <w:pPr>
              <w:spacing w:after="0" w:line="240" w:lineRule="auto"/>
              <w:jc w:val="right"/>
              <w:rPr>
                <w:rFonts w:ascii="Times New Roman" w:hAnsi="Times New Roman"/>
                <w:i/>
                <w:iCs/>
                <w:sz w:val="20"/>
                <w:szCs w:val="20"/>
                <w:lang w:val="en-GB"/>
              </w:rPr>
            </w:pPr>
            <w:r w:rsidRPr="00242EF1">
              <w:rPr>
                <w:rFonts w:ascii="Times New Roman" w:hAnsi="Times New Roman"/>
                <w:i/>
                <w:iCs/>
                <w:sz w:val="20"/>
                <w:szCs w:val="20"/>
                <w:lang w:val="en-GB"/>
              </w:rPr>
              <w:t>Frail # with sarcopenia</w:t>
            </w:r>
          </w:p>
        </w:tc>
        <w:tc>
          <w:tcPr>
            <w:tcW w:w="1575" w:type="dxa"/>
            <w:tcBorders>
              <w:top w:val="single" w:sz="4" w:space="0" w:color="auto"/>
              <w:bottom w:val="single" w:sz="4" w:space="0" w:color="auto"/>
            </w:tcBorders>
            <w:shd w:val="clear" w:color="auto" w:fill="auto"/>
          </w:tcPr>
          <w:p w14:paraId="78E8CF14" w14:textId="77777777" w:rsidR="0040420E" w:rsidRPr="00F358E1" w:rsidRDefault="0040420E" w:rsidP="00137ECF">
            <w:pPr>
              <w:spacing w:after="0" w:line="240" w:lineRule="auto"/>
              <w:jc w:val="center"/>
              <w:rPr>
                <w:rFonts w:ascii="Times New Roman" w:hAnsi="Times New Roman"/>
                <w:sz w:val="20"/>
                <w:szCs w:val="20"/>
                <w:lang w:val="en-GB"/>
              </w:rPr>
            </w:pPr>
          </w:p>
        </w:tc>
        <w:tc>
          <w:tcPr>
            <w:tcW w:w="1574" w:type="dxa"/>
            <w:tcBorders>
              <w:top w:val="single" w:sz="4" w:space="0" w:color="auto"/>
              <w:bottom w:val="single" w:sz="4" w:space="0" w:color="auto"/>
            </w:tcBorders>
            <w:shd w:val="clear" w:color="auto" w:fill="auto"/>
          </w:tcPr>
          <w:p w14:paraId="165D3D69" w14:textId="77777777" w:rsidR="0040420E" w:rsidRPr="00F358E1" w:rsidRDefault="0040420E" w:rsidP="00137ECF">
            <w:pPr>
              <w:spacing w:after="0" w:line="240" w:lineRule="auto"/>
              <w:jc w:val="center"/>
              <w:rPr>
                <w:rFonts w:ascii="Times New Roman" w:hAnsi="Times New Roman"/>
                <w:sz w:val="20"/>
                <w:szCs w:val="20"/>
                <w:lang w:val="en-GB"/>
              </w:rPr>
            </w:pPr>
          </w:p>
        </w:tc>
        <w:tc>
          <w:tcPr>
            <w:tcW w:w="1565" w:type="dxa"/>
            <w:tcBorders>
              <w:top w:val="single" w:sz="4" w:space="0" w:color="auto"/>
              <w:bottom w:val="single" w:sz="4" w:space="0" w:color="auto"/>
            </w:tcBorders>
            <w:shd w:val="clear" w:color="auto" w:fill="auto"/>
          </w:tcPr>
          <w:p w14:paraId="1209A476" w14:textId="77777777" w:rsidR="0040420E" w:rsidRPr="00F358E1" w:rsidRDefault="0040420E" w:rsidP="00137ECF">
            <w:pPr>
              <w:spacing w:after="0" w:line="240" w:lineRule="auto"/>
              <w:jc w:val="center"/>
              <w:rPr>
                <w:rFonts w:ascii="Times New Roman" w:hAnsi="Times New Roman"/>
                <w:sz w:val="20"/>
                <w:szCs w:val="20"/>
                <w:lang w:val="en-GB"/>
              </w:rPr>
            </w:pPr>
          </w:p>
        </w:tc>
        <w:tc>
          <w:tcPr>
            <w:tcW w:w="1569" w:type="dxa"/>
            <w:tcBorders>
              <w:top w:val="single" w:sz="4" w:space="0" w:color="auto"/>
              <w:bottom w:val="single" w:sz="4" w:space="0" w:color="auto"/>
            </w:tcBorders>
            <w:shd w:val="clear" w:color="auto" w:fill="auto"/>
          </w:tcPr>
          <w:p w14:paraId="16F70901" w14:textId="77777777" w:rsidR="0040420E" w:rsidRPr="00F358E1" w:rsidRDefault="0040420E" w:rsidP="00137ECF">
            <w:pPr>
              <w:spacing w:after="0" w:line="240" w:lineRule="auto"/>
              <w:jc w:val="center"/>
              <w:rPr>
                <w:rFonts w:ascii="Times New Roman" w:hAnsi="Times New Roman"/>
                <w:sz w:val="20"/>
                <w:szCs w:val="20"/>
                <w:lang w:val="en-GB"/>
              </w:rPr>
            </w:pPr>
          </w:p>
        </w:tc>
      </w:tr>
      <w:tr w:rsidR="0040420E" w:rsidRPr="002D5F96" w14:paraId="2DD17AFE" w14:textId="77777777" w:rsidTr="00137ECF">
        <w:tc>
          <w:tcPr>
            <w:tcW w:w="2211" w:type="dxa"/>
            <w:tcBorders>
              <w:top w:val="single" w:sz="4" w:space="0" w:color="auto"/>
              <w:bottom w:val="single" w:sz="4" w:space="0" w:color="auto"/>
            </w:tcBorders>
            <w:shd w:val="clear" w:color="auto" w:fill="auto"/>
          </w:tcPr>
          <w:p w14:paraId="77BFEEBD" w14:textId="77777777" w:rsidR="0040420E" w:rsidRPr="00242EF1" w:rsidRDefault="0040420E" w:rsidP="00137ECF">
            <w:pPr>
              <w:spacing w:after="0" w:line="240" w:lineRule="auto"/>
              <w:jc w:val="right"/>
              <w:rPr>
                <w:rFonts w:ascii="Times New Roman" w:hAnsi="Times New Roman"/>
                <w:sz w:val="20"/>
                <w:szCs w:val="20"/>
                <w:lang w:val="en-GB"/>
              </w:rPr>
            </w:pPr>
            <w:r w:rsidRPr="00242EF1">
              <w:rPr>
                <w:rFonts w:ascii="Times New Roman" w:hAnsi="Times New Roman"/>
                <w:sz w:val="20"/>
                <w:szCs w:val="20"/>
                <w:lang w:val="en-GB"/>
              </w:rPr>
              <w:t>OR on the probability of being admitted to hospital</w:t>
            </w:r>
          </w:p>
        </w:tc>
        <w:tc>
          <w:tcPr>
            <w:tcW w:w="1575" w:type="dxa"/>
            <w:tcBorders>
              <w:top w:val="single" w:sz="4" w:space="0" w:color="auto"/>
              <w:bottom w:val="single" w:sz="4" w:space="0" w:color="auto"/>
            </w:tcBorders>
            <w:shd w:val="clear" w:color="auto" w:fill="auto"/>
          </w:tcPr>
          <w:p w14:paraId="1936CDCF" w14:textId="2A23993D" w:rsidR="0040420E" w:rsidRPr="00F358E1" w:rsidRDefault="0040420E" w:rsidP="00137ECF">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w:t>
            </w:r>
            <w:r w:rsidR="00D40649" w:rsidRPr="00F358E1">
              <w:rPr>
                <w:rFonts w:ascii="Times New Roman" w:hAnsi="Times New Roman"/>
                <w:sz w:val="20"/>
                <w:szCs w:val="20"/>
                <w:lang w:val="en-GB"/>
              </w:rPr>
              <w:t>930</w:t>
            </w:r>
          </w:p>
          <w:p w14:paraId="66824F7F" w14:textId="06C98DBD" w:rsidR="0040420E" w:rsidRPr="00F358E1" w:rsidRDefault="0040420E" w:rsidP="00137ECF">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w:t>
            </w:r>
            <w:r w:rsidR="00D40649" w:rsidRPr="00F358E1">
              <w:rPr>
                <w:rFonts w:ascii="Times New Roman" w:hAnsi="Times New Roman"/>
                <w:sz w:val="20"/>
                <w:szCs w:val="20"/>
                <w:lang w:val="en-GB"/>
              </w:rPr>
              <w:t>0.346 – 2.499</w:t>
            </w:r>
            <w:r w:rsidRPr="00F358E1">
              <w:rPr>
                <w:rFonts w:ascii="Times New Roman" w:hAnsi="Times New Roman"/>
                <w:sz w:val="20"/>
                <w:szCs w:val="20"/>
                <w:lang w:val="en-GB"/>
              </w:rPr>
              <w:t>)</w:t>
            </w:r>
          </w:p>
        </w:tc>
        <w:tc>
          <w:tcPr>
            <w:tcW w:w="1574" w:type="dxa"/>
            <w:tcBorders>
              <w:top w:val="single" w:sz="4" w:space="0" w:color="auto"/>
              <w:bottom w:val="single" w:sz="4" w:space="0" w:color="auto"/>
            </w:tcBorders>
            <w:shd w:val="clear" w:color="auto" w:fill="auto"/>
          </w:tcPr>
          <w:p w14:paraId="4A7E4449" w14:textId="77777777" w:rsidR="0040420E" w:rsidRPr="00F358E1" w:rsidRDefault="00D40649" w:rsidP="00137ECF">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1.026</w:t>
            </w:r>
          </w:p>
          <w:p w14:paraId="5345E730" w14:textId="78E37D64" w:rsidR="00D40649" w:rsidRPr="00F358E1" w:rsidRDefault="00D40649" w:rsidP="00137ECF">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(0.355 – 2.965)</w:t>
            </w:r>
          </w:p>
        </w:tc>
        <w:tc>
          <w:tcPr>
            <w:tcW w:w="1565" w:type="dxa"/>
            <w:tcBorders>
              <w:top w:val="single" w:sz="4" w:space="0" w:color="auto"/>
              <w:bottom w:val="single" w:sz="4" w:space="0" w:color="auto"/>
            </w:tcBorders>
            <w:shd w:val="clear" w:color="auto" w:fill="auto"/>
          </w:tcPr>
          <w:p w14:paraId="3BC30CAE" w14:textId="1C8697DA" w:rsidR="0040420E" w:rsidRPr="00F358E1" w:rsidRDefault="0040420E" w:rsidP="00137ECF">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0.6</w:t>
            </w:r>
            <w:r w:rsidR="00D36017" w:rsidRPr="00F358E1">
              <w:rPr>
                <w:rFonts w:ascii="Times New Roman" w:hAnsi="Times New Roman"/>
                <w:sz w:val="20"/>
                <w:szCs w:val="20"/>
                <w:lang w:val="en-GB"/>
              </w:rPr>
              <w:t>93</w:t>
            </w:r>
          </w:p>
          <w:p w14:paraId="44CA4CCC" w14:textId="4FD689FC" w:rsidR="0040420E" w:rsidRPr="00F358E1" w:rsidRDefault="0040420E" w:rsidP="00137ECF">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w:t>
            </w:r>
            <w:r w:rsidR="00D36017" w:rsidRPr="00F358E1">
              <w:rPr>
                <w:rFonts w:ascii="Times New Roman" w:hAnsi="Times New Roman"/>
                <w:sz w:val="20"/>
                <w:szCs w:val="20"/>
                <w:lang w:val="en-GB"/>
              </w:rPr>
              <w:t>267 – 1.800</w:t>
            </w:r>
            <w:r w:rsidRPr="00F358E1">
              <w:rPr>
                <w:rFonts w:ascii="Times New Roman" w:hAnsi="Times New Roman"/>
                <w:sz w:val="20"/>
                <w:szCs w:val="20"/>
                <w:lang w:val="en-GB"/>
              </w:rPr>
              <w:t>)</w:t>
            </w:r>
          </w:p>
        </w:tc>
        <w:tc>
          <w:tcPr>
            <w:tcW w:w="1569" w:type="dxa"/>
            <w:tcBorders>
              <w:top w:val="single" w:sz="4" w:space="0" w:color="auto"/>
              <w:bottom w:val="single" w:sz="4" w:space="0" w:color="auto"/>
            </w:tcBorders>
            <w:shd w:val="clear" w:color="auto" w:fill="auto"/>
          </w:tcPr>
          <w:p w14:paraId="1FF102EE" w14:textId="3BA3C264" w:rsidR="0040420E" w:rsidRPr="00F358E1" w:rsidRDefault="0040420E" w:rsidP="00137ECF">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0.50</w:t>
            </w:r>
            <w:r w:rsidR="00D36017" w:rsidRPr="00F358E1">
              <w:rPr>
                <w:rFonts w:ascii="Times New Roman" w:hAnsi="Times New Roman"/>
                <w:sz w:val="20"/>
                <w:szCs w:val="20"/>
                <w:lang w:val="en-GB"/>
              </w:rPr>
              <w:t>5</w:t>
            </w:r>
          </w:p>
          <w:p w14:paraId="7C0A2F9C" w14:textId="3FBDE945" w:rsidR="0040420E" w:rsidRPr="00F358E1" w:rsidRDefault="0040420E" w:rsidP="00137ECF">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w:t>
            </w:r>
            <w:r w:rsidR="00D36017" w:rsidRPr="00F358E1">
              <w:rPr>
                <w:rFonts w:ascii="Times New Roman" w:hAnsi="Times New Roman"/>
                <w:sz w:val="20"/>
                <w:szCs w:val="20"/>
                <w:lang w:val="en-GB"/>
              </w:rPr>
              <w:t>205 – 1.244</w:t>
            </w:r>
            <w:r w:rsidRPr="00F358E1">
              <w:rPr>
                <w:rFonts w:ascii="Times New Roman" w:hAnsi="Times New Roman"/>
                <w:sz w:val="20"/>
                <w:szCs w:val="20"/>
                <w:lang w:val="en-GB"/>
              </w:rPr>
              <w:t>)</w:t>
            </w:r>
          </w:p>
        </w:tc>
      </w:tr>
      <w:tr w:rsidR="00975513" w:rsidRPr="00FB677A" w14:paraId="394F1240" w14:textId="77777777" w:rsidTr="00DC2A5C">
        <w:tc>
          <w:tcPr>
            <w:tcW w:w="2211" w:type="dxa"/>
            <w:tcBorders>
              <w:top w:val="single" w:sz="4" w:space="0" w:color="auto"/>
              <w:bottom w:val="single" w:sz="4" w:space="0" w:color="auto"/>
            </w:tcBorders>
            <w:shd w:val="clear" w:color="auto" w:fill="auto"/>
          </w:tcPr>
          <w:p w14:paraId="58683DE9" w14:textId="77777777" w:rsidR="00975513" w:rsidRPr="00242EF1" w:rsidRDefault="00975513" w:rsidP="00975513">
            <w:pPr>
              <w:spacing w:after="0" w:line="240" w:lineRule="auto"/>
              <w:jc w:val="right"/>
              <w:rPr>
                <w:rFonts w:ascii="Times New Roman" w:hAnsi="Times New Roman"/>
                <w:sz w:val="20"/>
                <w:szCs w:val="20"/>
                <w:lang w:val="en-GB"/>
              </w:rPr>
            </w:pPr>
            <w:r w:rsidRPr="00242EF1">
              <w:rPr>
                <w:rFonts w:ascii="Times New Roman" w:hAnsi="Times New Roman"/>
                <w:sz w:val="20"/>
                <w:szCs w:val="20"/>
                <w:lang w:val="en-GB"/>
              </w:rPr>
              <w:t>Coeff on number of hospital admissions</w:t>
            </w:r>
          </w:p>
        </w:tc>
        <w:tc>
          <w:tcPr>
            <w:tcW w:w="1575" w:type="dxa"/>
            <w:tcBorders>
              <w:top w:val="single" w:sz="4" w:space="0" w:color="auto"/>
              <w:bottom w:val="single" w:sz="4" w:space="0" w:color="auto"/>
            </w:tcBorders>
            <w:shd w:val="clear" w:color="auto" w:fill="auto"/>
            <w:vAlign w:val="center"/>
          </w:tcPr>
          <w:p w14:paraId="28959665" w14:textId="77777777" w:rsidR="00975513" w:rsidRPr="00F358E1" w:rsidRDefault="00975513"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-0.418</w:t>
            </w:r>
          </w:p>
          <w:p w14:paraId="754A1604" w14:textId="0DB765B4" w:rsidR="00975513" w:rsidRPr="00F358E1" w:rsidRDefault="00975513"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(-1.874 – 1.039)</w:t>
            </w:r>
          </w:p>
        </w:tc>
        <w:tc>
          <w:tcPr>
            <w:tcW w:w="1574" w:type="dxa"/>
            <w:tcBorders>
              <w:top w:val="single" w:sz="4" w:space="0" w:color="auto"/>
              <w:bottom w:val="single" w:sz="4" w:space="0" w:color="auto"/>
            </w:tcBorders>
            <w:shd w:val="clear" w:color="auto" w:fill="auto"/>
            <w:vAlign w:val="center"/>
          </w:tcPr>
          <w:p w14:paraId="4FC56908" w14:textId="77777777" w:rsidR="00975513" w:rsidRPr="00F358E1" w:rsidRDefault="00975513"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-0.162</w:t>
            </w:r>
          </w:p>
          <w:p w14:paraId="26D13E3B" w14:textId="635B2C0D" w:rsidR="00975513" w:rsidRPr="00F358E1" w:rsidRDefault="00975513"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(-1.423 – 1.099)</w:t>
            </w:r>
          </w:p>
        </w:tc>
        <w:tc>
          <w:tcPr>
            <w:tcW w:w="1565" w:type="dxa"/>
            <w:tcBorders>
              <w:top w:val="single" w:sz="4" w:space="0" w:color="auto"/>
              <w:bottom w:val="single" w:sz="4" w:space="0" w:color="auto"/>
            </w:tcBorders>
            <w:shd w:val="clear" w:color="auto" w:fill="auto"/>
            <w:vAlign w:val="center"/>
          </w:tcPr>
          <w:p w14:paraId="2F25597A" w14:textId="63E64AB5" w:rsidR="00975513" w:rsidRPr="00F358E1" w:rsidRDefault="00DC3FD6"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-0.196</w:t>
            </w:r>
          </w:p>
          <w:p w14:paraId="5FDB7AC8" w14:textId="140D884A" w:rsidR="00DC3FD6" w:rsidRPr="00F358E1" w:rsidRDefault="00DC3FD6"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(-0.977 – 0.586)</w:t>
            </w:r>
          </w:p>
        </w:tc>
        <w:tc>
          <w:tcPr>
            <w:tcW w:w="1569" w:type="dxa"/>
            <w:tcBorders>
              <w:top w:val="single" w:sz="4" w:space="0" w:color="auto"/>
              <w:bottom w:val="single" w:sz="4" w:space="0" w:color="auto"/>
            </w:tcBorders>
            <w:shd w:val="clear" w:color="auto" w:fill="auto"/>
            <w:vAlign w:val="center"/>
          </w:tcPr>
          <w:p w14:paraId="2AA1CF4C" w14:textId="77777777" w:rsidR="00975513" w:rsidRPr="00F358E1" w:rsidRDefault="00DC3FD6"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0.476</w:t>
            </w:r>
          </w:p>
          <w:p w14:paraId="2C1B95D0" w14:textId="221AD592" w:rsidR="00DC3FD6" w:rsidRPr="00F358E1" w:rsidRDefault="00DC3FD6"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(-0.460 – 1.412)</w:t>
            </w:r>
          </w:p>
        </w:tc>
      </w:tr>
      <w:tr w:rsidR="00975513" w:rsidRPr="00FB677A" w14:paraId="3D577F62" w14:textId="77777777" w:rsidTr="00DC2A5C">
        <w:tc>
          <w:tcPr>
            <w:tcW w:w="2211" w:type="dxa"/>
            <w:tcBorders>
              <w:top w:val="single" w:sz="4" w:space="0" w:color="auto"/>
              <w:bottom w:val="single" w:sz="4" w:space="0" w:color="auto"/>
            </w:tcBorders>
            <w:shd w:val="clear" w:color="auto" w:fill="auto"/>
          </w:tcPr>
          <w:p w14:paraId="297BE8E2" w14:textId="77777777" w:rsidR="00975513" w:rsidRPr="00242EF1" w:rsidRDefault="00975513" w:rsidP="00975513">
            <w:pPr>
              <w:spacing w:after="0" w:line="240" w:lineRule="auto"/>
              <w:jc w:val="right"/>
              <w:rPr>
                <w:rFonts w:ascii="Times New Roman" w:hAnsi="Times New Roman"/>
                <w:sz w:val="20"/>
                <w:szCs w:val="20"/>
                <w:lang w:val="en-GB"/>
              </w:rPr>
            </w:pPr>
            <w:r w:rsidRPr="00242EF1">
              <w:rPr>
                <w:rFonts w:ascii="Times New Roman" w:hAnsi="Times New Roman"/>
                <w:sz w:val="20"/>
                <w:szCs w:val="20"/>
                <w:lang w:val="en-GB"/>
              </w:rPr>
              <w:t>Coeff on length of hospitalization</w:t>
            </w:r>
          </w:p>
        </w:tc>
        <w:tc>
          <w:tcPr>
            <w:tcW w:w="1575" w:type="dxa"/>
            <w:tcBorders>
              <w:top w:val="single" w:sz="4" w:space="0" w:color="auto"/>
              <w:bottom w:val="single" w:sz="4" w:space="0" w:color="auto"/>
            </w:tcBorders>
            <w:shd w:val="clear" w:color="auto" w:fill="auto"/>
            <w:vAlign w:val="center"/>
          </w:tcPr>
          <w:p w14:paraId="3CCE8BC5" w14:textId="77777777" w:rsidR="00975513" w:rsidRPr="00F358E1" w:rsidRDefault="005A3F83"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-1.142</w:t>
            </w:r>
          </w:p>
          <w:p w14:paraId="0CDF2981" w14:textId="10F3FBA3" w:rsidR="005A3F83" w:rsidRPr="00F358E1" w:rsidRDefault="005A3F83"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(-2.323 – 0.039)</w:t>
            </w:r>
          </w:p>
        </w:tc>
        <w:tc>
          <w:tcPr>
            <w:tcW w:w="1574" w:type="dxa"/>
            <w:tcBorders>
              <w:top w:val="single" w:sz="4" w:space="0" w:color="auto"/>
              <w:bottom w:val="single" w:sz="4" w:space="0" w:color="auto"/>
            </w:tcBorders>
            <w:shd w:val="clear" w:color="auto" w:fill="auto"/>
            <w:vAlign w:val="center"/>
          </w:tcPr>
          <w:p w14:paraId="342705F0" w14:textId="77777777" w:rsidR="00975513" w:rsidRPr="00F358E1" w:rsidRDefault="005A3F83"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 xml:space="preserve">-0.462 </w:t>
            </w:r>
          </w:p>
          <w:p w14:paraId="2C461ED0" w14:textId="411FFD1C" w:rsidR="005A3F83" w:rsidRPr="00F358E1" w:rsidRDefault="005A3F83"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(-1.331 – 0.407)</w:t>
            </w:r>
          </w:p>
        </w:tc>
        <w:tc>
          <w:tcPr>
            <w:tcW w:w="1565" w:type="dxa"/>
            <w:tcBorders>
              <w:top w:val="single" w:sz="4" w:space="0" w:color="auto"/>
              <w:bottom w:val="single" w:sz="4" w:space="0" w:color="auto"/>
            </w:tcBorders>
            <w:shd w:val="clear" w:color="auto" w:fill="auto"/>
            <w:vAlign w:val="center"/>
          </w:tcPr>
          <w:p w14:paraId="07B036EC" w14:textId="77777777" w:rsidR="00975513" w:rsidRPr="00F358E1" w:rsidRDefault="00FE12A5"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-0.402</w:t>
            </w:r>
          </w:p>
          <w:p w14:paraId="6731D7F5" w14:textId="34930365" w:rsidR="00FE12A5" w:rsidRPr="00F358E1" w:rsidRDefault="00FE12A5"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 xml:space="preserve">(-1.193 – 0.388) </w:t>
            </w:r>
          </w:p>
        </w:tc>
        <w:tc>
          <w:tcPr>
            <w:tcW w:w="1569" w:type="dxa"/>
            <w:tcBorders>
              <w:top w:val="single" w:sz="4" w:space="0" w:color="auto"/>
              <w:bottom w:val="single" w:sz="4" w:space="0" w:color="auto"/>
            </w:tcBorders>
            <w:shd w:val="clear" w:color="auto" w:fill="auto"/>
            <w:vAlign w:val="center"/>
          </w:tcPr>
          <w:p w14:paraId="2D40A08A" w14:textId="77777777" w:rsidR="00975513" w:rsidRPr="00F358E1" w:rsidRDefault="00FE12A5"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-0.114</w:t>
            </w:r>
          </w:p>
          <w:p w14:paraId="14AFF505" w14:textId="7850C170" w:rsidR="00FE12A5" w:rsidRPr="00F358E1" w:rsidRDefault="00FE12A5"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(-1.098 – 0.871)</w:t>
            </w:r>
          </w:p>
        </w:tc>
      </w:tr>
      <w:tr w:rsidR="00975513" w:rsidRPr="002D5F96" w14:paraId="6961321D" w14:textId="77777777" w:rsidTr="00DC2A5C">
        <w:tc>
          <w:tcPr>
            <w:tcW w:w="2211" w:type="dxa"/>
            <w:tcBorders>
              <w:top w:val="single" w:sz="4" w:space="0" w:color="auto"/>
              <w:bottom w:val="single" w:sz="4" w:space="0" w:color="auto"/>
            </w:tcBorders>
            <w:shd w:val="clear" w:color="auto" w:fill="auto"/>
          </w:tcPr>
          <w:p w14:paraId="60BE9FC7" w14:textId="77777777" w:rsidR="00975513" w:rsidRPr="00242EF1" w:rsidRDefault="00975513" w:rsidP="00975513">
            <w:pPr>
              <w:spacing w:after="0" w:line="240" w:lineRule="auto"/>
              <w:jc w:val="right"/>
              <w:rPr>
                <w:rFonts w:ascii="Times New Roman" w:hAnsi="Times New Roman"/>
                <w:sz w:val="20"/>
                <w:szCs w:val="20"/>
                <w:lang w:val="en-GB"/>
              </w:rPr>
            </w:pPr>
            <w:r w:rsidRPr="00242EF1">
              <w:rPr>
                <w:rFonts w:ascii="Times New Roman" w:hAnsi="Times New Roman"/>
                <w:sz w:val="20"/>
                <w:szCs w:val="20"/>
                <w:lang w:val="en-GB"/>
              </w:rPr>
              <w:t>Coeff on hospitalization costs</w:t>
            </w:r>
          </w:p>
        </w:tc>
        <w:tc>
          <w:tcPr>
            <w:tcW w:w="1575" w:type="dxa"/>
            <w:tcBorders>
              <w:top w:val="single" w:sz="4" w:space="0" w:color="auto"/>
              <w:bottom w:val="single" w:sz="4" w:space="0" w:color="auto"/>
            </w:tcBorders>
            <w:shd w:val="clear" w:color="auto" w:fill="auto"/>
            <w:vAlign w:val="center"/>
          </w:tcPr>
          <w:p w14:paraId="34CEC3C8" w14:textId="77777777" w:rsidR="00975513" w:rsidRPr="00F358E1" w:rsidRDefault="00D40649"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-0.380</w:t>
            </w:r>
          </w:p>
          <w:p w14:paraId="21AC7714" w14:textId="388A2D70" w:rsidR="00D40649" w:rsidRPr="00F358E1" w:rsidRDefault="00D40649"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(-1.210 – 0.449)</w:t>
            </w:r>
          </w:p>
        </w:tc>
        <w:tc>
          <w:tcPr>
            <w:tcW w:w="1574" w:type="dxa"/>
            <w:tcBorders>
              <w:top w:val="single" w:sz="4" w:space="0" w:color="auto"/>
              <w:bottom w:val="single" w:sz="4" w:space="0" w:color="auto"/>
            </w:tcBorders>
            <w:shd w:val="clear" w:color="auto" w:fill="auto"/>
            <w:vAlign w:val="center"/>
          </w:tcPr>
          <w:p w14:paraId="7423AE04" w14:textId="77777777" w:rsidR="00975513" w:rsidRPr="00F358E1" w:rsidRDefault="00D40649"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0.150</w:t>
            </w:r>
          </w:p>
          <w:p w14:paraId="51D26097" w14:textId="66369035" w:rsidR="00D40649" w:rsidRPr="00F358E1" w:rsidRDefault="00D40649"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(-0.468 – 0.768)</w:t>
            </w:r>
          </w:p>
        </w:tc>
        <w:tc>
          <w:tcPr>
            <w:tcW w:w="1565" w:type="dxa"/>
            <w:tcBorders>
              <w:top w:val="single" w:sz="4" w:space="0" w:color="auto"/>
              <w:bottom w:val="single" w:sz="4" w:space="0" w:color="auto"/>
            </w:tcBorders>
            <w:shd w:val="clear" w:color="auto" w:fill="auto"/>
            <w:vAlign w:val="center"/>
          </w:tcPr>
          <w:p w14:paraId="7E2F979A" w14:textId="77777777" w:rsidR="00975513" w:rsidRPr="00F358E1" w:rsidRDefault="00D36017"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-0.071</w:t>
            </w:r>
          </w:p>
          <w:p w14:paraId="6C9594EB" w14:textId="7ADD89D6" w:rsidR="00D36017" w:rsidRPr="00F358E1" w:rsidRDefault="00D36017"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(-0.676 – 0.534)</w:t>
            </w:r>
          </w:p>
        </w:tc>
        <w:tc>
          <w:tcPr>
            <w:tcW w:w="1569" w:type="dxa"/>
            <w:tcBorders>
              <w:top w:val="single" w:sz="4" w:space="0" w:color="auto"/>
              <w:bottom w:val="single" w:sz="4" w:space="0" w:color="auto"/>
            </w:tcBorders>
            <w:shd w:val="clear" w:color="auto" w:fill="auto"/>
            <w:vAlign w:val="center"/>
          </w:tcPr>
          <w:p w14:paraId="67A63B2D" w14:textId="77777777" w:rsidR="00975513" w:rsidRPr="00F358E1" w:rsidRDefault="00D36017"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0.279</w:t>
            </w:r>
          </w:p>
          <w:p w14:paraId="3B027C24" w14:textId="0DE20E09" w:rsidR="00D36017" w:rsidRPr="00F358E1" w:rsidRDefault="00D36017"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(-0.390 – 0.948)</w:t>
            </w:r>
          </w:p>
        </w:tc>
      </w:tr>
      <w:tr w:rsidR="00975513" w:rsidRPr="002D5F96" w14:paraId="0F74D613" w14:textId="77777777" w:rsidTr="00137ECF">
        <w:tc>
          <w:tcPr>
            <w:tcW w:w="2211" w:type="dxa"/>
            <w:tcBorders>
              <w:top w:val="single" w:sz="4" w:space="0" w:color="auto"/>
              <w:bottom w:val="single" w:sz="4" w:space="0" w:color="auto"/>
            </w:tcBorders>
            <w:shd w:val="clear" w:color="auto" w:fill="auto"/>
          </w:tcPr>
          <w:p w14:paraId="50CC75D9" w14:textId="77777777" w:rsidR="00975513" w:rsidRPr="00242EF1" w:rsidRDefault="00975513" w:rsidP="00975513">
            <w:pPr>
              <w:spacing w:after="0" w:line="240" w:lineRule="auto"/>
              <w:rPr>
                <w:rFonts w:ascii="Times New Roman" w:hAnsi="Times New Roman"/>
                <w:sz w:val="20"/>
                <w:szCs w:val="20"/>
                <w:lang w:val="en-GB"/>
              </w:rPr>
            </w:pPr>
            <w:r w:rsidRPr="00242EF1">
              <w:rPr>
                <w:rFonts w:ascii="Times New Roman" w:hAnsi="Times New Roman"/>
                <w:sz w:val="20"/>
                <w:szCs w:val="20"/>
                <w:lang w:val="en-GB"/>
              </w:rPr>
              <w:t>Model 2</w:t>
            </w:r>
          </w:p>
        </w:tc>
        <w:tc>
          <w:tcPr>
            <w:tcW w:w="1575" w:type="dxa"/>
            <w:tcBorders>
              <w:top w:val="single" w:sz="4" w:space="0" w:color="auto"/>
              <w:bottom w:val="single" w:sz="4" w:space="0" w:color="auto"/>
            </w:tcBorders>
            <w:shd w:val="clear" w:color="auto" w:fill="auto"/>
          </w:tcPr>
          <w:p w14:paraId="4ED1F493" w14:textId="77777777" w:rsidR="00975513" w:rsidRPr="00F358E1" w:rsidRDefault="00975513" w:rsidP="00975513">
            <w:pPr>
              <w:spacing w:after="0" w:line="240" w:lineRule="auto"/>
              <w:jc w:val="center"/>
              <w:rPr>
                <w:rFonts w:ascii="Times New Roman" w:hAnsi="Times New Roman"/>
                <w:sz w:val="20"/>
                <w:szCs w:val="20"/>
                <w:lang w:val="en-GB"/>
              </w:rPr>
            </w:pPr>
          </w:p>
        </w:tc>
        <w:tc>
          <w:tcPr>
            <w:tcW w:w="1574" w:type="dxa"/>
            <w:tcBorders>
              <w:top w:val="single" w:sz="4" w:space="0" w:color="auto"/>
              <w:bottom w:val="single" w:sz="4" w:space="0" w:color="auto"/>
            </w:tcBorders>
            <w:shd w:val="clear" w:color="auto" w:fill="auto"/>
          </w:tcPr>
          <w:p w14:paraId="67A09712" w14:textId="77777777" w:rsidR="00975513" w:rsidRPr="00F358E1" w:rsidRDefault="00975513" w:rsidP="00975513">
            <w:pPr>
              <w:spacing w:after="0" w:line="240" w:lineRule="auto"/>
              <w:jc w:val="center"/>
              <w:rPr>
                <w:rFonts w:ascii="Times New Roman" w:hAnsi="Times New Roman"/>
                <w:sz w:val="20"/>
                <w:szCs w:val="20"/>
                <w:lang w:val="en-GB"/>
              </w:rPr>
            </w:pPr>
          </w:p>
        </w:tc>
        <w:tc>
          <w:tcPr>
            <w:tcW w:w="1565" w:type="dxa"/>
            <w:tcBorders>
              <w:top w:val="single" w:sz="4" w:space="0" w:color="auto"/>
              <w:bottom w:val="single" w:sz="4" w:space="0" w:color="auto"/>
            </w:tcBorders>
            <w:shd w:val="clear" w:color="auto" w:fill="auto"/>
          </w:tcPr>
          <w:p w14:paraId="16D08E6B" w14:textId="77777777" w:rsidR="00975513" w:rsidRPr="00F358E1" w:rsidRDefault="00975513" w:rsidP="00975513">
            <w:pPr>
              <w:spacing w:after="0" w:line="240" w:lineRule="auto"/>
              <w:jc w:val="center"/>
              <w:rPr>
                <w:rFonts w:ascii="Times New Roman" w:hAnsi="Times New Roman"/>
                <w:sz w:val="20"/>
                <w:szCs w:val="20"/>
                <w:lang w:val="en-GB"/>
              </w:rPr>
            </w:pPr>
          </w:p>
        </w:tc>
        <w:tc>
          <w:tcPr>
            <w:tcW w:w="1569" w:type="dxa"/>
            <w:tcBorders>
              <w:top w:val="single" w:sz="4" w:space="0" w:color="auto"/>
              <w:bottom w:val="single" w:sz="4" w:space="0" w:color="auto"/>
            </w:tcBorders>
            <w:shd w:val="clear" w:color="auto" w:fill="auto"/>
          </w:tcPr>
          <w:p w14:paraId="59F46288" w14:textId="77777777" w:rsidR="00975513" w:rsidRPr="00F358E1" w:rsidRDefault="00975513" w:rsidP="00975513">
            <w:pPr>
              <w:spacing w:after="0" w:line="240" w:lineRule="auto"/>
              <w:jc w:val="center"/>
              <w:rPr>
                <w:rFonts w:ascii="Times New Roman" w:hAnsi="Times New Roman"/>
                <w:sz w:val="20"/>
                <w:szCs w:val="20"/>
                <w:lang w:val="en-GB"/>
              </w:rPr>
            </w:pPr>
          </w:p>
        </w:tc>
      </w:tr>
      <w:tr w:rsidR="00975513" w:rsidRPr="002D5F96" w14:paraId="631E4D18" w14:textId="77777777" w:rsidTr="00137ECF">
        <w:tc>
          <w:tcPr>
            <w:tcW w:w="2211" w:type="dxa"/>
            <w:tcBorders>
              <w:top w:val="single" w:sz="4" w:space="0" w:color="auto"/>
              <w:bottom w:val="single" w:sz="4" w:space="0" w:color="auto"/>
            </w:tcBorders>
            <w:shd w:val="clear" w:color="auto" w:fill="auto"/>
          </w:tcPr>
          <w:p w14:paraId="10454224" w14:textId="77777777" w:rsidR="00975513" w:rsidRPr="00242EF1" w:rsidRDefault="00975513" w:rsidP="00975513">
            <w:pPr>
              <w:spacing w:after="0" w:line="240" w:lineRule="auto"/>
              <w:jc w:val="right"/>
              <w:rPr>
                <w:rFonts w:ascii="Times New Roman" w:hAnsi="Times New Roman"/>
                <w:i/>
                <w:iCs/>
                <w:sz w:val="20"/>
                <w:szCs w:val="20"/>
                <w:lang w:val="en-GB"/>
              </w:rPr>
            </w:pPr>
            <w:r>
              <w:rPr>
                <w:rFonts w:ascii="Times New Roman" w:hAnsi="Times New Roman"/>
                <w:i/>
                <w:iCs/>
                <w:sz w:val="20"/>
                <w:szCs w:val="20"/>
                <w:lang w:val="en-GB"/>
              </w:rPr>
              <w:t>Having</w:t>
            </w:r>
            <w:r w:rsidRPr="00242EF1">
              <w:rPr>
                <w:rFonts w:ascii="Times New Roman" w:hAnsi="Times New Roman"/>
                <w:sz w:val="20"/>
                <w:szCs w:val="20"/>
                <w:lang w:val="en-GB"/>
              </w:rPr>
              <w:t xml:space="preserve"> </w:t>
            </w:r>
            <w:r w:rsidRPr="00242EF1">
              <w:rPr>
                <w:rFonts w:ascii="Times New Roman" w:hAnsi="Times New Roman"/>
                <w:i/>
                <w:iCs/>
                <w:sz w:val="20"/>
                <w:szCs w:val="20"/>
                <w:lang w:val="en-GB"/>
              </w:rPr>
              <w:t>sarcopenia</w:t>
            </w:r>
          </w:p>
        </w:tc>
        <w:tc>
          <w:tcPr>
            <w:tcW w:w="1575" w:type="dxa"/>
            <w:tcBorders>
              <w:top w:val="single" w:sz="4" w:space="0" w:color="auto"/>
              <w:bottom w:val="single" w:sz="4" w:space="0" w:color="auto"/>
            </w:tcBorders>
            <w:shd w:val="clear" w:color="auto" w:fill="auto"/>
          </w:tcPr>
          <w:p w14:paraId="4C070B23" w14:textId="77777777" w:rsidR="00975513" w:rsidRPr="00F358E1" w:rsidRDefault="00975513" w:rsidP="00975513">
            <w:pPr>
              <w:spacing w:after="0" w:line="240" w:lineRule="auto"/>
              <w:jc w:val="center"/>
              <w:rPr>
                <w:rFonts w:ascii="Times New Roman" w:hAnsi="Times New Roman"/>
                <w:sz w:val="20"/>
                <w:szCs w:val="20"/>
                <w:lang w:val="en-GB"/>
              </w:rPr>
            </w:pPr>
          </w:p>
        </w:tc>
        <w:tc>
          <w:tcPr>
            <w:tcW w:w="1574" w:type="dxa"/>
            <w:tcBorders>
              <w:top w:val="single" w:sz="4" w:space="0" w:color="auto"/>
              <w:bottom w:val="single" w:sz="4" w:space="0" w:color="auto"/>
            </w:tcBorders>
            <w:shd w:val="clear" w:color="auto" w:fill="auto"/>
          </w:tcPr>
          <w:p w14:paraId="45431010" w14:textId="77777777" w:rsidR="00975513" w:rsidRPr="00F358E1" w:rsidRDefault="00975513" w:rsidP="00975513">
            <w:pPr>
              <w:spacing w:after="0" w:line="240" w:lineRule="auto"/>
              <w:jc w:val="center"/>
              <w:rPr>
                <w:rFonts w:ascii="Times New Roman" w:hAnsi="Times New Roman"/>
                <w:sz w:val="20"/>
                <w:szCs w:val="20"/>
                <w:lang w:val="en-GB"/>
              </w:rPr>
            </w:pPr>
          </w:p>
        </w:tc>
        <w:tc>
          <w:tcPr>
            <w:tcW w:w="1565" w:type="dxa"/>
            <w:tcBorders>
              <w:top w:val="single" w:sz="4" w:space="0" w:color="auto"/>
              <w:bottom w:val="single" w:sz="4" w:space="0" w:color="auto"/>
            </w:tcBorders>
            <w:shd w:val="clear" w:color="auto" w:fill="auto"/>
          </w:tcPr>
          <w:p w14:paraId="38CC0131" w14:textId="77777777" w:rsidR="00975513" w:rsidRPr="00F358E1" w:rsidRDefault="00975513" w:rsidP="00975513">
            <w:pPr>
              <w:spacing w:after="0" w:line="240" w:lineRule="auto"/>
              <w:jc w:val="center"/>
              <w:rPr>
                <w:rFonts w:ascii="Times New Roman" w:hAnsi="Times New Roman"/>
                <w:sz w:val="20"/>
                <w:szCs w:val="20"/>
                <w:lang w:val="en-GB"/>
              </w:rPr>
            </w:pPr>
          </w:p>
        </w:tc>
        <w:tc>
          <w:tcPr>
            <w:tcW w:w="1569" w:type="dxa"/>
            <w:tcBorders>
              <w:top w:val="single" w:sz="4" w:space="0" w:color="auto"/>
              <w:bottom w:val="single" w:sz="4" w:space="0" w:color="auto"/>
            </w:tcBorders>
            <w:shd w:val="clear" w:color="auto" w:fill="auto"/>
          </w:tcPr>
          <w:p w14:paraId="0556844E" w14:textId="77777777" w:rsidR="00975513" w:rsidRPr="00F358E1" w:rsidRDefault="00975513" w:rsidP="00975513">
            <w:pPr>
              <w:spacing w:after="0" w:line="240" w:lineRule="auto"/>
              <w:jc w:val="center"/>
              <w:rPr>
                <w:rFonts w:ascii="Times New Roman" w:hAnsi="Times New Roman"/>
                <w:sz w:val="20"/>
                <w:szCs w:val="20"/>
                <w:lang w:val="en-GB"/>
              </w:rPr>
            </w:pPr>
          </w:p>
        </w:tc>
      </w:tr>
      <w:tr w:rsidR="00975513" w:rsidRPr="002D5F96" w14:paraId="492E2ED8" w14:textId="77777777" w:rsidTr="00137ECF">
        <w:tc>
          <w:tcPr>
            <w:tcW w:w="2211" w:type="dxa"/>
            <w:tcBorders>
              <w:top w:val="single" w:sz="4" w:space="0" w:color="auto"/>
              <w:bottom w:val="single" w:sz="4" w:space="0" w:color="auto"/>
            </w:tcBorders>
            <w:shd w:val="clear" w:color="auto" w:fill="auto"/>
          </w:tcPr>
          <w:p w14:paraId="1C808ABB" w14:textId="77777777" w:rsidR="00975513" w:rsidRPr="00242EF1" w:rsidRDefault="00975513" w:rsidP="00975513">
            <w:pPr>
              <w:spacing w:after="0" w:line="240" w:lineRule="auto"/>
              <w:jc w:val="right"/>
              <w:rPr>
                <w:rFonts w:ascii="Times New Roman" w:hAnsi="Times New Roman"/>
                <w:i/>
                <w:iCs/>
                <w:sz w:val="20"/>
                <w:szCs w:val="20"/>
                <w:lang w:val="en-GB"/>
              </w:rPr>
            </w:pPr>
            <w:r w:rsidRPr="00242EF1">
              <w:rPr>
                <w:rFonts w:ascii="Times New Roman" w:hAnsi="Times New Roman"/>
                <w:sz w:val="20"/>
                <w:szCs w:val="20"/>
                <w:lang w:val="en-GB"/>
              </w:rPr>
              <w:t>OR on the probability of being admitted to hospital</w:t>
            </w:r>
          </w:p>
        </w:tc>
        <w:tc>
          <w:tcPr>
            <w:tcW w:w="1575" w:type="dxa"/>
            <w:tcBorders>
              <w:top w:val="single" w:sz="4" w:space="0" w:color="auto"/>
              <w:bottom w:val="single" w:sz="4" w:space="0" w:color="auto"/>
            </w:tcBorders>
            <w:shd w:val="clear" w:color="auto" w:fill="auto"/>
          </w:tcPr>
          <w:p w14:paraId="0A56E8D3" w14:textId="0AF0C620" w:rsidR="00975513" w:rsidRPr="00F358E1" w:rsidRDefault="00975513"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1.3</w:t>
            </w:r>
            <w:r w:rsidR="001C5FF8" w:rsidRPr="00F358E1">
              <w:rPr>
                <w:rFonts w:ascii="Times New Roman" w:hAnsi="Times New Roman"/>
                <w:sz w:val="20"/>
                <w:szCs w:val="20"/>
                <w:lang w:val="en-GB"/>
              </w:rPr>
              <w:t>61</w:t>
            </w:r>
          </w:p>
          <w:p w14:paraId="432EA5AB" w14:textId="51CD96B7" w:rsidR="00975513" w:rsidRPr="00F358E1" w:rsidRDefault="00975513"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w:t>
            </w:r>
            <w:r w:rsidR="001C5FF8" w:rsidRPr="00F358E1">
              <w:rPr>
                <w:rFonts w:ascii="Times New Roman" w:hAnsi="Times New Roman"/>
                <w:sz w:val="20"/>
                <w:szCs w:val="20"/>
                <w:lang w:val="en-GB"/>
              </w:rPr>
              <w:t>928 – 1.994</w:t>
            </w:r>
            <w:r w:rsidRPr="00F358E1">
              <w:rPr>
                <w:rFonts w:ascii="Times New Roman" w:hAnsi="Times New Roman"/>
                <w:sz w:val="20"/>
                <w:szCs w:val="20"/>
                <w:lang w:val="en-GB"/>
              </w:rPr>
              <w:t>)</w:t>
            </w:r>
          </w:p>
        </w:tc>
        <w:tc>
          <w:tcPr>
            <w:tcW w:w="1574" w:type="dxa"/>
            <w:tcBorders>
              <w:top w:val="single" w:sz="4" w:space="0" w:color="auto"/>
              <w:bottom w:val="single" w:sz="4" w:space="0" w:color="auto"/>
            </w:tcBorders>
            <w:shd w:val="clear" w:color="auto" w:fill="auto"/>
          </w:tcPr>
          <w:p w14:paraId="6F9661BE" w14:textId="27A7B030" w:rsidR="00975513" w:rsidRPr="00F358E1" w:rsidRDefault="00975513"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1.4</w:t>
            </w:r>
            <w:r w:rsidR="00D40649" w:rsidRPr="00F358E1">
              <w:rPr>
                <w:rFonts w:ascii="Times New Roman" w:hAnsi="Times New Roman"/>
                <w:sz w:val="20"/>
                <w:szCs w:val="20"/>
                <w:lang w:val="en-GB"/>
              </w:rPr>
              <w:t>50</w:t>
            </w:r>
          </w:p>
          <w:p w14:paraId="7730A0F1" w14:textId="34E70A99" w:rsidR="00975513" w:rsidRPr="00F358E1" w:rsidRDefault="00975513"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w:t>
            </w:r>
            <w:r w:rsidR="001C5FF8" w:rsidRPr="00F358E1">
              <w:rPr>
                <w:rFonts w:ascii="Times New Roman" w:hAnsi="Times New Roman"/>
                <w:sz w:val="20"/>
                <w:szCs w:val="20"/>
                <w:lang w:val="en-GB"/>
              </w:rPr>
              <w:t>960 – 2.189</w:t>
            </w:r>
            <w:r w:rsidRPr="00F358E1">
              <w:rPr>
                <w:rFonts w:ascii="Times New Roman" w:hAnsi="Times New Roman"/>
                <w:sz w:val="20"/>
                <w:szCs w:val="20"/>
                <w:lang w:val="en-GB"/>
              </w:rPr>
              <w:t>)</w:t>
            </w:r>
          </w:p>
        </w:tc>
        <w:tc>
          <w:tcPr>
            <w:tcW w:w="1565" w:type="dxa"/>
            <w:tcBorders>
              <w:top w:val="single" w:sz="4" w:space="0" w:color="auto"/>
              <w:bottom w:val="single" w:sz="4" w:space="0" w:color="auto"/>
            </w:tcBorders>
            <w:shd w:val="clear" w:color="auto" w:fill="auto"/>
          </w:tcPr>
          <w:p w14:paraId="1F9B458C" w14:textId="46B86E69" w:rsidR="00975513" w:rsidRPr="00F358E1" w:rsidRDefault="00975513"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1.6</w:t>
            </w:r>
            <w:r w:rsidR="0032379E" w:rsidRPr="00F358E1">
              <w:rPr>
                <w:rFonts w:ascii="Times New Roman" w:hAnsi="Times New Roman"/>
                <w:sz w:val="20"/>
                <w:szCs w:val="20"/>
                <w:lang w:val="en-GB"/>
              </w:rPr>
              <w:t>66</w:t>
            </w:r>
            <w:r w:rsidRPr="00F358E1">
              <w:rPr>
                <w:rFonts w:ascii="Times New Roman" w:hAnsi="Times New Roman"/>
                <w:sz w:val="20"/>
                <w:szCs w:val="20"/>
                <w:lang w:val="en-GB"/>
              </w:rPr>
              <w:t>*</w:t>
            </w:r>
            <w:r w:rsidR="0032379E" w:rsidRPr="00F358E1">
              <w:rPr>
                <w:rFonts w:ascii="Times New Roman" w:hAnsi="Times New Roman"/>
                <w:sz w:val="20"/>
                <w:szCs w:val="20"/>
                <w:lang w:val="en-GB"/>
              </w:rPr>
              <w:t>*</w:t>
            </w:r>
          </w:p>
          <w:p w14:paraId="22C7D96A" w14:textId="51E1CAB4" w:rsidR="00975513" w:rsidRPr="00F358E1" w:rsidRDefault="00975513"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w:t>
            </w:r>
            <w:r w:rsidR="0032379E" w:rsidRPr="00F358E1">
              <w:rPr>
                <w:rFonts w:ascii="Times New Roman" w:hAnsi="Times New Roman"/>
                <w:sz w:val="20"/>
                <w:szCs w:val="20"/>
                <w:lang w:val="en-GB"/>
              </w:rPr>
              <w:t>1.178 – 2.356</w:t>
            </w:r>
            <w:r w:rsidRPr="00F358E1">
              <w:rPr>
                <w:rFonts w:ascii="Times New Roman" w:hAnsi="Times New Roman"/>
                <w:sz w:val="20"/>
                <w:szCs w:val="20"/>
                <w:lang w:val="en-GB"/>
              </w:rPr>
              <w:t>)</w:t>
            </w:r>
          </w:p>
        </w:tc>
        <w:tc>
          <w:tcPr>
            <w:tcW w:w="1569" w:type="dxa"/>
            <w:tcBorders>
              <w:top w:val="single" w:sz="4" w:space="0" w:color="auto"/>
              <w:bottom w:val="single" w:sz="4" w:space="0" w:color="auto"/>
            </w:tcBorders>
            <w:shd w:val="clear" w:color="auto" w:fill="auto"/>
          </w:tcPr>
          <w:p w14:paraId="67EC6AE8" w14:textId="52DA8222" w:rsidR="00975513" w:rsidRPr="00F358E1" w:rsidRDefault="00975513"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1.6</w:t>
            </w:r>
            <w:r w:rsidR="00D36017" w:rsidRPr="00F358E1">
              <w:rPr>
                <w:rFonts w:ascii="Times New Roman" w:hAnsi="Times New Roman"/>
                <w:sz w:val="20"/>
                <w:szCs w:val="20"/>
                <w:lang w:val="en-GB"/>
              </w:rPr>
              <w:t>15</w:t>
            </w:r>
            <w:r w:rsidRPr="00F358E1">
              <w:rPr>
                <w:rFonts w:ascii="Times New Roman" w:hAnsi="Times New Roman"/>
                <w:sz w:val="20"/>
                <w:szCs w:val="20"/>
                <w:lang w:val="en-GB"/>
              </w:rPr>
              <w:t>*</w:t>
            </w:r>
          </w:p>
          <w:p w14:paraId="73CE3758" w14:textId="70D15E37" w:rsidR="00975513" w:rsidRPr="00F358E1" w:rsidRDefault="00975513"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w:t>
            </w:r>
            <w:r w:rsidR="00D36017" w:rsidRPr="00F358E1">
              <w:rPr>
                <w:rFonts w:ascii="Times New Roman" w:hAnsi="Times New Roman"/>
                <w:sz w:val="20"/>
                <w:szCs w:val="20"/>
                <w:lang w:val="en-GB"/>
              </w:rPr>
              <w:t>1.108 – 2.355</w:t>
            </w:r>
            <w:r w:rsidRPr="00F358E1">
              <w:rPr>
                <w:rFonts w:ascii="Times New Roman" w:hAnsi="Times New Roman"/>
                <w:sz w:val="20"/>
                <w:szCs w:val="20"/>
                <w:lang w:val="en-GB"/>
              </w:rPr>
              <w:t>)</w:t>
            </w:r>
          </w:p>
        </w:tc>
      </w:tr>
      <w:tr w:rsidR="00975513" w:rsidRPr="00FB677A" w14:paraId="4A81CD2F" w14:textId="77777777" w:rsidTr="00DC2A5C">
        <w:tc>
          <w:tcPr>
            <w:tcW w:w="2211" w:type="dxa"/>
            <w:tcBorders>
              <w:top w:val="single" w:sz="4" w:space="0" w:color="auto"/>
              <w:bottom w:val="single" w:sz="4" w:space="0" w:color="auto"/>
            </w:tcBorders>
            <w:shd w:val="clear" w:color="auto" w:fill="auto"/>
          </w:tcPr>
          <w:p w14:paraId="0BC7E253" w14:textId="77777777" w:rsidR="00975513" w:rsidRPr="00242EF1" w:rsidRDefault="00975513" w:rsidP="00975513">
            <w:pPr>
              <w:spacing w:after="0" w:line="240" w:lineRule="auto"/>
              <w:jc w:val="right"/>
              <w:rPr>
                <w:rFonts w:ascii="Times New Roman" w:hAnsi="Times New Roman"/>
                <w:i/>
                <w:iCs/>
                <w:sz w:val="20"/>
                <w:szCs w:val="20"/>
                <w:lang w:val="en-GB"/>
              </w:rPr>
            </w:pPr>
            <w:r w:rsidRPr="00242EF1">
              <w:rPr>
                <w:rFonts w:ascii="Times New Roman" w:hAnsi="Times New Roman"/>
                <w:sz w:val="20"/>
                <w:szCs w:val="20"/>
                <w:lang w:val="en-GB"/>
              </w:rPr>
              <w:t>Coeff on number of hospital admissions</w:t>
            </w:r>
          </w:p>
        </w:tc>
        <w:tc>
          <w:tcPr>
            <w:tcW w:w="1575" w:type="dxa"/>
            <w:tcBorders>
              <w:top w:val="single" w:sz="4" w:space="0" w:color="auto"/>
              <w:bottom w:val="single" w:sz="4" w:space="0" w:color="auto"/>
            </w:tcBorders>
            <w:shd w:val="clear" w:color="auto" w:fill="auto"/>
            <w:vAlign w:val="center"/>
          </w:tcPr>
          <w:p w14:paraId="149A9F64" w14:textId="77777777" w:rsidR="00975513" w:rsidRPr="00F358E1" w:rsidRDefault="00C23555"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 xml:space="preserve">0.567 </w:t>
            </w:r>
          </w:p>
          <w:p w14:paraId="1CADCD66" w14:textId="04D27F4D" w:rsidR="00C23555" w:rsidRPr="00F358E1" w:rsidRDefault="00C23555"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(-0.340 – 1.474)</w:t>
            </w:r>
          </w:p>
        </w:tc>
        <w:tc>
          <w:tcPr>
            <w:tcW w:w="1574" w:type="dxa"/>
            <w:tcBorders>
              <w:top w:val="single" w:sz="4" w:space="0" w:color="auto"/>
              <w:bottom w:val="single" w:sz="4" w:space="0" w:color="auto"/>
            </w:tcBorders>
            <w:shd w:val="clear" w:color="auto" w:fill="auto"/>
            <w:vAlign w:val="center"/>
          </w:tcPr>
          <w:p w14:paraId="369589FB" w14:textId="77777777" w:rsidR="00975513" w:rsidRPr="00F358E1" w:rsidRDefault="00C23555"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 xml:space="preserve">0.401 </w:t>
            </w:r>
          </w:p>
          <w:p w14:paraId="64490B27" w14:textId="3D646630" w:rsidR="00C23555" w:rsidRPr="00F358E1" w:rsidRDefault="00C23555"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(-0.579 – 1.380)</w:t>
            </w:r>
          </w:p>
        </w:tc>
        <w:tc>
          <w:tcPr>
            <w:tcW w:w="1565" w:type="dxa"/>
            <w:tcBorders>
              <w:top w:val="single" w:sz="4" w:space="0" w:color="auto"/>
              <w:bottom w:val="single" w:sz="4" w:space="0" w:color="auto"/>
            </w:tcBorders>
            <w:shd w:val="clear" w:color="auto" w:fill="auto"/>
            <w:vAlign w:val="center"/>
          </w:tcPr>
          <w:p w14:paraId="06C31780" w14:textId="77777777" w:rsidR="00975513" w:rsidRPr="00F358E1" w:rsidRDefault="00DC3FD6"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-0.100</w:t>
            </w:r>
          </w:p>
          <w:p w14:paraId="1A0C6540" w14:textId="121AFC67" w:rsidR="00DC3FD6" w:rsidRPr="00F358E1" w:rsidRDefault="00DC3FD6"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 xml:space="preserve">(-0.737 </w:t>
            </w:r>
            <w:r w:rsidR="00043C83" w:rsidRPr="00F358E1">
              <w:rPr>
                <w:rFonts w:ascii="Times New Roman" w:hAnsi="Times New Roman"/>
                <w:sz w:val="20"/>
                <w:szCs w:val="20"/>
                <w:lang w:val="en-GB"/>
              </w:rPr>
              <w:t>–</w:t>
            </w:r>
            <w:r w:rsidRPr="00F358E1">
              <w:rPr>
                <w:rFonts w:ascii="Times New Roman" w:hAnsi="Times New Roman"/>
                <w:sz w:val="20"/>
                <w:szCs w:val="20"/>
                <w:lang w:val="en-GB"/>
              </w:rPr>
              <w:t xml:space="preserve"> </w:t>
            </w:r>
            <w:r w:rsidR="00043C83" w:rsidRPr="00F358E1">
              <w:rPr>
                <w:rFonts w:ascii="Times New Roman" w:hAnsi="Times New Roman"/>
                <w:sz w:val="20"/>
                <w:szCs w:val="20"/>
                <w:lang w:val="en-GB"/>
              </w:rPr>
              <w:t>0.536)</w:t>
            </w:r>
          </w:p>
        </w:tc>
        <w:tc>
          <w:tcPr>
            <w:tcW w:w="1569" w:type="dxa"/>
            <w:tcBorders>
              <w:top w:val="single" w:sz="4" w:space="0" w:color="auto"/>
              <w:bottom w:val="single" w:sz="4" w:space="0" w:color="auto"/>
            </w:tcBorders>
            <w:shd w:val="clear" w:color="auto" w:fill="auto"/>
            <w:vAlign w:val="center"/>
          </w:tcPr>
          <w:p w14:paraId="274CE7B3" w14:textId="77777777" w:rsidR="00975513" w:rsidRPr="00F358E1" w:rsidRDefault="00DC3FD6"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-0.340</w:t>
            </w:r>
          </w:p>
          <w:p w14:paraId="3841AC75" w14:textId="7A8C9849" w:rsidR="00DC3FD6" w:rsidRPr="00F358E1" w:rsidRDefault="00DC3FD6"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(-0.795 – 0.115)</w:t>
            </w:r>
          </w:p>
        </w:tc>
      </w:tr>
      <w:tr w:rsidR="00975513" w:rsidRPr="00FB677A" w14:paraId="18ECCA5C" w14:textId="77777777" w:rsidTr="00DC2A5C">
        <w:tc>
          <w:tcPr>
            <w:tcW w:w="2211" w:type="dxa"/>
            <w:tcBorders>
              <w:top w:val="single" w:sz="4" w:space="0" w:color="auto"/>
              <w:bottom w:val="single" w:sz="4" w:space="0" w:color="auto"/>
            </w:tcBorders>
            <w:shd w:val="clear" w:color="auto" w:fill="auto"/>
          </w:tcPr>
          <w:p w14:paraId="70A96541" w14:textId="77777777" w:rsidR="00975513" w:rsidRPr="00242EF1" w:rsidRDefault="00975513" w:rsidP="00975513">
            <w:pPr>
              <w:spacing w:after="0" w:line="240" w:lineRule="auto"/>
              <w:jc w:val="right"/>
              <w:rPr>
                <w:rFonts w:ascii="Times New Roman" w:hAnsi="Times New Roman"/>
                <w:i/>
                <w:iCs/>
                <w:sz w:val="20"/>
                <w:szCs w:val="20"/>
                <w:lang w:val="en-GB"/>
              </w:rPr>
            </w:pPr>
            <w:r w:rsidRPr="00242EF1">
              <w:rPr>
                <w:rFonts w:ascii="Times New Roman" w:hAnsi="Times New Roman"/>
                <w:sz w:val="20"/>
                <w:szCs w:val="20"/>
                <w:lang w:val="en-GB"/>
              </w:rPr>
              <w:t>Coeff on length of hospitalization</w:t>
            </w:r>
          </w:p>
        </w:tc>
        <w:tc>
          <w:tcPr>
            <w:tcW w:w="1575" w:type="dxa"/>
            <w:tcBorders>
              <w:top w:val="single" w:sz="4" w:space="0" w:color="auto"/>
              <w:bottom w:val="single" w:sz="4" w:space="0" w:color="auto"/>
            </w:tcBorders>
            <w:shd w:val="clear" w:color="auto" w:fill="auto"/>
            <w:vAlign w:val="center"/>
          </w:tcPr>
          <w:p w14:paraId="412A2FF6" w14:textId="77777777" w:rsidR="00975513" w:rsidRPr="00F358E1" w:rsidRDefault="005A3F83"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0.314</w:t>
            </w:r>
          </w:p>
          <w:p w14:paraId="2FAF94E3" w14:textId="3A877E4F" w:rsidR="005A3F83" w:rsidRPr="00F358E1" w:rsidRDefault="005A3F83"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(-0.229 – 0.857)</w:t>
            </w:r>
          </w:p>
        </w:tc>
        <w:tc>
          <w:tcPr>
            <w:tcW w:w="1574" w:type="dxa"/>
            <w:tcBorders>
              <w:top w:val="single" w:sz="4" w:space="0" w:color="auto"/>
              <w:bottom w:val="single" w:sz="4" w:space="0" w:color="auto"/>
            </w:tcBorders>
            <w:shd w:val="clear" w:color="auto" w:fill="auto"/>
            <w:vAlign w:val="center"/>
          </w:tcPr>
          <w:p w14:paraId="650B2C5B" w14:textId="77777777" w:rsidR="00975513" w:rsidRPr="00F358E1" w:rsidRDefault="005A3F83"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0.034</w:t>
            </w:r>
          </w:p>
          <w:p w14:paraId="6B3592E5" w14:textId="1B02C7DD" w:rsidR="005A3F83" w:rsidRPr="00F358E1" w:rsidRDefault="005A3F83"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(-0.479 – 0.547)</w:t>
            </w:r>
          </w:p>
        </w:tc>
        <w:tc>
          <w:tcPr>
            <w:tcW w:w="1565" w:type="dxa"/>
            <w:tcBorders>
              <w:top w:val="single" w:sz="4" w:space="0" w:color="auto"/>
              <w:bottom w:val="single" w:sz="4" w:space="0" w:color="auto"/>
            </w:tcBorders>
            <w:shd w:val="clear" w:color="auto" w:fill="auto"/>
            <w:vAlign w:val="center"/>
          </w:tcPr>
          <w:p w14:paraId="46D452BF" w14:textId="77777777" w:rsidR="00975513" w:rsidRPr="00F358E1" w:rsidRDefault="004E4191"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-0.203</w:t>
            </w:r>
          </w:p>
          <w:p w14:paraId="2931C32E" w14:textId="5888A611" w:rsidR="004E4191" w:rsidRPr="00F358E1" w:rsidRDefault="004E4191"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(-0.661 – 0.255)</w:t>
            </w:r>
          </w:p>
        </w:tc>
        <w:tc>
          <w:tcPr>
            <w:tcW w:w="1569" w:type="dxa"/>
            <w:tcBorders>
              <w:top w:val="single" w:sz="4" w:space="0" w:color="auto"/>
              <w:bottom w:val="single" w:sz="4" w:space="0" w:color="auto"/>
            </w:tcBorders>
            <w:shd w:val="clear" w:color="auto" w:fill="auto"/>
            <w:vAlign w:val="center"/>
          </w:tcPr>
          <w:p w14:paraId="388BEBE8" w14:textId="77777777" w:rsidR="00975513" w:rsidRPr="00F358E1" w:rsidRDefault="00FE12A5"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-0.211</w:t>
            </w:r>
          </w:p>
          <w:p w14:paraId="7149025E" w14:textId="70C61D1D" w:rsidR="00FE12A5" w:rsidRPr="00F358E1" w:rsidRDefault="00FE12A5"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(-0.691 – 0.269)</w:t>
            </w:r>
          </w:p>
        </w:tc>
      </w:tr>
      <w:tr w:rsidR="00975513" w:rsidRPr="002D5F96" w14:paraId="49DEE9E4" w14:textId="77777777" w:rsidTr="00DC2A5C">
        <w:tc>
          <w:tcPr>
            <w:tcW w:w="2211" w:type="dxa"/>
            <w:tcBorders>
              <w:top w:val="single" w:sz="4" w:space="0" w:color="auto"/>
              <w:bottom w:val="single" w:sz="4" w:space="0" w:color="auto"/>
            </w:tcBorders>
            <w:shd w:val="clear" w:color="auto" w:fill="auto"/>
          </w:tcPr>
          <w:p w14:paraId="4F1BE8CA" w14:textId="77777777" w:rsidR="00975513" w:rsidRPr="00242EF1" w:rsidRDefault="00975513" w:rsidP="00975513">
            <w:pPr>
              <w:spacing w:after="0" w:line="240" w:lineRule="auto"/>
              <w:jc w:val="right"/>
              <w:rPr>
                <w:rFonts w:ascii="Times New Roman" w:hAnsi="Times New Roman"/>
                <w:i/>
                <w:iCs/>
                <w:sz w:val="20"/>
                <w:szCs w:val="20"/>
                <w:lang w:val="en-GB"/>
              </w:rPr>
            </w:pPr>
            <w:r w:rsidRPr="00242EF1">
              <w:rPr>
                <w:rFonts w:ascii="Times New Roman" w:hAnsi="Times New Roman"/>
                <w:sz w:val="20"/>
                <w:szCs w:val="20"/>
                <w:lang w:val="en-GB"/>
              </w:rPr>
              <w:t>Coeff on hospitalization costs</w:t>
            </w:r>
          </w:p>
        </w:tc>
        <w:tc>
          <w:tcPr>
            <w:tcW w:w="1575" w:type="dxa"/>
            <w:tcBorders>
              <w:top w:val="single" w:sz="4" w:space="0" w:color="auto"/>
              <w:bottom w:val="single" w:sz="4" w:space="0" w:color="auto"/>
            </w:tcBorders>
            <w:shd w:val="clear" w:color="auto" w:fill="auto"/>
            <w:vAlign w:val="center"/>
          </w:tcPr>
          <w:p w14:paraId="70E4895C" w14:textId="77777777" w:rsidR="00975513" w:rsidRPr="00F358E1" w:rsidRDefault="001C5FF8"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0.078</w:t>
            </w:r>
          </w:p>
          <w:p w14:paraId="2E2EF707" w14:textId="4E057A0E" w:rsidR="001C5FF8" w:rsidRPr="00F358E1" w:rsidRDefault="001C5FF8"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(-0.248 – 0.405)</w:t>
            </w:r>
          </w:p>
        </w:tc>
        <w:tc>
          <w:tcPr>
            <w:tcW w:w="1574" w:type="dxa"/>
            <w:tcBorders>
              <w:top w:val="single" w:sz="4" w:space="0" w:color="auto"/>
              <w:bottom w:val="single" w:sz="4" w:space="0" w:color="auto"/>
            </w:tcBorders>
            <w:shd w:val="clear" w:color="auto" w:fill="auto"/>
            <w:vAlign w:val="center"/>
          </w:tcPr>
          <w:p w14:paraId="09BF60D3" w14:textId="77777777" w:rsidR="00975513" w:rsidRPr="00F358E1" w:rsidRDefault="001C5FF8"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0.111</w:t>
            </w:r>
          </w:p>
          <w:p w14:paraId="3775BF0D" w14:textId="39677D63" w:rsidR="001C5FF8" w:rsidRPr="00F358E1" w:rsidRDefault="001C5FF8"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(-0.271 – 0.493)</w:t>
            </w:r>
          </w:p>
        </w:tc>
        <w:tc>
          <w:tcPr>
            <w:tcW w:w="1565" w:type="dxa"/>
            <w:tcBorders>
              <w:top w:val="single" w:sz="4" w:space="0" w:color="auto"/>
              <w:bottom w:val="single" w:sz="4" w:space="0" w:color="auto"/>
            </w:tcBorders>
            <w:shd w:val="clear" w:color="auto" w:fill="auto"/>
            <w:vAlign w:val="center"/>
          </w:tcPr>
          <w:p w14:paraId="3EBCC7B6" w14:textId="77777777" w:rsidR="00975513" w:rsidRPr="00F358E1" w:rsidRDefault="0032379E"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-0.085</w:t>
            </w:r>
          </w:p>
          <w:p w14:paraId="1A24114D" w14:textId="55AC5E54" w:rsidR="0032379E" w:rsidRPr="00F358E1" w:rsidRDefault="0032379E"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(-0.374 – 0.203)</w:t>
            </w:r>
          </w:p>
        </w:tc>
        <w:tc>
          <w:tcPr>
            <w:tcW w:w="1569" w:type="dxa"/>
            <w:tcBorders>
              <w:top w:val="single" w:sz="4" w:space="0" w:color="auto"/>
              <w:bottom w:val="single" w:sz="4" w:space="0" w:color="auto"/>
            </w:tcBorders>
            <w:shd w:val="clear" w:color="auto" w:fill="auto"/>
            <w:vAlign w:val="center"/>
          </w:tcPr>
          <w:p w14:paraId="77DBA0ED" w14:textId="77777777" w:rsidR="00975513" w:rsidRPr="00F358E1" w:rsidRDefault="00D36017"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-0.158</w:t>
            </w:r>
          </w:p>
          <w:p w14:paraId="62E6C34A" w14:textId="7D9FCF1D" w:rsidR="00D36017" w:rsidRPr="00F358E1" w:rsidRDefault="00D36017"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(-0.425 – 0.109)</w:t>
            </w:r>
          </w:p>
        </w:tc>
      </w:tr>
      <w:tr w:rsidR="00975513" w:rsidRPr="002D5F96" w14:paraId="50F0FF9D" w14:textId="77777777" w:rsidTr="00137ECF">
        <w:tc>
          <w:tcPr>
            <w:tcW w:w="2211" w:type="dxa"/>
            <w:tcBorders>
              <w:top w:val="single" w:sz="4" w:space="0" w:color="auto"/>
              <w:bottom w:val="single" w:sz="4" w:space="0" w:color="auto"/>
            </w:tcBorders>
            <w:shd w:val="clear" w:color="auto" w:fill="auto"/>
          </w:tcPr>
          <w:p w14:paraId="07BF9AE9" w14:textId="77777777" w:rsidR="00975513" w:rsidRPr="00242EF1" w:rsidRDefault="00975513" w:rsidP="00975513">
            <w:pPr>
              <w:spacing w:after="0" w:line="240" w:lineRule="auto"/>
              <w:jc w:val="right"/>
              <w:rPr>
                <w:rFonts w:ascii="Times New Roman" w:hAnsi="Times New Roman"/>
                <w:i/>
                <w:iCs/>
                <w:sz w:val="20"/>
                <w:szCs w:val="20"/>
                <w:lang w:val="en-GB"/>
              </w:rPr>
            </w:pPr>
            <w:r>
              <w:rPr>
                <w:rFonts w:ascii="Times New Roman" w:hAnsi="Times New Roman"/>
                <w:i/>
                <w:iCs/>
                <w:sz w:val="20"/>
                <w:szCs w:val="20"/>
                <w:lang w:val="en-GB"/>
              </w:rPr>
              <w:t>Being frail</w:t>
            </w:r>
          </w:p>
        </w:tc>
        <w:tc>
          <w:tcPr>
            <w:tcW w:w="1575" w:type="dxa"/>
            <w:tcBorders>
              <w:top w:val="single" w:sz="4" w:space="0" w:color="auto"/>
              <w:bottom w:val="single" w:sz="4" w:space="0" w:color="auto"/>
            </w:tcBorders>
            <w:shd w:val="clear" w:color="auto" w:fill="auto"/>
          </w:tcPr>
          <w:p w14:paraId="5CA69045" w14:textId="77777777" w:rsidR="00975513" w:rsidRPr="00F358E1" w:rsidRDefault="00975513" w:rsidP="00975513">
            <w:pPr>
              <w:spacing w:after="0" w:line="240" w:lineRule="auto"/>
              <w:jc w:val="center"/>
              <w:rPr>
                <w:rFonts w:ascii="Times New Roman" w:hAnsi="Times New Roman"/>
                <w:sz w:val="20"/>
                <w:szCs w:val="20"/>
                <w:lang w:val="en-GB"/>
              </w:rPr>
            </w:pPr>
          </w:p>
        </w:tc>
        <w:tc>
          <w:tcPr>
            <w:tcW w:w="1574" w:type="dxa"/>
            <w:tcBorders>
              <w:top w:val="single" w:sz="4" w:space="0" w:color="auto"/>
              <w:bottom w:val="single" w:sz="4" w:space="0" w:color="auto"/>
            </w:tcBorders>
            <w:shd w:val="clear" w:color="auto" w:fill="auto"/>
          </w:tcPr>
          <w:p w14:paraId="7CF986AC" w14:textId="77777777" w:rsidR="00975513" w:rsidRPr="00F358E1" w:rsidRDefault="00975513" w:rsidP="00975513">
            <w:pPr>
              <w:spacing w:after="0" w:line="240" w:lineRule="auto"/>
              <w:jc w:val="center"/>
              <w:rPr>
                <w:rFonts w:ascii="Times New Roman" w:hAnsi="Times New Roman"/>
                <w:sz w:val="20"/>
                <w:szCs w:val="20"/>
                <w:lang w:val="en-GB"/>
              </w:rPr>
            </w:pPr>
          </w:p>
        </w:tc>
        <w:tc>
          <w:tcPr>
            <w:tcW w:w="1565" w:type="dxa"/>
            <w:tcBorders>
              <w:top w:val="single" w:sz="4" w:space="0" w:color="auto"/>
              <w:bottom w:val="single" w:sz="4" w:space="0" w:color="auto"/>
            </w:tcBorders>
            <w:shd w:val="clear" w:color="auto" w:fill="auto"/>
          </w:tcPr>
          <w:p w14:paraId="0BB06C00" w14:textId="77777777" w:rsidR="00975513" w:rsidRPr="00F358E1" w:rsidRDefault="00975513" w:rsidP="00975513">
            <w:pPr>
              <w:spacing w:after="0" w:line="240" w:lineRule="auto"/>
              <w:jc w:val="center"/>
              <w:rPr>
                <w:rFonts w:ascii="Times New Roman" w:hAnsi="Times New Roman"/>
                <w:sz w:val="20"/>
                <w:szCs w:val="20"/>
                <w:lang w:val="en-GB"/>
              </w:rPr>
            </w:pPr>
          </w:p>
        </w:tc>
        <w:tc>
          <w:tcPr>
            <w:tcW w:w="1569" w:type="dxa"/>
            <w:tcBorders>
              <w:top w:val="single" w:sz="4" w:space="0" w:color="auto"/>
              <w:bottom w:val="single" w:sz="4" w:space="0" w:color="auto"/>
            </w:tcBorders>
            <w:shd w:val="clear" w:color="auto" w:fill="auto"/>
          </w:tcPr>
          <w:p w14:paraId="0A2BE4B1" w14:textId="77777777" w:rsidR="00975513" w:rsidRPr="00F358E1" w:rsidRDefault="00975513" w:rsidP="00975513">
            <w:pPr>
              <w:spacing w:after="0" w:line="240" w:lineRule="auto"/>
              <w:jc w:val="center"/>
              <w:rPr>
                <w:rFonts w:ascii="Times New Roman" w:hAnsi="Times New Roman"/>
                <w:sz w:val="20"/>
                <w:szCs w:val="20"/>
                <w:lang w:val="en-GB"/>
              </w:rPr>
            </w:pPr>
          </w:p>
        </w:tc>
      </w:tr>
      <w:tr w:rsidR="00975513" w:rsidRPr="002D5F96" w14:paraId="6EA1A61B" w14:textId="77777777" w:rsidTr="00137ECF">
        <w:tc>
          <w:tcPr>
            <w:tcW w:w="2211" w:type="dxa"/>
            <w:tcBorders>
              <w:top w:val="single" w:sz="4" w:space="0" w:color="auto"/>
              <w:bottom w:val="single" w:sz="4" w:space="0" w:color="auto"/>
            </w:tcBorders>
            <w:shd w:val="clear" w:color="auto" w:fill="auto"/>
          </w:tcPr>
          <w:p w14:paraId="488B1568" w14:textId="77777777" w:rsidR="00975513" w:rsidRPr="00242EF1" w:rsidRDefault="00975513" w:rsidP="00975513">
            <w:pPr>
              <w:spacing w:after="0" w:line="240" w:lineRule="auto"/>
              <w:jc w:val="right"/>
              <w:rPr>
                <w:rFonts w:ascii="Times New Roman" w:hAnsi="Times New Roman"/>
                <w:i/>
                <w:iCs/>
                <w:sz w:val="20"/>
                <w:szCs w:val="20"/>
                <w:lang w:val="en-GB"/>
              </w:rPr>
            </w:pPr>
            <w:r w:rsidRPr="00242EF1">
              <w:rPr>
                <w:rFonts w:ascii="Times New Roman" w:hAnsi="Times New Roman"/>
                <w:sz w:val="20"/>
                <w:szCs w:val="20"/>
                <w:lang w:val="en-GB"/>
              </w:rPr>
              <w:t>OR on the probability of being admitted to hospital</w:t>
            </w:r>
          </w:p>
        </w:tc>
        <w:tc>
          <w:tcPr>
            <w:tcW w:w="1575" w:type="dxa"/>
            <w:tcBorders>
              <w:top w:val="single" w:sz="4" w:space="0" w:color="auto"/>
              <w:bottom w:val="single" w:sz="4" w:space="0" w:color="auto"/>
            </w:tcBorders>
            <w:shd w:val="clear" w:color="auto" w:fill="auto"/>
          </w:tcPr>
          <w:p w14:paraId="1AC11BCA" w14:textId="26D0197C" w:rsidR="00975513" w:rsidRPr="00F358E1" w:rsidRDefault="00975513"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2.</w:t>
            </w:r>
            <w:r w:rsidR="001C5FF8" w:rsidRPr="00F358E1">
              <w:rPr>
                <w:rFonts w:ascii="Times New Roman" w:hAnsi="Times New Roman"/>
                <w:sz w:val="20"/>
                <w:szCs w:val="20"/>
                <w:lang w:val="en-GB"/>
              </w:rPr>
              <w:t>154</w:t>
            </w:r>
          </w:p>
          <w:p w14:paraId="7D53C229" w14:textId="79518CF6" w:rsidR="00975513" w:rsidRPr="00F358E1" w:rsidRDefault="00975513"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w:t>
            </w:r>
            <w:r w:rsidR="001C5FF8" w:rsidRPr="00F358E1">
              <w:rPr>
                <w:rFonts w:ascii="Times New Roman" w:hAnsi="Times New Roman"/>
                <w:sz w:val="20"/>
                <w:szCs w:val="20"/>
                <w:lang w:val="en-GB"/>
              </w:rPr>
              <w:t>.963 – 4.821</w:t>
            </w:r>
            <w:r w:rsidRPr="00F358E1">
              <w:rPr>
                <w:rFonts w:ascii="Times New Roman" w:hAnsi="Times New Roman"/>
                <w:sz w:val="20"/>
                <w:szCs w:val="20"/>
                <w:lang w:val="en-GB"/>
              </w:rPr>
              <w:t>)</w:t>
            </w:r>
          </w:p>
        </w:tc>
        <w:tc>
          <w:tcPr>
            <w:tcW w:w="1574" w:type="dxa"/>
            <w:tcBorders>
              <w:top w:val="single" w:sz="4" w:space="0" w:color="auto"/>
              <w:bottom w:val="single" w:sz="4" w:space="0" w:color="auto"/>
            </w:tcBorders>
            <w:shd w:val="clear" w:color="auto" w:fill="auto"/>
          </w:tcPr>
          <w:p w14:paraId="114C9E6D" w14:textId="08EF8CEB" w:rsidR="00975513" w:rsidRPr="00F358E1" w:rsidRDefault="00975513"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0.9</w:t>
            </w:r>
            <w:r w:rsidR="001C5FF8" w:rsidRPr="00F358E1">
              <w:rPr>
                <w:rFonts w:ascii="Times New Roman" w:hAnsi="Times New Roman"/>
                <w:sz w:val="20"/>
                <w:szCs w:val="20"/>
                <w:lang w:val="en-GB"/>
              </w:rPr>
              <w:t>10</w:t>
            </w:r>
          </w:p>
          <w:p w14:paraId="43667511" w14:textId="28151C99" w:rsidR="00975513" w:rsidRPr="00F358E1" w:rsidRDefault="00975513"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w:t>
            </w:r>
            <w:r w:rsidR="001C5FF8" w:rsidRPr="00F358E1">
              <w:rPr>
                <w:rFonts w:ascii="Times New Roman" w:hAnsi="Times New Roman"/>
                <w:sz w:val="20"/>
                <w:szCs w:val="20"/>
                <w:lang w:val="en-GB"/>
              </w:rPr>
              <w:t>348 – 2.379</w:t>
            </w:r>
            <w:r w:rsidRPr="00F358E1">
              <w:rPr>
                <w:rFonts w:ascii="Times New Roman" w:hAnsi="Times New Roman"/>
                <w:sz w:val="20"/>
                <w:szCs w:val="20"/>
                <w:lang w:val="en-GB"/>
              </w:rPr>
              <w:t>)</w:t>
            </w:r>
          </w:p>
        </w:tc>
        <w:tc>
          <w:tcPr>
            <w:tcW w:w="1565" w:type="dxa"/>
            <w:tcBorders>
              <w:top w:val="single" w:sz="4" w:space="0" w:color="auto"/>
              <w:bottom w:val="single" w:sz="4" w:space="0" w:color="auto"/>
            </w:tcBorders>
            <w:shd w:val="clear" w:color="auto" w:fill="auto"/>
          </w:tcPr>
          <w:p w14:paraId="4CA5F33A" w14:textId="450B81DB" w:rsidR="00975513" w:rsidRPr="00F358E1" w:rsidRDefault="00975513"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2.</w:t>
            </w:r>
            <w:r w:rsidR="0032379E" w:rsidRPr="00F358E1">
              <w:rPr>
                <w:rFonts w:ascii="Times New Roman" w:hAnsi="Times New Roman"/>
                <w:sz w:val="20"/>
                <w:szCs w:val="20"/>
                <w:lang w:val="en-GB"/>
              </w:rPr>
              <w:t>027</w:t>
            </w:r>
          </w:p>
          <w:p w14:paraId="1570E10C" w14:textId="3793F37A" w:rsidR="00975513" w:rsidRPr="00F358E1" w:rsidRDefault="00975513"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w:t>
            </w:r>
            <w:r w:rsidR="0032379E" w:rsidRPr="00F358E1">
              <w:rPr>
                <w:rFonts w:ascii="Times New Roman" w:hAnsi="Times New Roman"/>
                <w:sz w:val="20"/>
                <w:szCs w:val="20"/>
                <w:lang w:val="en-GB"/>
              </w:rPr>
              <w:t>0.937 – 4.389</w:t>
            </w:r>
            <w:r w:rsidRPr="00F358E1">
              <w:rPr>
                <w:rFonts w:ascii="Times New Roman" w:hAnsi="Times New Roman"/>
                <w:sz w:val="20"/>
                <w:szCs w:val="20"/>
                <w:lang w:val="en-GB"/>
              </w:rPr>
              <w:t>)</w:t>
            </w:r>
          </w:p>
        </w:tc>
        <w:tc>
          <w:tcPr>
            <w:tcW w:w="1569" w:type="dxa"/>
            <w:tcBorders>
              <w:top w:val="single" w:sz="4" w:space="0" w:color="auto"/>
              <w:bottom w:val="single" w:sz="4" w:space="0" w:color="auto"/>
            </w:tcBorders>
            <w:shd w:val="clear" w:color="auto" w:fill="auto"/>
          </w:tcPr>
          <w:p w14:paraId="26764F32" w14:textId="428C77F5" w:rsidR="00975513" w:rsidRPr="00F358E1" w:rsidRDefault="00975513"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2.</w:t>
            </w:r>
            <w:r w:rsidR="00D36017" w:rsidRPr="00F358E1">
              <w:rPr>
                <w:rFonts w:ascii="Times New Roman" w:hAnsi="Times New Roman"/>
                <w:sz w:val="20"/>
                <w:szCs w:val="20"/>
                <w:lang w:val="en-GB"/>
              </w:rPr>
              <w:t>645</w:t>
            </w:r>
            <w:r w:rsidRPr="00F358E1">
              <w:rPr>
                <w:rFonts w:ascii="Times New Roman" w:hAnsi="Times New Roman"/>
                <w:sz w:val="20"/>
                <w:szCs w:val="20"/>
                <w:lang w:val="en-GB"/>
              </w:rPr>
              <w:t>*</w:t>
            </w:r>
          </w:p>
          <w:p w14:paraId="23C8EFBB" w14:textId="47B9B0C2" w:rsidR="00975513" w:rsidRPr="00F358E1" w:rsidRDefault="00975513"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(1.</w:t>
            </w:r>
            <w:r w:rsidR="00D36017" w:rsidRPr="00F358E1">
              <w:rPr>
                <w:rFonts w:ascii="Times New Roman" w:hAnsi="Times New Roman"/>
                <w:sz w:val="20"/>
                <w:szCs w:val="20"/>
                <w:lang w:val="en-GB"/>
              </w:rPr>
              <w:t>129 – 6.200</w:t>
            </w:r>
            <w:r w:rsidRPr="00F358E1">
              <w:rPr>
                <w:rFonts w:ascii="Times New Roman" w:hAnsi="Times New Roman"/>
                <w:sz w:val="20"/>
                <w:szCs w:val="20"/>
                <w:lang w:val="en-GB"/>
              </w:rPr>
              <w:t>)</w:t>
            </w:r>
          </w:p>
        </w:tc>
      </w:tr>
      <w:tr w:rsidR="00975513" w:rsidRPr="00FB677A" w14:paraId="20AEB3F6" w14:textId="77777777" w:rsidTr="00DC2A5C">
        <w:tc>
          <w:tcPr>
            <w:tcW w:w="2211" w:type="dxa"/>
            <w:tcBorders>
              <w:top w:val="single" w:sz="4" w:space="0" w:color="auto"/>
              <w:bottom w:val="single" w:sz="4" w:space="0" w:color="auto"/>
            </w:tcBorders>
            <w:shd w:val="clear" w:color="auto" w:fill="auto"/>
          </w:tcPr>
          <w:p w14:paraId="4A6E5D75" w14:textId="77777777" w:rsidR="00975513" w:rsidRPr="00242EF1" w:rsidRDefault="00975513" w:rsidP="00975513">
            <w:pPr>
              <w:spacing w:after="0" w:line="240" w:lineRule="auto"/>
              <w:jc w:val="right"/>
              <w:rPr>
                <w:rFonts w:ascii="Times New Roman" w:hAnsi="Times New Roman"/>
                <w:i/>
                <w:iCs/>
                <w:sz w:val="20"/>
                <w:szCs w:val="20"/>
                <w:lang w:val="en-GB"/>
              </w:rPr>
            </w:pPr>
            <w:r w:rsidRPr="00242EF1">
              <w:rPr>
                <w:rFonts w:ascii="Times New Roman" w:hAnsi="Times New Roman"/>
                <w:sz w:val="20"/>
                <w:szCs w:val="20"/>
                <w:lang w:val="en-GB"/>
              </w:rPr>
              <w:t>Coeff on number of hospital admissions</w:t>
            </w:r>
          </w:p>
        </w:tc>
        <w:tc>
          <w:tcPr>
            <w:tcW w:w="1575" w:type="dxa"/>
            <w:tcBorders>
              <w:top w:val="single" w:sz="4" w:space="0" w:color="auto"/>
              <w:bottom w:val="single" w:sz="4" w:space="0" w:color="auto"/>
            </w:tcBorders>
            <w:shd w:val="clear" w:color="auto" w:fill="auto"/>
            <w:vAlign w:val="center"/>
          </w:tcPr>
          <w:p w14:paraId="5B16F363" w14:textId="77777777" w:rsidR="00975513" w:rsidRPr="00F358E1" w:rsidRDefault="00C23555"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0.416</w:t>
            </w:r>
          </w:p>
          <w:p w14:paraId="46D45712" w14:textId="4451E820" w:rsidR="00C23555" w:rsidRPr="00F358E1" w:rsidRDefault="00C23555"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(-0.823 – 1.655)</w:t>
            </w:r>
          </w:p>
        </w:tc>
        <w:tc>
          <w:tcPr>
            <w:tcW w:w="1574" w:type="dxa"/>
            <w:tcBorders>
              <w:top w:val="single" w:sz="4" w:space="0" w:color="auto"/>
              <w:bottom w:val="single" w:sz="4" w:space="0" w:color="auto"/>
            </w:tcBorders>
            <w:shd w:val="clear" w:color="auto" w:fill="auto"/>
            <w:vAlign w:val="center"/>
          </w:tcPr>
          <w:p w14:paraId="614D852E" w14:textId="77777777" w:rsidR="00975513" w:rsidRPr="00F358E1" w:rsidRDefault="00C23555"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0.363</w:t>
            </w:r>
          </w:p>
          <w:p w14:paraId="08B60354" w14:textId="6A7AC822" w:rsidR="00C23555" w:rsidRPr="00F358E1" w:rsidRDefault="00C23555"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(-0.778 – 1.504)</w:t>
            </w:r>
          </w:p>
        </w:tc>
        <w:tc>
          <w:tcPr>
            <w:tcW w:w="1565" w:type="dxa"/>
            <w:tcBorders>
              <w:top w:val="single" w:sz="4" w:space="0" w:color="auto"/>
              <w:bottom w:val="single" w:sz="4" w:space="0" w:color="auto"/>
            </w:tcBorders>
            <w:shd w:val="clear" w:color="auto" w:fill="auto"/>
            <w:vAlign w:val="center"/>
          </w:tcPr>
          <w:p w14:paraId="13F3B7D5" w14:textId="5D7D2532" w:rsidR="00975513" w:rsidRPr="00F358E1" w:rsidRDefault="00043C83"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 xml:space="preserve">0.687* </w:t>
            </w:r>
          </w:p>
          <w:p w14:paraId="276C0C8D" w14:textId="3985A881" w:rsidR="00043C83" w:rsidRPr="00F358E1" w:rsidRDefault="00043C83"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(0.135 – 1.240)</w:t>
            </w:r>
          </w:p>
        </w:tc>
        <w:tc>
          <w:tcPr>
            <w:tcW w:w="1569" w:type="dxa"/>
            <w:tcBorders>
              <w:top w:val="single" w:sz="4" w:space="0" w:color="auto"/>
              <w:bottom w:val="single" w:sz="4" w:space="0" w:color="auto"/>
            </w:tcBorders>
            <w:shd w:val="clear" w:color="auto" w:fill="auto"/>
            <w:vAlign w:val="center"/>
          </w:tcPr>
          <w:p w14:paraId="12EE43D0" w14:textId="77777777" w:rsidR="00975513" w:rsidRPr="00F358E1" w:rsidRDefault="00DC3FD6"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0.321</w:t>
            </w:r>
          </w:p>
          <w:p w14:paraId="2D2FDFF0" w14:textId="6449B073" w:rsidR="00DC3FD6" w:rsidRPr="00F358E1" w:rsidRDefault="00DC3FD6"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(-0.410 – 1.053)</w:t>
            </w:r>
          </w:p>
        </w:tc>
      </w:tr>
      <w:tr w:rsidR="00975513" w:rsidRPr="00FB677A" w14:paraId="12EA1815" w14:textId="77777777" w:rsidTr="00DC2A5C">
        <w:tc>
          <w:tcPr>
            <w:tcW w:w="2211" w:type="dxa"/>
            <w:tcBorders>
              <w:top w:val="single" w:sz="4" w:space="0" w:color="auto"/>
              <w:bottom w:val="single" w:sz="4" w:space="0" w:color="auto"/>
            </w:tcBorders>
            <w:shd w:val="clear" w:color="auto" w:fill="auto"/>
          </w:tcPr>
          <w:p w14:paraId="693A9990" w14:textId="77777777" w:rsidR="00975513" w:rsidRPr="00242EF1" w:rsidRDefault="00975513" w:rsidP="00975513">
            <w:pPr>
              <w:spacing w:after="0" w:line="240" w:lineRule="auto"/>
              <w:jc w:val="right"/>
              <w:rPr>
                <w:rFonts w:ascii="Times New Roman" w:hAnsi="Times New Roman"/>
                <w:i/>
                <w:iCs/>
                <w:sz w:val="20"/>
                <w:szCs w:val="20"/>
                <w:lang w:val="en-GB"/>
              </w:rPr>
            </w:pPr>
            <w:r w:rsidRPr="00242EF1">
              <w:rPr>
                <w:rFonts w:ascii="Times New Roman" w:hAnsi="Times New Roman"/>
                <w:sz w:val="20"/>
                <w:szCs w:val="20"/>
                <w:lang w:val="en-GB"/>
              </w:rPr>
              <w:t>Coeff on length of hospitalization</w:t>
            </w:r>
          </w:p>
        </w:tc>
        <w:tc>
          <w:tcPr>
            <w:tcW w:w="1575" w:type="dxa"/>
            <w:tcBorders>
              <w:top w:val="single" w:sz="4" w:space="0" w:color="auto"/>
              <w:bottom w:val="single" w:sz="4" w:space="0" w:color="auto"/>
            </w:tcBorders>
            <w:shd w:val="clear" w:color="auto" w:fill="auto"/>
            <w:vAlign w:val="center"/>
          </w:tcPr>
          <w:p w14:paraId="1EA69CA1" w14:textId="77777777" w:rsidR="00975513" w:rsidRPr="00F358E1" w:rsidRDefault="005A3F83"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1.256***</w:t>
            </w:r>
          </w:p>
          <w:p w14:paraId="216BC0F4" w14:textId="6880C317" w:rsidR="005A3F83" w:rsidRPr="00F358E1" w:rsidRDefault="005A3F83"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(0.716 – 1.796)</w:t>
            </w:r>
          </w:p>
        </w:tc>
        <w:tc>
          <w:tcPr>
            <w:tcW w:w="1574" w:type="dxa"/>
            <w:tcBorders>
              <w:top w:val="single" w:sz="4" w:space="0" w:color="auto"/>
              <w:bottom w:val="single" w:sz="4" w:space="0" w:color="auto"/>
            </w:tcBorders>
            <w:shd w:val="clear" w:color="auto" w:fill="auto"/>
            <w:vAlign w:val="center"/>
          </w:tcPr>
          <w:p w14:paraId="2B4511F3" w14:textId="4FE52D51" w:rsidR="00975513" w:rsidRPr="00F358E1" w:rsidRDefault="005A3F83"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0.945**</w:t>
            </w:r>
          </w:p>
          <w:p w14:paraId="5BB58787" w14:textId="20039ED0" w:rsidR="005A3F83" w:rsidRPr="00F358E1" w:rsidRDefault="005A3F83"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(0.380 – 1-510)</w:t>
            </w:r>
          </w:p>
        </w:tc>
        <w:tc>
          <w:tcPr>
            <w:tcW w:w="1565" w:type="dxa"/>
            <w:tcBorders>
              <w:top w:val="single" w:sz="4" w:space="0" w:color="auto"/>
              <w:bottom w:val="single" w:sz="4" w:space="0" w:color="auto"/>
            </w:tcBorders>
            <w:shd w:val="clear" w:color="auto" w:fill="auto"/>
            <w:vAlign w:val="center"/>
          </w:tcPr>
          <w:p w14:paraId="32845516" w14:textId="77777777" w:rsidR="00975513" w:rsidRPr="00F358E1" w:rsidRDefault="004E4191"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0.918**</w:t>
            </w:r>
          </w:p>
          <w:p w14:paraId="20009FE5" w14:textId="666DCE91" w:rsidR="004E4191" w:rsidRPr="00F358E1" w:rsidRDefault="004E4191"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(0.250 – 1.585)</w:t>
            </w:r>
          </w:p>
        </w:tc>
        <w:tc>
          <w:tcPr>
            <w:tcW w:w="1569" w:type="dxa"/>
            <w:tcBorders>
              <w:top w:val="single" w:sz="4" w:space="0" w:color="auto"/>
              <w:bottom w:val="single" w:sz="4" w:space="0" w:color="auto"/>
            </w:tcBorders>
            <w:shd w:val="clear" w:color="auto" w:fill="auto"/>
            <w:vAlign w:val="center"/>
          </w:tcPr>
          <w:p w14:paraId="0F789059" w14:textId="77777777" w:rsidR="00975513" w:rsidRPr="00F358E1" w:rsidRDefault="00FE12A5"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0.348</w:t>
            </w:r>
          </w:p>
          <w:p w14:paraId="2E73289F" w14:textId="23A2B1DF" w:rsidR="00FE12A5" w:rsidRPr="00F358E1" w:rsidRDefault="00FE12A5"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(-0.53</w:t>
            </w:r>
            <w:r w:rsidR="004E4191" w:rsidRPr="00F358E1">
              <w:rPr>
                <w:rFonts w:ascii="Times New Roman" w:hAnsi="Times New Roman"/>
                <w:sz w:val="20"/>
                <w:szCs w:val="20"/>
                <w:lang w:val="en-GB"/>
              </w:rPr>
              <w:t>8 – 1.235)</w:t>
            </w:r>
          </w:p>
        </w:tc>
      </w:tr>
      <w:tr w:rsidR="00975513" w:rsidRPr="002D5F96" w14:paraId="30A77DEB" w14:textId="77777777" w:rsidTr="00DC2A5C">
        <w:tc>
          <w:tcPr>
            <w:tcW w:w="2211" w:type="dxa"/>
            <w:tcBorders>
              <w:top w:val="single" w:sz="4" w:space="0" w:color="auto"/>
              <w:bottom w:val="single" w:sz="4" w:space="0" w:color="auto"/>
            </w:tcBorders>
            <w:shd w:val="clear" w:color="auto" w:fill="auto"/>
          </w:tcPr>
          <w:p w14:paraId="39AA9992" w14:textId="77777777" w:rsidR="00975513" w:rsidRPr="00242EF1" w:rsidRDefault="00975513" w:rsidP="00975513">
            <w:pPr>
              <w:spacing w:after="0" w:line="240" w:lineRule="auto"/>
              <w:jc w:val="right"/>
              <w:rPr>
                <w:rFonts w:ascii="Times New Roman" w:hAnsi="Times New Roman"/>
                <w:i/>
                <w:iCs/>
                <w:sz w:val="20"/>
                <w:szCs w:val="20"/>
                <w:lang w:val="en-GB"/>
              </w:rPr>
            </w:pPr>
            <w:r w:rsidRPr="00242EF1">
              <w:rPr>
                <w:rFonts w:ascii="Times New Roman" w:hAnsi="Times New Roman"/>
                <w:sz w:val="20"/>
                <w:szCs w:val="20"/>
                <w:lang w:val="en-GB"/>
              </w:rPr>
              <w:t>Coeff on hospitalization costs</w:t>
            </w:r>
          </w:p>
        </w:tc>
        <w:tc>
          <w:tcPr>
            <w:tcW w:w="1575" w:type="dxa"/>
            <w:tcBorders>
              <w:top w:val="single" w:sz="4" w:space="0" w:color="auto"/>
              <w:bottom w:val="single" w:sz="4" w:space="0" w:color="auto"/>
            </w:tcBorders>
            <w:shd w:val="clear" w:color="auto" w:fill="auto"/>
            <w:vAlign w:val="center"/>
          </w:tcPr>
          <w:p w14:paraId="27888BEE" w14:textId="77777777" w:rsidR="00975513" w:rsidRPr="00F358E1" w:rsidRDefault="001C5FF8"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0.379</w:t>
            </w:r>
          </w:p>
          <w:p w14:paraId="011B27B9" w14:textId="10768A91" w:rsidR="001C5FF8" w:rsidRPr="00F358E1" w:rsidRDefault="001C5FF8"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(-0.205 – 0.962)</w:t>
            </w:r>
          </w:p>
        </w:tc>
        <w:tc>
          <w:tcPr>
            <w:tcW w:w="1574" w:type="dxa"/>
            <w:tcBorders>
              <w:top w:val="single" w:sz="4" w:space="0" w:color="auto"/>
              <w:bottom w:val="single" w:sz="4" w:space="0" w:color="auto"/>
            </w:tcBorders>
            <w:shd w:val="clear" w:color="auto" w:fill="auto"/>
            <w:vAlign w:val="center"/>
          </w:tcPr>
          <w:p w14:paraId="7C2BEE2F" w14:textId="77777777" w:rsidR="00975513" w:rsidRPr="00F358E1" w:rsidRDefault="001C5FF8"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-0.258</w:t>
            </w:r>
          </w:p>
          <w:p w14:paraId="7AD5B36F" w14:textId="6E1E0F92" w:rsidR="001C5FF8" w:rsidRPr="00F358E1" w:rsidRDefault="001C5FF8"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(-0.648 – 0.131)</w:t>
            </w:r>
          </w:p>
        </w:tc>
        <w:tc>
          <w:tcPr>
            <w:tcW w:w="1565" w:type="dxa"/>
            <w:tcBorders>
              <w:top w:val="single" w:sz="4" w:space="0" w:color="auto"/>
              <w:bottom w:val="single" w:sz="4" w:space="0" w:color="auto"/>
            </w:tcBorders>
            <w:shd w:val="clear" w:color="auto" w:fill="auto"/>
            <w:vAlign w:val="center"/>
          </w:tcPr>
          <w:p w14:paraId="57C7BC59" w14:textId="77777777" w:rsidR="00975513" w:rsidRPr="00F358E1" w:rsidRDefault="0032379E"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0.312</w:t>
            </w:r>
          </w:p>
          <w:p w14:paraId="204A3199" w14:textId="68D6DCA9" w:rsidR="0032379E" w:rsidRPr="00F358E1" w:rsidRDefault="0032379E"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(-0.139 – 0.763)</w:t>
            </w:r>
          </w:p>
        </w:tc>
        <w:tc>
          <w:tcPr>
            <w:tcW w:w="1569" w:type="dxa"/>
            <w:tcBorders>
              <w:top w:val="single" w:sz="4" w:space="0" w:color="auto"/>
              <w:bottom w:val="single" w:sz="4" w:space="0" w:color="auto"/>
            </w:tcBorders>
            <w:shd w:val="clear" w:color="auto" w:fill="auto"/>
            <w:vAlign w:val="center"/>
          </w:tcPr>
          <w:p w14:paraId="0E02CB8C" w14:textId="77777777" w:rsidR="00975513" w:rsidRPr="00F358E1" w:rsidRDefault="00D36017"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0.100</w:t>
            </w:r>
          </w:p>
          <w:p w14:paraId="74D1D363" w14:textId="09926477" w:rsidR="00D36017" w:rsidRPr="00F358E1" w:rsidRDefault="00D36017"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 xml:space="preserve">(-0.410 </w:t>
            </w:r>
            <w:r w:rsidR="0032379E" w:rsidRPr="00F358E1">
              <w:rPr>
                <w:rFonts w:ascii="Times New Roman" w:hAnsi="Times New Roman"/>
                <w:sz w:val="20"/>
                <w:szCs w:val="20"/>
                <w:lang w:val="en-GB"/>
              </w:rPr>
              <w:t>–</w:t>
            </w:r>
            <w:r w:rsidRPr="00F358E1">
              <w:rPr>
                <w:rFonts w:ascii="Times New Roman" w:hAnsi="Times New Roman"/>
                <w:sz w:val="20"/>
                <w:szCs w:val="20"/>
                <w:lang w:val="en-GB"/>
              </w:rPr>
              <w:t xml:space="preserve"> </w:t>
            </w:r>
            <w:r w:rsidR="0032379E" w:rsidRPr="00F358E1">
              <w:rPr>
                <w:rFonts w:ascii="Times New Roman" w:hAnsi="Times New Roman"/>
                <w:sz w:val="20"/>
                <w:szCs w:val="20"/>
                <w:lang w:val="en-GB"/>
              </w:rPr>
              <w:t>0.610)</w:t>
            </w:r>
          </w:p>
        </w:tc>
      </w:tr>
      <w:tr w:rsidR="00975513" w:rsidRPr="002D5F96" w14:paraId="646DF5E5" w14:textId="77777777" w:rsidTr="00137ECF">
        <w:tc>
          <w:tcPr>
            <w:tcW w:w="2211" w:type="dxa"/>
            <w:tcBorders>
              <w:top w:val="single" w:sz="4" w:space="0" w:color="auto"/>
              <w:bottom w:val="single" w:sz="4" w:space="0" w:color="auto"/>
            </w:tcBorders>
            <w:shd w:val="clear" w:color="auto" w:fill="auto"/>
          </w:tcPr>
          <w:p w14:paraId="24966B14" w14:textId="77777777" w:rsidR="00975513" w:rsidRPr="00242EF1" w:rsidRDefault="00975513" w:rsidP="00975513">
            <w:pPr>
              <w:spacing w:after="0" w:line="240" w:lineRule="auto"/>
              <w:jc w:val="right"/>
              <w:rPr>
                <w:rFonts w:ascii="Times New Roman" w:hAnsi="Times New Roman"/>
                <w:sz w:val="20"/>
                <w:szCs w:val="20"/>
                <w:lang w:val="en-GB"/>
              </w:rPr>
            </w:pPr>
            <w:r w:rsidRPr="00242EF1">
              <w:rPr>
                <w:rFonts w:ascii="Times New Roman" w:hAnsi="Times New Roman"/>
                <w:i/>
                <w:iCs/>
                <w:sz w:val="20"/>
                <w:szCs w:val="20"/>
                <w:lang w:val="en-GB"/>
              </w:rPr>
              <w:lastRenderedPageBreak/>
              <w:t>Frail # with sarcopenia</w:t>
            </w:r>
          </w:p>
        </w:tc>
        <w:tc>
          <w:tcPr>
            <w:tcW w:w="1575" w:type="dxa"/>
            <w:tcBorders>
              <w:top w:val="single" w:sz="4" w:space="0" w:color="auto"/>
              <w:bottom w:val="single" w:sz="4" w:space="0" w:color="auto"/>
            </w:tcBorders>
            <w:shd w:val="clear" w:color="auto" w:fill="auto"/>
          </w:tcPr>
          <w:p w14:paraId="3996956A" w14:textId="77777777" w:rsidR="00975513" w:rsidRPr="00F358E1" w:rsidRDefault="00975513" w:rsidP="00975513">
            <w:pPr>
              <w:spacing w:after="0" w:line="240" w:lineRule="auto"/>
              <w:jc w:val="center"/>
              <w:rPr>
                <w:rFonts w:ascii="Times New Roman" w:hAnsi="Times New Roman"/>
                <w:sz w:val="20"/>
                <w:szCs w:val="20"/>
                <w:lang w:val="en-GB"/>
              </w:rPr>
            </w:pPr>
          </w:p>
        </w:tc>
        <w:tc>
          <w:tcPr>
            <w:tcW w:w="1574" w:type="dxa"/>
            <w:tcBorders>
              <w:top w:val="single" w:sz="4" w:space="0" w:color="auto"/>
              <w:bottom w:val="single" w:sz="4" w:space="0" w:color="auto"/>
            </w:tcBorders>
            <w:shd w:val="clear" w:color="auto" w:fill="auto"/>
          </w:tcPr>
          <w:p w14:paraId="60EED15B" w14:textId="77777777" w:rsidR="00975513" w:rsidRPr="00F358E1" w:rsidRDefault="00975513" w:rsidP="00975513">
            <w:pPr>
              <w:spacing w:after="0" w:line="240" w:lineRule="auto"/>
              <w:jc w:val="center"/>
              <w:rPr>
                <w:rFonts w:ascii="Times New Roman" w:hAnsi="Times New Roman"/>
                <w:sz w:val="20"/>
                <w:szCs w:val="20"/>
                <w:lang w:val="en-GB"/>
              </w:rPr>
            </w:pPr>
          </w:p>
        </w:tc>
        <w:tc>
          <w:tcPr>
            <w:tcW w:w="1565" w:type="dxa"/>
            <w:tcBorders>
              <w:top w:val="single" w:sz="4" w:space="0" w:color="auto"/>
              <w:bottom w:val="single" w:sz="4" w:space="0" w:color="auto"/>
            </w:tcBorders>
            <w:shd w:val="clear" w:color="auto" w:fill="auto"/>
          </w:tcPr>
          <w:p w14:paraId="44E285B2" w14:textId="77777777" w:rsidR="00975513" w:rsidRPr="00F358E1" w:rsidRDefault="00975513" w:rsidP="00975513">
            <w:pPr>
              <w:spacing w:after="0" w:line="240" w:lineRule="auto"/>
              <w:jc w:val="center"/>
              <w:rPr>
                <w:rFonts w:ascii="Times New Roman" w:hAnsi="Times New Roman"/>
                <w:sz w:val="20"/>
                <w:szCs w:val="20"/>
                <w:lang w:val="en-GB"/>
              </w:rPr>
            </w:pPr>
          </w:p>
        </w:tc>
        <w:tc>
          <w:tcPr>
            <w:tcW w:w="1569" w:type="dxa"/>
            <w:tcBorders>
              <w:top w:val="single" w:sz="4" w:space="0" w:color="auto"/>
              <w:bottom w:val="single" w:sz="4" w:space="0" w:color="auto"/>
            </w:tcBorders>
            <w:shd w:val="clear" w:color="auto" w:fill="auto"/>
          </w:tcPr>
          <w:p w14:paraId="412FDE3F" w14:textId="77777777" w:rsidR="00975513" w:rsidRPr="00F358E1" w:rsidRDefault="00975513" w:rsidP="00975513">
            <w:pPr>
              <w:spacing w:after="0" w:line="240" w:lineRule="auto"/>
              <w:jc w:val="center"/>
              <w:rPr>
                <w:rFonts w:ascii="Times New Roman" w:hAnsi="Times New Roman"/>
                <w:sz w:val="20"/>
                <w:szCs w:val="20"/>
                <w:lang w:val="en-GB"/>
              </w:rPr>
            </w:pPr>
          </w:p>
        </w:tc>
      </w:tr>
      <w:tr w:rsidR="00975513" w:rsidRPr="002D5F96" w14:paraId="651B32F4" w14:textId="77777777" w:rsidTr="00137ECF">
        <w:tc>
          <w:tcPr>
            <w:tcW w:w="2211" w:type="dxa"/>
            <w:tcBorders>
              <w:top w:val="single" w:sz="4" w:space="0" w:color="auto"/>
              <w:bottom w:val="single" w:sz="4" w:space="0" w:color="auto"/>
            </w:tcBorders>
            <w:shd w:val="clear" w:color="auto" w:fill="auto"/>
          </w:tcPr>
          <w:p w14:paraId="697F3851" w14:textId="77777777" w:rsidR="00975513" w:rsidRPr="00242EF1" w:rsidRDefault="00975513" w:rsidP="00975513">
            <w:pPr>
              <w:spacing w:after="0" w:line="240" w:lineRule="auto"/>
              <w:jc w:val="right"/>
              <w:rPr>
                <w:rFonts w:ascii="Times New Roman" w:hAnsi="Times New Roman"/>
                <w:sz w:val="20"/>
                <w:szCs w:val="20"/>
                <w:lang w:val="en-GB"/>
              </w:rPr>
            </w:pPr>
            <w:r w:rsidRPr="00242EF1">
              <w:rPr>
                <w:rFonts w:ascii="Times New Roman" w:hAnsi="Times New Roman"/>
                <w:sz w:val="20"/>
                <w:szCs w:val="20"/>
                <w:lang w:val="en-GB"/>
              </w:rPr>
              <w:t>OR on the probability of being admitted to hospital</w:t>
            </w:r>
          </w:p>
        </w:tc>
        <w:tc>
          <w:tcPr>
            <w:tcW w:w="1575" w:type="dxa"/>
            <w:tcBorders>
              <w:top w:val="single" w:sz="4" w:space="0" w:color="auto"/>
              <w:bottom w:val="single" w:sz="4" w:space="0" w:color="auto"/>
            </w:tcBorders>
            <w:shd w:val="clear" w:color="auto" w:fill="auto"/>
          </w:tcPr>
          <w:p w14:paraId="50A06B5E" w14:textId="5EE3FCE2" w:rsidR="00975513" w:rsidRPr="00F358E1" w:rsidRDefault="001C5FF8"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1.025</w:t>
            </w:r>
          </w:p>
          <w:p w14:paraId="3543DD3A" w14:textId="54925964" w:rsidR="00975513" w:rsidRPr="00F358E1" w:rsidRDefault="00975513"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w:t>
            </w:r>
            <w:r w:rsidR="001C5FF8" w:rsidRPr="00F358E1">
              <w:rPr>
                <w:rFonts w:ascii="Times New Roman" w:hAnsi="Times New Roman"/>
                <w:sz w:val="20"/>
                <w:szCs w:val="20"/>
                <w:lang w:val="en-GB"/>
              </w:rPr>
              <w:t>0.367 – 2.860</w:t>
            </w:r>
            <w:r w:rsidRPr="00F358E1">
              <w:rPr>
                <w:rFonts w:ascii="Times New Roman" w:hAnsi="Times New Roman"/>
                <w:sz w:val="20"/>
                <w:szCs w:val="20"/>
                <w:lang w:val="en-GB"/>
              </w:rPr>
              <w:t>)</w:t>
            </w:r>
          </w:p>
        </w:tc>
        <w:tc>
          <w:tcPr>
            <w:tcW w:w="1574" w:type="dxa"/>
            <w:tcBorders>
              <w:top w:val="single" w:sz="4" w:space="0" w:color="auto"/>
              <w:bottom w:val="single" w:sz="4" w:space="0" w:color="auto"/>
            </w:tcBorders>
            <w:shd w:val="clear" w:color="auto" w:fill="auto"/>
          </w:tcPr>
          <w:p w14:paraId="49E4EE23" w14:textId="77777777" w:rsidR="00975513" w:rsidRPr="00F358E1" w:rsidRDefault="00975513" w:rsidP="001C5FF8">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1.</w:t>
            </w:r>
            <w:r w:rsidR="001C5FF8" w:rsidRPr="00F358E1">
              <w:rPr>
                <w:rFonts w:ascii="Times New Roman" w:hAnsi="Times New Roman"/>
                <w:sz w:val="20"/>
                <w:szCs w:val="20"/>
                <w:lang w:val="en-GB"/>
              </w:rPr>
              <w:t>256</w:t>
            </w:r>
          </w:p>
          <w:p w14:paraId="6FE871BE" w14:textId="7FC76D28" w:rsidR="001C5FF8" w:rsidRPr="00F358E1" w:rsidRDefault="001C5FF8" w:rsidP="001C5FF8">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(0.423 – 3.731)</w:t>
            </w:r>
          </w:p>
        </w:tc>
        <w:tc>
          <w:tcPr>
            <w:tcW w:w="1565" w:type="dxa"/>
            <w:tcBorders>
              <w:top w:val="single" w:sz="4" w:space="0" w:color="auto"/>
              <w:bottom w:val="single" w:sz="4" w:space="0" w:color="auto"/>
            </w:tcBorders>
            <w:shd w:val="clear" w:color="auto" w:fill="auto"/>
          </w:tcPr>
          <w:p w14:paraId="43607511" w14:textId="3079F080" w:rsidR="00975513" w:rsidRPr="00F358E1" w:rsidRDefault="00975513"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w:t>
            </w:r>
            <w:r w:rsidR="0032379E" w:rsidRPr="00F358E1">
              <w:rPr>
                <w:rFonts w:ascii="Times New Roman" w:hAnsi="Times New Roman"/>
                <w:sz w:val="20"/>
                <w:szCs w:val="20"/>
                <w:lang w:val="en-GB"/>
              </w:rPr>
              <w:t>739</w:t>
            </w:r>
          </w:p>
          <w:p w14:paraId="6677EE81" w14:textId="6F124FF6" w:rsidR="00975513" w:rsidRPr="00F358E1" w:rsidRDefault="00975513"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(0.2</w:t>
            </w:r>
            <w:r w:rsidR="0032379E" w:rsidRPr="00F358E1">
              <w:rPr>
                <w:rFonts w:ascii="Times New Roman" w:hAnsi="Times New Roman"/>
                <w:sz w:val="20"/>
                <w:szCs w:val="20"/>
                <w:lang w:val="en-GB"/>
              </w:rPr>
              <w:t>74 – 1.994</w:t>
            </w:r>
            <w:r w:rsidRPr="00F358E1">
              <w:rPr>
                <w:rFonts w:ascii="Times New Roman" w:hAnsi="Times New Roman"/>
                <w:sz w:val="20"/>
                <w:szCs w:val="20"/>
                <w:lang w:val="en-GB"/>
              </w:rPr>
              <w:t>)</w:t>
            </w:r>
          </w:p>
        </w:tc>
        <w:tc>
          <w:tcPr>
            <w:tcW w:w="1569" w:type="dxa"/>
            <w:tcBorders>
              <w:top w:val="single" w:sz="4" w:space="0" w:color="auto"/>
              <w:bottom w:val="single" w:sz="4" w:space="0" w:color="auto"/>
            </w:tcBorders>
            <w:shd w:val="clear" w:color="auto" w:fill="auto"/>
          </w:tcPr>
          <w:p w14:paraId="2205C932" w14:textId="718E689B" w:rsidR="00975513" w:rsidRPr="00F358E1" w:rsidRDefault="00975513"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0.5</w:t>
            </w:r>
            <w:r w:rsidR="0032379E" w:rsidRPr="00F358E1">
              <w:rPr>
                <w:rFonts w:ascii="Times New Roman" w:hAnsi="Times New Roman"/>
                <w:sz w:val="20"/>
                <w:szCs w:val="20"/>
                <w:lang w:val="en-GB"/>
              </w:rPr>
              <w:t>25</w:t>
            </w:r>
          </w:p>
          <w:p w14:paraId="53044014" w14:textId="152A8BCE" w:rsidR="00975513" w:rsidRPr="00F358E1" w:rsidRDefault="00975513"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w:t>
            </w:r>
            <w:r w:rsidR="0032379E" w:rsidRPr="00F358E1">
              <w:rPr>
                <w:rFonts w:ascii="Times New Roman" w:hAnsi="Times New Roman"/>
                <w:sz w:val="20"/>
                <w:szCs w:val="20"/>
                <w:lang w:val="en-GB"/>
              </w:rPr>
              <w:t>197 – 1.400</w:t>
            </w:r>
            <w:r w:rsidRPr="00F358E1">
              <w:rPr>
                <w:rFonts w:ascii="Times New Roman" w:hAnsi="Times New Roman"/>
                <w:sz w:val="20"/>
                <w:szCs w:val="20"/>
                <w:lang w:val="en-GB"/>
              </w:rPr>
              <w:t>)</w:t>
            </w:r>
          </w:p>
        </w:tc>
      </w:tr>
      <w:tr w:rsidR="00975513" w:rsidRPr="00FB677A" w14:paraId="051694ED" w14:textId="77777777" w:rsidTr="00DC2A5C">
        <w:tc>
          <w:tcPr>
            <w:tcW w:w="2211" w:type="dxa"/>
            <w:tcBorders>
              <w:top w:val="single" w:sz="4" w:space="0" w:color="auto"/>
              <w:bottom w:val="single" w:sz="4" w:space="0" w:color="auto"/>
            </w:tcBorders>
            <w:shd w:val="clear" w:color="auto" w:fill="auto"/>
          </w:tcPr>
          <w:p w14:paraId="5F7EA5DD" w14:textId="77777777" w:rsidR="00975513" w:rsidRPr="00242EF1" w:rsidRDefault="00975513" w:rsidP="00975513">
            <w:pPr>
              <w:spacing w:after="0" w:line="240" w:lineRule="auto"/>
              <w:jc w:val="right"/>
              <w:rPr>
                <w:rFonts w:ascii="Times New Roman" w:hAnsi="Times New Roman"/>
                <w:sz w:val="20"/>
                <w:szCs w:val="20"/>
                <w:lang w:val="en-GB"/>
              </w:rPr>
            </w:pPr>
            <w:r w:rsidRPr="00242EF1">
              <w:rPr>
                <w:rFonts w:ascii="Times New Roman" w:hAnsi="Times New Roman"/>
                <w:sz w:val="20"/>
                <w:szCs w:val="20"/>
                <w:lang w:val="en-GB"/>
              </w:rPr>
              <w:t>Coeff on number of hospital admissions</w:t>
            </w:r>
          </w:p>
        </w:tc>
        <w:tc>
          <w:tcPr>
            <w:tcW w:w="1575" w:type="dxa"/>
            <w:tcBorders>
              <w:top w:val="single" w:sz="4" w:space="0" w:color="auto"/>
              <w:bottom w:val="single" w:sz="4" w:space="0" w:color="auto"/>
            </w:tcBorders>
            <w:shd w:val="clear" w:color="auto" w:fill="auto"/>
            <w:vAlign w:val="center"/>
          </w:tcPr>
          <w:p w14:paraId="750178F9" w14:textId="77777777" w:rsidR="00975513" w:rsidRPr="00F358E1" w:rsidRDefault="00975513"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 xml:space="preserve">-0.465 </w:t>
            </w:r>
          </w:p>
          <w:p w14:paraId="626AE715" w14:textId="548AD241" w:rsidR="00975513" w:rsidRPr="00F358E1" w:rsidRDefault="00975513"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(-2.015 – 1.084)</w:t>
            </w:r>
          </w:p>
        </w:tc>
        <w:tc>
          <w:tcPr>
            <w:tcW w:w="1574" w:type="dxa"/>
            <w:tcBorders>
              <w:top w:val="single" w:sz="4" w:space="0" w:color="auto"/>
              <w:bottom w:val="single" w:sz="4" w:space="0" w:color="auto"/>
            </w:tcBorders>
            <w:shd w:val="clear" w:color="auto" w:fill="auto"/>
            <w:vAlign w:val="center"/>
          </w:tcPr>
          <w:p w14:paraId="6CB0F3BB" w14:textId="77777777" w:rsidR="00975513" w:rsidRPr="00F358E1" w:rsidRDefault="00975513"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-0.082</w:t>
            </w:r>
          </w:p>
          <w:p w14:paraId="5B0C31B9" w14:textId="5B835141" w:rsidR="00975513" w:rsidRPr="00F358E1" w:rsidRDefault="00975513"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(-1.595 – 1.430)</w:t>
            </w:r>
          </w:p>
        </w:tc>
        <w:tc>
          <w:tcPr>
            <w:tcW w:w="1565" w:type="dxa"/>
            <w:tcBorders>
              <w:top w:val="single" w:sz="4" w:space="0" w:color="auto"/>
              <w:bottom w:val="single" w:sz="4" w:space="0" w:color="auto"/>
            </w:tcBorders>
            <w:shd w:val="clear" w:color="auto" w:fill="auto"/>
            <w:vAlign w:val="center"/>
          </w:tcPr>
          <w:p w14:paraId="341C90FF" w14:textId="77777777" w:rsidR="00975513" w:rsidRPr="00F358E1" w:rsidRDefault="00043C83"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-0.149</w:t>
            </w:r>
          </w:p>
          <w:p w14:paraId="0A889C18" w14:textId="431119B5" w:rsidR="00043C83" w:rsidRPr="00F358E1" w:rsidRDefault="00043C83"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(-0.965 – 0.666)</w:t>
            </w:r>
          </w:p>
        </w:tc>
        <w:tc>
          <w:tcPr>
            <w:tcW w:w="1569" w:type="dxa"/>
            <w:tcBorders>
              <w:top w:val="single" w:sz="4" w:space="0" w:color="auto"/>
              <w:bottom w:val="single" w:sz="4" w:space="0" w:color="auto"/>
            </w:tcBorders>
            <w:shd w:val="clear" w:color="auto" w:fill="auto"/>
            <w:vAlign w:val="center"/>
          </w:tcPr>
          <w:p w14:paraId="5C9E9CDE" w14:textId="77777777" w:rsidR="00975513" w:rsidRPr="00F358E1" w:rsidRDefault="00043C83"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0.334</w:t>
            </w:r>
          </w:p>
          <w:p w14:paraId="61E40EBF" w14:textId="596D60EC" w:rsidR="00043C83" w:rsidRPr="00F358E1" w:rsidRDefault="00043C83"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(-0.565 – 1.233)</w:t>
            </w:r>
          </w:p>
        </w:tc>
      </w:tr>
      <w:tr w:rsidR="00975513" w:rsidRPr="00FB677A" w14:paraId="00868419" w14:textId="77777777" w:rsidTr="00DC2A5C">
        <w:tc>
          <w:tcPr>
            <w:tcW w:w="2211" w:type="dxa"/>
            <w:tcBorders>
              <w:top w:val="single" w:sz="4" w:space="0" w:color="auto"/>
              <w:bottom w:val="single" w:sz="4" w:space="0" w:color="auto"/>
            </w:tcBorders>
            <w:shd w:val="clear" w:color="auto" w:fill="auto"/>
          </w:tcPr>
          <w:p w14:paraId="4E5BEBEA" w14:textId="77777777" w:rsidR="00975513" w:rsidRPr="00242EF1" w:rsidRDefault="00975513" w:rsidP="00975513">
            <w:pPr>
              <w:spacing w:after="0" w:line="240" w:lineRule="auto"/>
              <w:jc w:val="right"/>
              <w:rPr>
                <w:rFonts w:ascii="Times New Roman" w:hAnsi="Times New Roman"/>
                <w:sz w:val="20"/>
                <w:szCs w:val="20"/>
                <w:lang w:val="en-GB"/>
              </w:rPr>
            </w:pPr>
            <w:r w:rsidRPr="00242EF1">
              <w:rPr>
                <w:rFonts w:ascii="Times New Roman" w:hAnsi="Times New Roman"/>
                <w:sz w:val="20"/>
                <w:szCs w:val="20"/>
                <w:lang w:val="en-GB"/>
              </w:rPr>
              <w:t>Coeff on length of hospitalization</w:t>
            </w:r>
          </w:p>
        </w:tc>
        <w:tc>
          <w:tcPr>
            <w:tcW w:w="1575" w:type="dxa"/>
            <w:tcBorders>
              <w:top w:val="single" w:sz="4" w:space="0" w:color="auto"/>
              <w:bottom w:val="single" w:sz="4" w:space="0" w:color="auto"/>
            </w:tcBorders>
            <w:shd w:val="clear" w:color="auto" w:fill="auto"/>
            <w:vAlign w:val="center"/>
          </w:tcPr>
          <w:p w14:paraId="235C3A28" w14:textId="77777777" w:rsidR="00975513" w:rsidRPr="00F358E1" w:rsidRDefault="005A3F83"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-1.142</w:t>
            </w:r>
          </w:p>
          <w:p w14:paraId="4EF92725" w14:textId="4DEC4AD9" w:rsidR="005A3F83" w:rsidRPr="00F358E1" w:rsidRDefault="005A3F83"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(2.316 – 0.032)</w:t>
            </w:r>
          </w:p>
        </w:tc>
        <w:tc>
          <w:tcPr>
            <w:tcW w:w="1574" w:type="dxa"/>
            <w:tcBorders>
              <w:top w:val="single" w:sz="4" w:space="0" w:color="auto"/>
              <w:bottom w:val="single" w:sz="4" w:space="0" w:color="auto"/>
            </w:tcBorders>
            <w:shd w:val="clear" w:color="auto" w:fill="auto"/>
            <w:vAlign w:val="center"/>
          </w:tcPr>
          <w:p w14:paraId="6EBDB0B4" w14:textId="77777777" w:rsidR="00975513" w:rsidRPr="00F358E1" w:rsidRDefault="005A3F83"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-0.578</w:t>
            </w:r>
          </w:p>
          <w:p w14:paraId="36350297" w14:textId="77D7B921" w:rsidR="005A3F83" w:rsidRPr="00F358E1" w:rsidRDefault="005A3F83"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(-1.423 – 0.266)</w:t>
            </w:r>
          </w:p>
        </w:tc>
        <w:tc>
          <w:tcPr>
            <w:tcW w:w="1565" w:type="dxa"/>
            <w:tcBorders>
              <w:top w:val="single" w:sz="4" w:space="0" w:color="auto"/>
              <w:bottom w:val="single" w:sz="4" w:space="0" w:color="auto"/>
            </w:tcBorders>
            <w:shd w:val="clear" w:color="auto" w:fill="auto"/>
            <w:vAlign w:val="center"/>
          </w:tcPr>
          <w:p w14:paraId="5A7BC2B4" w14:textId="77777777" w:rsidR="00975513" w:rsidRPr="00F358E1" w:rsidRDefault="004E4191"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-0.344</w:t>
            </w:r>
          </w:p>
          <w:p w14:paraId="6AA42951" w14:textId="73E4DAEB" w:rsidR="004E4191" w:rsidRPr="00F358E1" w:rsidRDefault="004E4191"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(-1.164 – 0.475)</w:t>
            </w:r>
          </w:p>
        </w:tc>
        <w:tc>
          <w:tcPr>
            <w:tcW w:w="1569" w:type="dxa"/>
            <w:tcBorders>
              <w:top w:val="single" w:sz="4" w:space="0" w:color="auto"/>
              <w:bottom w:val="single" w:sz="4" w:space="0" w:color="auto"/>
            </w:tcBorders>
            <w:shd w:val="clear" w:color="auto" w:fill="auto"/>
            <w:vAlign w:val="center"/>
          </w:tcPr>
          <w:p w14:paraId="0EC3863F" w14:textId="77777777" w:rsidR="00975513" w:rsidRPr="00F358E1" w:rsidRDefault="004E4191"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-0.124</w:t>
            </w:r>
          </w:p>
          <w:p w14:paraId="316B6821" w14:textId="433C4C94" w:rsidR="004E4191" w:rsidRPr="00F358E1" w:rsidRDefault="004E4191"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(-1.146 – 0.897)</w:t>
            </w:r>
          </w:p>
        </w:tc>
      </w:tr>
      <w:tr w:rsidR="00975513" w:rsidRPr="002D5F96" w14:paraId="405CC802" w14:textId="77777777" w:rsidTr="00DC2A5C">
        <w:tc>
          <w:tcPr>
            <w:tcW w:w="2211" w:type="dxa"/>
            <w:tcBorders>
              <w:top w:val="single" w:sz="4" w:space="0" w:color="auto"/>
              <w:bottom w:val="single" w:sz="4" w:space="0" w:color="auto"/>
            </w:tcBorders>
            <w:shd w:val="clear" w:color="auto" w:fill="auto"/>
          </w:tcPr>
          <w:p w14:paraId="438658D9" w14:textId="77777777" w:rsidR="00975513" w:rsidRPr="00242EF1" w:rsidRDefault="00975513" w:rsidP="00975513">
            <w:pPr>
              <w:spacing w:after="0" w:line="240" w:lineRule="auto"/>
              <w:jc w:val="right"/>
              <w:rPr>
                <w:rFonts w:ascii="Times New Roman" w:hAnsi="Times New Roman"/>
                <w:sz w:val="20"/>
                <w:szCs w:val="20"/>
                <w:lang w:val="en-GB"/>
              </w:rPr>
            </w:pPr>
            <w:r w:rsidRPr="00242EF1">
              <w:rPr>
                <w:rFonts w:ascii="Times New Roman" w:hAnsi="Times New Roman"/>
                <w:sz w:val="20"/>
                <w:szCs w:val="20"/>
                <w:lang w:val="en-GB"/>
              </w:rPr>
              <w:t>Coeff on hospitalization costs</w:t>
            </w:r>
          </w:p>
        </w:tc>
        <w:tc>
          <w:tcPr>
            <w:tcW w:w="1575" w:type="dxa"/>
            <w:tcBorders>
              <w:top w:val="single" w:sz="4" w:space="0" w:color="auto"/>
              <w:bottom w:val="single" w:sz="4" w:space="0" w:color="auto"/>
            </w:tcBorders>
            <w:shd w:val="clear" w:color="auto" w:fill="auto"/>
            <w:vAlign w:val="center"/>
          </w:tcPr>
          <w:p w14:paraId="558572C6" w14:textId="77777777" w:rsidR="00975513" w:rsidRPr="00F358E1" w:rsidRDefault="001C5FF8"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-0.343</w:t>
            </w:r>
          </w:p>
          <w:p w14:paraId="0F6DFFA1" w14:textId="6CE3E26C" w:rsidR="001C5FF8" w:rsidRPr="00F358E1" w:rsidRDefault="001C5FF8"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(-1.112 – 0.426)</w:t>
            </w:r>
          </w:p>
        </w:tc>
        <w:tc>
          <w:tcPr>
            <w:tcW w:w="1574" w:type="dxa"/>
            <w:tcBorders>
              <w:top w:val="single" w:sz="4" w:space="0" w:color="auto"/>
              <w:bottom w:val="single" w:sz="4" w:space="0" w:color="auto"/>
            </w:tcBorders>
            <w:shd w:val="clear" w:color="auto" w:fill="auto"/>
            <w:vAlign w:val="center"/>
          </w:tcPr>
          <w:p w14:paraId="0450561A" w14:textId="77777777" w:rsidR="00975513" w:rsidRPr="00F358E1" w:rsidRDefault="001C5FF8"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0.094</w:t>
            </w:r>
          </w:p>
          <w:p w14:paraId="00CCE731" w14:textId="41D661F5" w:rsidR="001C5FF8" w:rsidRPr="00F358E1" w:rsidRDefault="001C5FF8"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(-0.490 – 0.677)</w:t>
            </w:r>
          </w:p>
        </w:tc>
        <w:tc>
          <w:tcPr>
            <w:tcW w:w="1565" w:type="dxa"/>
            <w:tcBorders>
              <w:top w:val="single" w:sz="4" w:space="0" w:color="auto"/>
              <w:bottom w:val="single" w:sz="4" w:space="0" w:color="auto"/>
            </w:tcBorders>
            <w:shd w:val="clear" w:color="auto" w:fill="auto"/>
            <w:vAlign w:val="center"/>
          </w:tcPr>
          <w:p w14:paraId="647B8CA8" w14:textId="77777777" w:rsidR="00975513" w:rsidRPr="00F358E1" w:rsidRDefault="0032379E"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-0.060</w:t>
            </w:r>
          </w:p>
          <w:p w14:paraId="2DDD9767" w14:textId="3E7A0956" w:rsidR="0032379E" w:rsidRPr="00F358E1" w:rsidRDefault="0032379E"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(-0.626 – 0.507)</w:t>
            </w:r>
          </w:p>
        </w:tc>
        <w:tc>
          <w:tcPr>
            <w:tcW w:w="1569" w:type="dxa"/>
            <w:tcBorders>
              <w:top w:val="single" w:sz="4" w:space="0" w:color="auto"/>
              <w:bottom w:val="single" w:sz="4" w:space="0" w:color="auto"/>
            </w:tcBorders>
            <w:shd w:val="clear" w:color="auto" w:fill="auto"/>
            <w:vAlign w:val="center"/>
          </w:tcPr>
          <w:p w14:paraId="51D1D57A" w14:textId="77777777" w:rsidR="00975513" w:rsidRPr="00F358E1" w:rsidRDefault="0032379E"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0.149</w:t>
            </w:r>
          </w:p>
          <w:p w14:paraId="6B874B33" w14:textId="38531898" w:rsidR="0032379E" w:rsidRPr="00F358E1" w:rsidRDefault="0032379E"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(-0.454 – 0.752)</w:t>
            </w:r>
          </w:p>
        </w:tc>
      </w:tr>
      <w:tr w:rsidR="00975513" w:rsidRPr="002D5F96" w14:paraId="267CBF44" w14:textId="77777777" w:rsidTr="00137ECF">
        <w:tc>
          <w:tcPr>
            <w:tcW w:w="2211" w:type="dxa"/>
            <w:tcBorders>
              <w:top w:val="single" w:sz="4" w:space="0" w:color="auto"/>
              <w:bottom w:val="single" w:sz="4" w:space="0" w:color="auto"/>
            </w:tcBorders>
            <w:shd w:val="clear" w:color="auto" w:fill="auto"/>
          </w:tcPr>
          <w:p w14:paraId="4271BE88" w14:textId="77777777" w:rsidR="00975513" w:rsidRPr="00242EF1" w:rsidRDefault="00975513" w:rsidP="00975513">
            <w:pPr>
              <w:spacing w:after="0" w:line="240" w:lineRule="auto"/>
              <w:rPr>
                <w:rFonts w:ascii="Times New Roman" w:hAnsi="Times New Roman"/>
                <w:sz w:val="20"/>
                <w:szCs w:val="20"/>
                <w:lang w:val="en-GB"/>
              </w:rPr>
            </w:pPr>
            <w:r w:rsidRPr="00242EF1">
              <w:rPr>
                <w:rFonts w:ascii="Times New Roman" w:hAnsi="Times New Roman"/>
                <w:sz w:val="20"/>
                <w:szCs w:val="20"/>
                <w:lang w:val="en-GB"/>
              </w:rPr>
              <w:t>Model 3</w:t>
            </w:r>
          </w:p>
        </w:tc>
        <w:tc>
          <w:tcPr>
            <w:tcW w:w="1575" w:type="dxa"/>
            <w:tcBorders>
              <w:top w:val="single" w:sz="4" w:space="0" w:color="auto"/>
              <w:bottom w:val="single" w:sz="4" w:space="0" w:color="auto"/>
            </w:tcBorders>
            <w:shd w:val="clear" w:color="auto" w:fill="auto"/>
          </w:tcPr>
          <w:p w14:paraId="20A73E07" w14:textId="77777777" w:rsidR="00975513" w:rsidRPr="00F358E1" w:rsidRDefault="00975513" w:rsidP="00975513">
            <w:pPr>
              <w:spacing w:after="0" w:line="240" w:lineRule="auto"/>
              <w:jc w:val="center"/>
              <w:rPr>
                <w:rFonts w:ascii="Times New Roman" w:hAnsi="Times New Roman"/>
                <w:sz w:val="20"/>
                <w:szCs w:val="20"/>
                <w:lang w:val="en-GB"/>
              </w:rPr>
            </w:pPr>
          </w:p>
        </w:tc>
        <w:tc>
          <w:tcPr>
            <w:tcW w:w="1574" w:type="dxa"/>
            <w:tcBorders>
              <w:top w:val="single" w:sz="4" w:space="0" w:color="auto"/>
              <w:bottom w:val="single" w:sz="4" w:space="0" w:color="auto"/>
            </w:tcBorders>
            <w:shd w:val="clear" w:color="auto" w:fill="auto"/>
          </w:tcPr>
          <w:p w14:paraId="4B03451F" w14:textId="77777777" w:rsidR="00975513" w:rsidRPr="00F358E1" w:rsidRDefault="00975513" w:rsidP="00975513">
            <w:pPr>
              <w:spacing w:after="0" w:line="240" w:lineRule="auto"/>
              <w:jc w:val="center"/>
              <w:rPr>
                <w:rFonts w:ascii="Times New Roman" w:hAnsi="Times New Roman"/>
                <w:sz w:val="20"/>
                <w:szCs w:val="20"/>
                <w:lang w:val="en-GB"/>
              </w:rPr>
            </w:pPr>
          </w:p>
        </w:tc>
        <w:tc>
          <w:tcPr>
            <w:tcW w:w="1565" w:type="dxa"/>
            <w:tcBorders>
              <w:top w:val="single" w:sz="4" w:space="0" w:color="auto"/>
              <w:bottom w:val="single" w:sz="4" w:space="0" w:color="auto"/>
            </w:tcBorders>
            <w:shd w:val="clear" w:color="auto" w:fill="auto"/>
          </w:tcPr>
          <w:p w14:paraId="577F810A" w14:textId="77777777" w:rsidR="00975513" w:rsidRPr="00F358E1" w:rsidRDefault="00975513" w:rsidP="00975513">
            <w:pPr>
              <w:spacing w:after="0" w:line="240" w:lineRule="auto"/>
              <w:jc w:val="center"/>
              <w:rPr>
                <w:rFonts w:ascii="Times New Roman" w:hAnsi="Times New Roman"/>
                <w:sz w:val="20"/>
                <w:szCs w:val="20"/>
                <w:lang w:val="en-GB"/>
              </w:rPr>
            </w:pPr>
          </w:p>
        </w:tc>
        <w:tc>
          <w:tcPr>
            <w:tcW w:w="1569" w:type="dxa"/>
            <w:tcBorders>
              <w:top w:val="single" w:sz="4" w:space="0" w:color="auto"/>
              <w:bottom w:val="single" w:sz="4" w:space="0" w:color="auto"/>
            </w:tcBorders>
            <w:shd w:val="clear" w:color="auto" w:fill="auto"/>
          </w:tcPr>
          <w:p w14:paraId="5186411C" w14:textId="77777777" w:rsidR="00975513" w:rsidRPr="00F358E1" w:rsidRDefault="00975513" w:rsidP="00975513">
            <w:pPr>
              <w:spacing w:after="0" w:line="240" w:lineRule="auto"/>
              <w:jc w:val="center"/>
              <w:rPr>
                <w:rFonts w:ascii="Times New Roman" w:hAnsi="Times New Roman"/>
                <w:sz w:val="20"/>
                <w:szCs w:val="20"/>
                <w:lang w:val="en-GB"/>
              </w:rPr>
            </w:pPr>
          </w:p>
        </w:tc>
      </w:tr>
      <w:tr w:rsidR="00975513" w:rsidRPr="002D5F96" w14:paraId="34F3E76A" w14:textId="77777777" w:rsidTr="00137ECF">
        <w:tc>
          <w:tcPr>
            <w:tcW w:w="2211" w:type="dxa"/>
            <w:tcBorders>
              <w:top w:val="single" w:sz="4" w:space="0" w:color="auto"/>
              <w:bottom w:val="single" w:sz="4" w:space="0" w:color="auto"/>
            </w:tcBorders>
            <w:shd w:val="clear" w:color="auto" w:fill="auto"/>
          </w:tcPr>
          <w:p w14:paraId="1AC2635B" w14:textId="77777777" w:rsidR="00975513" w:rsidRPr="00242EF1" w:rsidRDefault="00975513" w:rsidP="00975513">
            <w:pPr>
              <w:spacing w:after="0" w:line="240" w:lineRule="auto"/>
              <w:jc w:val="right"/>
              <w:rPr>
                <w:rFonts w:ascii="Times New Roman" w:hAnsi="Times New Roman"/>
                <w:i/>
                <w:iCs/>
                <w:sz w:val="20"/>
                <w:szCs w:val="20"/>
                <w:lang w:val="en-GB"/>
              </w:rPr>
            </w:pPr>
            <w:r>
              <w:rPr>
                <w:rFonts w:ascii="Times New Roman" w:hAnsi="Times New Roman"/>
                <w:i/>
                <w:iCs/>
                <w:sz w:val="20"/>
                <w:szCs w:val="20"/>
                <w:lang w:val="en-GB"/>
              </w:rPr>
              <w:t>Having</w:t>
            </w:r>
            <w:r w:rsidRPr="00242EF1">
              <w:rPr>
                <w:rFonts w:ascii="Times New Roman" w:hAnsi="Times New Roman"/>
                <w:sz w:val="20"/>
                <w:szCs w:val="20"/>
                <w:lang w:val="en-GB"/>
              </w:rPr>
              <w:t xml:space="preserve"> </w:t>
            </w:r>
            <w:r w:rsidRPr="00242EF1">
              <w:rPr>
                <w:rFonts w:ascii="Times New Roman" w:hAnsi="Times New Roman"/>
                <w:i/>
                <w:iCs/>
                <w:sz w:val="20"/>
                <w:szCs w:val="20"/>
                <w:lang w:val="en-GB"/>
              </w:rPr>
              <w:t>sarcopenia</w:t>
            </w:r>
          </w:p>
        </w:tc>
        <w:tc>
          <w:tcPr>
            <w:tcW w:w="1575" w:type="dxa"/>
            <w:tcBorders>
              <w:top w:val="single" w:sz="4" w:space="0" w:color="auto"/>
              <w:bottom w:val="single" w:sz="4" w:space="0" w:color="auto"/>
            </w:tcBorders>
            <w:shd w:val="clear" w:color="auto" w:fill="auto"/>
          </w:tcPr>
          <w:p w14:paraId="2E6A50C2" w14:textId="77777777" w:rsidR="00975513" w:rsidRPr="00F358E1" w:rsidRDefault="00975513" w:rsidP="00975513">
            <w:pPr>
              <w:spacing w:after="0" w:line="240" w:lineRule="auto"/>
              <w:jc w:val="center"/>
              <w:rPr>
                <w:rFonts w:ascii="Times New Roman" w:hAnsi="Times New Roman"/>
                <w:sz w:val="20"/>
                <w:szCs w:val="20"/>
                <w:lang w:val="en-GB"/>
              </w:rPr>
            </w:pPr>
          </w:p>
        </w:tc>
        <w:tc>
          <w:tcPr>
            <w:tcW w:w="1574" w:type="dxa"/>
            <w:tcBorders>
              <w:top w:val="single" w:sz="4" w:space="0" w:color="auto"/>
              <w:bottom w:val="single" w:sz="4" w:space="0" w:color="auto"/>
            </w:tcBorders>
            <w:shd w:val="clear" w:color="auto" w:fill="auto"/>
          </w:tcPr>
          <w:p w14:paraId="3FA8ECE1" w14:textId="77777777" w:rsidR="00975513" w:rsidRPr="00F358E1" w:rsidRDefault="00975513" w:rsidP="00975513">
            <w:pPr>
              <w:spacing w:after="0" w:line="240" w:lineRule="auto"/>
              <w:jc w:val="center"/>
              <w:rPr>
                <w:rFonts w:ascii="Times New Roman" w:hAnsi="Times New Roman"/>
                <w:sz w:val="20"/>
                <w:szCs w:val="20"/>
                <w:lang w:val="en-GB"/>
              </w:rPr>
            </w:pPr>
          </w:p>
        </w:tc>
        <w:tc>
          <w:tcPr>
            <w:tcW w:w="1565" w:type="dxa"/>
            <w:tcBorders>
              <w:top w:val="single" w:sz="4" w:space="0" w:color="auto"/>
              <w:bottom w:val="single" w:sz="4" w:space="0" w:color="auto"/>
            </w:tcBorders>
            <w:shd w:val="clear" w:color="auto" w:fill="auto"/>
          </w:tcPr>
          <w:p w14:paraId="4E945BBD" w14:textId="77777777" w:rsidR="00975513" w:rsidRPr="00F358E1" w:rsidRDefault="00975513" w:rsidP="00975513">
            <w:pPr>
              <w:spacing w:after="0" w:line="240" w:lineRule="auto"/>
              <w:jc w:val="center"/>
              <w:rPr>
                <w:rFonts w:ascii="Times New Roman" w:hAnsi="Times New Roman"/>
                <w:sz w:val="20"/>
                <w:szCs w:val="20"/>
                <w:lang w:val="en-GB"/>
              </w:rPr>
            </w:pPr>
          </w:p>
        </w:tc>
        <w:tc>
          <w:tcPr>
            <w:tcW w:w="1569" w:type="dxa"/>
            <w:tcBorders>
              <w:top w:val="single" w:sz="4" w:space="0" w:color="auto"/>
              <w:bottom w:val="single" w:sz="4" w:space="0" w:color="auto"/>
            </w:tcBorders>
            <w:shd w:val="clear" w:color="auto" w:fill="auto"/>
          </w:tcPr>
          <w:p w14:paraId="2C903FFF" w14:textId="77777777" w:rsidR="00975513" w:rsidRPr="00F358E1" w:rsidRDefault="00975513" w:rsidP="00975513">
            <w:pPr>
              <w:spacing w:after="0" w:line="240" w:lineRule="auto"/>
              <w:jc w:val="center"/>
              <w:rPr>
                <w:rFonts w:ascii="Times New Roman" w:hAnsi="Times New Roman"/>
                <w:sz w:val="20"/>
                <w:szCs w:val="20"/>
                <w:lang w:val="en-GB"/>
              </w:rPr>
            </w:pPr>
          </w:p>
        </w:tc>
      </w:tr>
      <w:tr w:rsidR="00975513" w:rsidRPr="002D5F96" w14:paraId="4DE12375" w14:textId="77777777" w:rsidTr="00137ECF">
        <w:tc>
          <w:tcPr>
            <w:tcW w:w="2211" w:type="dxa"/>
            <w:tcBorders>
              <w:top w:val="single" w:sz="4" w:space="0" w:color="auto"/>
              <w:bottom w:val="single" w:sz="4" w:space="0" w:color="auto"/>
            </w:tcBorders>
            <w:shd w:val="clear" w:color="auto" w:fill="auto"/>
          </w:tcPr>
          <w:p w14:paraId="0C0195D1" w14:textId="77777777" w:rsidR="00975513" w:rsidRPr="00242EF1" w:rsidRDefault="00975513" w:rsidP="00975513">
            <w:pPr>
              <w:spacing w:after="0" w:line="240" w:lineRule="auto"/>
              <w:jc w:val="right"/>
              <w:rPr>
                <w:rFonts w:ascii="Times New Roman" w:hAnsi="Times New Roman"/>
                <w:i/>
                <w:iCs/>
                <w:sz w:val="20"/>
                <w:szCs w:val="20"/>
                <w:lang w:val="en-GB"/>
              </w:rPr>
            </w:pPr>
            <w:r w:rsidRPr="00242EF1">
              <w:rPr>
                <w:rFonts w:ascii="Times New Roman" w:hAnsi="Times New Roman"/>
                <w:sz w:val="20"/>
                <w:szCs w:val="20"/>
                <w:lang w:val="en-GB"/>
              </w:rPr>
              <w:t>OR on the probability of being admitted to hospital</w:t>
            </w:r>
          </w:p>
        </w:tc>
        <w:tc>
          <w:tcPr>
            <w:tcW w:w="1575" w:type="dxa"/>
            <w:tcBorders>
              <w:top w:val="single" w:sz="4" w:space="0" w:color="auto"/>
              <w:bottom w:val="single" w:sz="4" w:space="0" w:color="auto"/>
            </w:tcBorders>
            <w:shd w:val="clear" w:color="auto" w:fill="auto"/>
          </w:tcPr>
          <w:p w14:paraId="33DD3144" w14:textId="44D4BC07" w:rsidR="00975513" w:rsidRPr="00F358E1" w:rsidRDefault="00975513"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1.1</w:t>
            </w:r>
            <w:r w:rsidR="00516DCD" w:rsidRPr="00F358E1">
              <w:rPr>
                <w:rFonts w:ascii="Times New Roman" w:hAnsi="Times New Roman"/>
                <w:sz w:val="20"/>
                <w:szCs w:val="20"/>
                <w:lang w:val="en-GB"/>
              </w:rPr>
              <w:t>99</w:t>
            </w:r>
          </w:p>
          <w:p w14:paraId="47B7DC56" w14:textId="3FBC7D5E" w:rsidR="00975513" w:rsidRPr="00F358E1" w:rsidRDefault="00975513"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w:t>
            </w:r>
            <w:r w:rsidR="00516DCD" w:rsidRPr="00F358E1">
              <w:rPr>
                <w:rFonts w:ascii="Times New Roman" w:hAnsi="Times New Roman"/>
                <w:sz w:val="20"/>
                <w:szCs w:val="20"/>
                <w:lang w:val="en-GB"/>
              </w:rPr>
              <w:t>812 – 1.769</w:t>
            </w:r>
            <w:r w:rsidRPr="00F358E1">
              <w:rPr>
                <w:rFonts w:ascii="Times New Roman" w:hAnsi="Times New Roman"/>
                <w:sz w:val="20"/>
                <w:szCs w:val="20"/>
                <w:lang w:val="en-GB"/>
              </w:rPr>
              <w:t>)</w:t>
            </w:r>
          </w:p>
        </w:tc>
        <w:tc>
          <w:tcPr>
            <w:tcW w:w="1574" w:type="dxa"/>
            <w:tcBorders>
              <w:top w:val="single" w:sz="4" w:space="0" w:color="auto"/>
              <w:bottom w:val="single" w:sz="4" w:space="0" w:color="auto"/>
            </w:tcBorders>
            <w:shd w:val="clear" w:color="auto" w:fill="auto"/>
          </w:tcPr>
          <w:p w14:paraId="738CB8E3" w14:textId="1AC97052" w:rsidR="00975513" w:rsidRPr="00F358E1" w:rsidRDefault="00975513"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1.2</w:t>
            </w:r>
            <w:r w:rsidR="001C5FF8" w:rsidRPr="00F358E1">
              <w:rPr>
                <w:rFonts w:ascii="Times New Roman" w:hAnsi="Times New Roman"/>
                <w:sz w:val="20"/>
                <w:szCs w:val="20"/>
                <w:lang w:val="en-GB"/>
              </w:rPr>
              <w:t>65</w:t>
            </w:r>
          </w:p>
          <w:p w14:paraId="789DE103" w14:textId="1A7D9572" w:rsidR="00975513" w:rsidRPr="00F358E1" w:rsidRDefault="00975513"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w:t>
            </w:r>
            <w:r w:rsidR="001C5FF8" w:rsidRPr="00F358E1">
              <w:rPr>
                <w:rFonts w:ascii="Times New Roman" w:hAnsi="Times New Roman"/>
                <w:sz w:val="20"/>
                <w:szCs w:val="20"/>
                <w:lang w:val="en-GB"/>
              </w:rPr>
              <w:t>836 – 1.915</w:t>
            </w:r>
            <w:r w:rsidRPr="00F358E1">
              <w:rPr>
                <w:rFonts w:ascii="Times New Roman" w:hAnsi="Times New Roman"/>
                <w:sz w:val="20"/>
                <w:szCs w:val="20"/>
                <w:lang w:val="en-GB"/>
              </w:rPr>
              <w:t>)</w:t>
            </w:r>
          </w:p>
        </w:tc>
        <w:tc>
          <w:tcPr>
            <w:tcW w:w="1565" w:type="dxa"/>
            <w:tcBorders>
              <w:top w:val="single" w:sz="4" w:space="0" w:color="auto"/>
              <w:bottom w:val="single" w:sz="4" w:space="0" w:color="auto"/>
            </w:tcBorders>
            <w:shd w:val="clear" w:color="auto" w:fill="auto"/>
          </w:tcPr>
          <w:p w14:paraId="5BCE165E" w14:textId="0283F930" w:rsidR="00975513" w:rsidRPr="00F358E1" w:rsidRDefault="00975513"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1.</w:t>
            </w:r>
            <w:r w:rsidR="00986125" w:rsidRPr="00F358E1">
              <w:rPr>
                <w:rFonts w:ascii="Times New Roman" w:hAnsi="Times New Roman"/>
                <w:sz w:val="20"/>
                <w:szCs w:val="20"/>
                <w:lang w:val="en-GB"/>
              </w:rPr>
              <w:t>477</w:t>
            </w:r>
            <w:r w:rsidRPr="00F358E1">
              <w:rPr>
                <w:rFonts w:ascii="Times New Roman" w:hAnsi="Times New Roman"/>
                <w:sz w:val="20"/>
                <w:szCs w:val="20"/>
                <w:lang w:val="en-GB"/>
              </w:rPr>
              <w:t>*</w:t>
            </w:r>
          </w:p>
          <w:p w14:paraId="0C3CEBBE" w14:textId="79FE3599" w:rsidR="00975513" w:rsidRPr="00F358E1" w:rsidRDefault="00975513"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w:t>
            </w:r>
            <w:r w:rsidR="00986125" w:rsidRPr="00F358E1">
              <w:rPr>
                <w:rFonts w:ascii="Times New Roman" w:hAnsi="Times New Roman"/>
                <w:sz w:val="20"/>
                <w:szCs w:val="20"/>
                <w:lang w:val="en-GB"/>
              </w:rPr>
              <w:t>1.040 – 2.098</w:t>
            </w:r>
            <w:r w:rsidRPr="00F358E1">
              <w:rPr>
                <w:rFonts w:ascii="Times New Roman" w:hAnsi="Times New Roman"/>
                <w:sz w:val="20"/>
                <w:szCs w:val="20"/>
                <w:lang w:val="en-GB"/>
              </w:rPr>
              <w:t>)</w:t>
            </w:r>
          </w:p>
        </w:tc>
        <w:tc>
          <w:tcPr>
            <w:tcW w:w="1569" w:type="dxa"/>
            <w:tcBorders>
              <w:top w:val="single" w:sz="4" w:space="0" w:color="auto"/>
              <w:bottom w:val="single" w:sz="4" w:space="0" w:color="auto"/>
            </w:tcBorders>
            <w:shd w:val="clear" w:color="auto" w:fill="auto"/>
          </w:tcPr>
          <w:p w14:paraId="182C9877" w14:textId="1D6FFE82" w:rsidR="00975513" w:rsidRPr="00F358E1" w:rsidRDefault="00975513"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1.4</w:t>
            </w:r>
            <w:r w:rsidR="0032379E" w:rsidRPr="00F358E1">
              <w:rPr>
                <w:rFonts w:ascii="Times New Roman" w:hAnsi="Times New Roman"/>
                <w:sz w:val="20"/>
                <w:szCs w:val="20"/>
                <w:lang w:val="en-GB"/>
              </w:rPr>
              <w:t>52</w:t>
            </w:r>
          </w:p>
          <w:p w14:paraId="01E1C8CD" w14:textId="78D3AEE3" w:rsidR="00975513" w:rsidRPr="00F358E1" w:rsidRDefault="00975513"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w:t>
            </w:r>
            <w:r w:rsidR="0032379E" w:rsidRPr="00F358E1">
              <w:rPr>
                <w:rFonts w:ascii="Times New Roman" w:hAnsi="Times New Roman"/>
                <w:sz w:val="20"/>
                <w:szCs w:val="20"/>
                <w:lang w:val="en-GB"/>
              </w:rPr>
              <w:t>0.989 – 2.132</w:t>
            </w:r>
            <w:r w:rsidRPr="00F358E1">
              <w:rPr>
                <w:rFonts w:ascii="Times New Roman" w:hAnsi="Times New Roman"/>
                <w:sz w:val="20"/>
                <w:szCs w:val="20"/>
                <w:lang w:val="en-GB"/>
              </w:rPr>
              <w:t>)</w:t>
            </w:r>
          </w:p>
        </w:tc>
      </w:tr>
      <w:tr w:rsidR="00975513" w:rsidRPr="00FB677A" w14:paraId="0DF99559" w14:textId="77777777" w:rsidTr="00DC2A5C">
        <w:tc>
          <w:tcPr>
            <w:tcW w:w="2211" w:type="dxa"/>
            <w:tcBorders>
              <w:top w:val="single" w:sz="4" w:space="0" w:color="auto"/>
              <w:bottom w:val="single" w:sz="4" w:space="0" w:color="auto"/>
            </w:tcBorders>
            <w:shd w:val="clear" w:color="auto" w:fill="auto"/>
          </w:tcPr>
          <w:p w14:paraId="511A282E" w14:textId="77777777" w:rsidR="00975513" w:rsidRPr="00242EF1" w:rsidRDefault="00975513" w:rsidP="00975513">
            <w:pPr>
              <w:spacing w:after="0" w:line="240" w:lineRule="auto"/>
              <w:jc w:val="right"/>
              <w:rPr>
                <w:rFonts w:ascii="Times New Roman" w:hAnsi="Times New Roman"/>
                <w:i/>
                <w:iCs/>
                <w:sz w:val="20"/>
                <w:szCs w:val="20"/>
                <w:lang w:val="en-GB"/>
              </w:rPr>
            </w:pPr>
            <w:r w:rsidRPr="00242EF1">
              <w:rPr>
                <w:rFonts w:ascii="Times New Roman" w:hAnsi="Times New Roman"/>
                <w:sz w:val="20"/>
                <w:szCs w:val="20"/>
                <w:lang w:val="en-GB"/>
              </w:rPr>
              <w:t>Coeff on number of hospital admissions</w:t>
            </w:r>
          </w:p>
        </w:tc>
        <w:tc>
          <w:tcPr>
            <w:tcW w:w="1575" w:type="dxa"/>
            <w:tcBorders>
              <w:top w:val="single" w:sz="4" w:space="0" w:color="auto"/>
              <w:bottom w:val="single" w:sz="4" w:space="0" w:color="auto"/>
            </w:tcBorders>
            <w:shd w:val="clear" w:color="auto" w:fill="auto"/>
            <w:vAlign w:val="center"/>
          </w:tcPr>
          <w:p w14:paraId="2F18EB21" w14:textId="77777777" w:rsidR="00975513" w:rsidRPr="00F358E1" w:rsidRDefault="00DC3FD6"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0.401</w:t>
            </w:r>
          </w:p>
          <w:p w14:paraId="3698C99E" w14:textId="78E47C68" w:rsidR="00DC3FD6" w:rsidRPr="00F358E1" w:rsidRDefault="00DC3FD6"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(-0.437 – 1.240)</w:t>
            </w:r>
          </w:p>
        </w:tc>
        <w:tc>
          <w:tcPr>
            <w:tcW w:w="1574" w:type="dxa"/>
            <w:tcBorders>
              <w:top w:val="single" w:sz="4" w:space="0" w:color="auto"/>
              <w:bottom w:val="single" w:sz="4" w:space="0" w:color="auto"/>
            </w:tcBorders>
            <w:shd w:val="clear" w:color="auto" w:fill="auto"/>
            <w:vAlign w:val="center"/>
          </w:tcPr>
          <w:p w14:paraId="402F4B35" w14:textId="77777777" w:rsidR="00975513" w:rsidRPr="00F358E1" w:rsidRDefault="00DC3FD6"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0.255</w:t>
            </w:r>
          </w:p>
          <w:p w14:paraId="02C5E899" w14:textId="20990345" w:rsidR="00DC3FD6" w:rsidRPr="00F358E1" w:rsidRDefault="00DC3FD6"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(-0.664 – 1.174)</w:t>
            </w:r>
          </w:p>
        </w:tc>
        <w:tc>
          <w:tcPr>
            <w:tcW w:w="1565" w:type="dxa"/>
            <w:tcBorders>
              <w:top w:val="single" w:sz="4" w:space="0" w:color="auto"/>
              <w:bottom w:val="single" w:sz="4" w:space="0" w:color="auto"/>
            </w:tcBorders>
            <w:shd w:val="clear" w:color="auto" w:fill="auto"/>
            <w:vAlign w:val="center"/>
          </w:tcPr>
          <w:p w14:paraId="448C17E9" w14:textId="77777777" w:rsidR="00975513" w:rsidRPr="00F358E1" w:rsidRDefault="00043C83"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-0.163</w:t>
            </w:r>
          </w:p>
          <w:p w14:paraId="21F67D1C" w14:textId="1C7F86FC" w:rsidR="00043C83" w:rsidRPr="00F358E1" w:rsidRDefault="00043C83"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(-0.747 – 0.421)</w:t>
            </w:r>
          </w:p>
        </w:tc>
        <w:tc>
          <w:tcPr>
            <w:tcW w:w="1569" w:type="dxa"/>
            <w:tcBorders>
              <w:top w:val="single" w:sz="4" w:space="0" w:color="auto"/>
              <w:bottom w:val="single" w:sz="4" w:space="0" w:color="auto"/>
            </w:tcBorders>
            <w:shd w:val="clear" w:color="auto" w:fill="auto"/>
            <w:vAlign w:val="center"/>
          </w:tcPr>
          <w:p w14:paraId="6502FAD5" w14:textId="77777777" w:rsidR="00975513" w:rsidRPr="00F358E1" w:rsidRDefault="00043C83"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-0.466</w:t>
            </w:r>
          </w:p>
          <w:p w14:paraId="5C56EE1C" w14:textId="7D20BD2C" w:rsidR="00043C83" w:rsidRPr="00F358E1" w:rsidRDefault="00043C83"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(-0.943 – 0.011)</w:t>
            </w:r>
          </w:p>
        </w:tc>
      </w:tr>
      <w:tr w:rsidR="00975513" w:rsidRPr="00FB677A" w14:paraId="46EA2AA7" w14:textId="77777777" w:rsidTr="00DC2A5C">
        <w:tc>
          <w:tcPr>
            <w:tcW w:w="2211" w:type="dxa"/>
            <w:tcBorders>
              <w:top w:val="single" w:sz="4" w:space="0" w:color="auto"/>
              <w:bottom w:val="single" w:sz="4" w:space="0" w:color="auto"/>
            </w:tcBorders>
            <w:shd w:val="clear" w:color="auto" w:fill="auto"/>
          </w:tcPr>
          <w:p w14:paraId="3AE31D65" w14:textId="77777777" w:rsidR="00975513" w:rsidRPr="00242EF1" w:rsidRDefault="00975513" w:rsidP="00975513">
            <w:pPr>
              <w:spacing w:after="0" w:line="240" w:lineRule="auto"/>
              <w:jc w:val="right"/>
              <w:rPr>
                <w:rFonts w:ascii="Times New Roman" w:hAnsi="Times New Roman"/>
                <w:i/>
                <w:iCs/>
                <w:sz w:val="20"/>
                <w:szCs w:val="20"/>
                <w:lang w:val="en-GB"/>
              </w:rPr>
            </w:pPr>
            <w:r w:rsidRPr="00242EF1">
              <w:rPr>
                <w:rFonts w:ascii="Times New Roman" w:hAnsi="Times New Roman"/>
                <w:sz w:val="20"/>
                <w:szCs w:val="20"/>
                <w:lang w:val="en-GB"/>
              </w:rPr>
              <w:t>Coeff on length of hospitalization</w:t>
            </w:r>
          </w:p>
        </w:tc>
        <w:tc>
          <w:tcPr>
            <w:tcW w:w="1575" w:type="dxa"/>
            <w:tcBorders>
              <w:top w:val="single" w:sz="4" w:space="0" w:color="auto"/>
              <w:bottom w:val="single" w:sz="4" w:space="0" w:color="auto"/>
            </w:tcBorders>
            <w:shd w:val="clear" w:color="auto" w:fill="auto"/>
            <w:vAlign w:val="center"/>
          </w:tcPr>
          <w:p w14:paraId="38B16ACE" w14:textId="77777777" w:rsidR="00975513" w:rsidRPr="00F358E1" w:rsidRDefault="005A3F83"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0.156</w:t>
            </w:r>
          </w:p>
          <w:p w14:paraId="2900F1F9" w14:textId="0EF7E4BD" w:rsidR="005A3F83" w:rsidRPr="00F358E1" w:rsidRDefault="005A3F83"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 xml:space="preserve">(-0.368 </w:t>
            </w:r>
            <w:r w:rsidR="00FE12A5" w:rsidRPr="00F358E1">
              <w:rPr>
                <w:rFonts w:ascii="Times New Roman" w:hAnsi="Times New Roman"/>
                <w:sz w:val="20"/>
                <w:szCs w:val="20"/>
                <w:lang w:val="en-GB"/>
              </w:rPr>
              <w:t>–</w:t>
            </w:r>
            <w:r w:rsidRPr="00F358E1">
              <w:rPr>
                <w:rFonts w:ascii="Times New Roman" w:hAnsi="Times New Roman"/>
                <w:sz w:val="20"/>
                <w:szCs w:val="20"/>
                <w:lang w:val="en-GB"/>
              </w:rPr>
              <w:t xml:space="preserve"> </w:t>
            </w:r>
            <w:r w:rsidR="00FE12A5" w:rsidRPr="00F358E1">
              <w:rPr>
                <w:rFonts w:ascii="Times New Roman" w:hAnsi="Times New Roman"/>
                <w:sz w:val="20"/>
                <w:szCs w:val="20"/>
                <w:lang w:val="en-GB"/>
              </w:rPr>
              <w:t>0.680)</w:t>
            </w:r>
          </w:p>
        </w:tc>
        <w:tc>
          <w:tcPr>
            <w:tcW w:w="1574" w:type="dxa"/>
            <w:tcBorders>
              <w:top w:val="single" w:sz="4" w:space="0" w:color="auto"/>
              <w:bottom w:val="single" w:sz="4" w:space="0" w:color="auto"/>
            </w:tcBorders>
            <w:shd w:val="clear" w:color="auto" w:fill="auto"/>
            <w:vAlign w:val="center"/>
          </w:tcPr>
          <w:p w14:paraId="7A052FDC" w14:textId="77777777" w:rsidR="00975513" w:rsidRPr="00F358E1" w:rsidRDefault="005A3F83"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-0.096</w:t>
            </w:r>
          </w:p>
          <w:p w14:paraId="20ECF3A5" w14:textId="3DEA1121" w:rsidR="005A3F83" w:rsidRPr="00F358E1" w:rsidRDefault="005A3F83"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(-0.597 – 0.405)</w:t>
            </w:r>
          </w:p>
        </w:tc>
        <w:tc>
          <w:tcPr>
            <w:tcW w:w="1565" w:type="dxa"/>
            <w:tcBorders>
              <w:top w:val="single" w:sz="4" w:space="0" w:color="auto"/>
              <w:bottom w:val="single" w:sz="4" w:space="0" w:color="auto"/>
            </w:tcBorders>
            <w:shd w:val="clear" w:color="auto" w:fill="auto"/>
            <w:vAlign w:val="center"/>
          </w:tcPr>
          <w:p w14:paraId="52C02B86" w14:textId="77777777" w:rsidR="00975513" w:rsidRPr="00F358E1" w:rsidRDefault="004E4191"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-0.295</w:t>
            </w:r>
          </w:p>
          <w:p w14:paraId="20D30AD1" w14:textId="24F4283A" w:rsidR="004E4191" w:rsidRPr="00F358E1" w:rsidRDefault="004E4191"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(-0.741 – 0.150)</w:t>
            </w:r>
          </w:p>
        </w:tc>
        <w:tc>
          <w:tcPr>
            <w:tcW w:w="1569" w:type="dxa"/>
            <w:tcBorders>
              <w:top w:val="single" w:sz="4" w:space="0" w:color="auto"/>
              <w:bottom w:val="single" w:sz="4" w:space="0" w:color="auto"/>
            </w:tcBorders>
            <w:shd w:val="clear" w:color="auto" w:fill="auto"/>
            <w:vAlign w:val="center"/>
          </w:tcPr>
          <w:p w14:paraId="69922C80" w14:textId="77777777" w:rsidR="004E4191" w:rsidRPr="00F358E1" w:rsidRDefault="004E4191" w:rsidP="004E4191">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-0.381</w:t>
            </w:r>
          </w:p>
          <w:p w14:paraId="0D09AACD" w14:textId="27C22589" w:rsidR="00975513" w:rsidRPr="00F358E1" w:rsidRDefault="004E4191" w:rsidP="004E4191">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(-0.866 – 0.105)</w:t>
            </w:r>
          </w:p>
        </w:tc>
      </w:tr>
      <w:tr w:rsidR="00975513" w:rsidRPr="002D5F96" w14:paraId="000ED071" w14:textId="77777777" w:rsidTr="00DC2A5C">
        <w:tc>
          <w:tcPr>
            <w:tcW w:w="2211" w:type="dxa"/>
            <w:tcBorders>
              <w:top w:val="single" w:sz="4" w:space="0" w:color="auto"/>
              <w:bottom w:val="single" w:sz="4" w:space="0" w:color="auto"/>
            </w:tcBorders>
            <w:shd w:val="clear" w:color="auto" w:fill="auto"/>
          </w:tcPr>
          <w:p w14:paraId="20731AA4" w14:textId="77777777" w:rsidR="00975513" w:rsidRPr="00242EF1" w:rsidRDefault="00975513" w:rsidP="00975513">
            <w:pPr>
              <w:spacing w:after="0" w:line="240" w:lineRule="auto"/>
              <w:jc w:val="right"/>
              <w:rPr>
                <w:rFonts w:ascii="Times New Roman" w:hAnsi="Times New Roman"/>
                <w:i/>
                <w:iCs/>
                <w:sz w:val="20"/>
                <w:szCs w:val="20"/>
                <w:lang w:val="en-GB"/>
              </w:rPr>
            </w:pPr>
            <w:r w:rsidRPr="00242EF1">
              <w:rPr>
                <w:rFonts w:ascii="Times New Roman" w:hAnsi="Times New Roman"/>
                <w:sz w:val="20"/>
                <w:szCs w:val="20"/>
                <w:lang w:val="en-GB"/>
              </w:rPr>
              <w:t>Coeff on hospitalization costs</w:t>
            </w:r>
          </w:p>
        </w:tc>
        <w:tc>
          <w:tcPr>
            <w:tcW w:w="1575" w:type="dxa"/>
            <w:tcBorders>
              <w:top w:val="single" w:sz="4" w:space="0" w:color="auto"/>
              <w:bottom w:val="single" w:sz="4" w:space="0" w:color="auto"/>
            </w:tcBorders>
            <w:shd w:val="clear" w:color="auto" w:fill="auto"/>
            <w:vAlign w:val="center"/>
          </w:tcPr>
          <w:p w14:paraId="0D3B9C5A" w14:textId="77777777" w:rsidR="00975513" w:rsidRPr="00F358E1" w:rsidRDefault="00516DCD"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0.057</w:t>
            </w:r>
          </w:p>
          <w:p w14:paraId="5ED1306C" w14:textId="6281CD05" w:rsidR="00516DCD" w:rsidRPr="00F358E1" w:rsidRDefault="00516DCD"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(-0.261 – 0.376)</w:t>
            </w:r>
          </w:p>
        </w:tc>
        <w:tc>
          <w:tcPr>
            <w:tcW w:w="1574" w:type="dxa"/>
            <w:tcBorders>
              <w:top w:val="single" w:sz="4" w:space="0" w:color="auto"/>
              <w:bottom w:val="single" w:sz="4" w:space="0" w:color="auto"/>
            </w:tcBorders>
            <w:shd w:val="clear" w:color="auto" w:fill="auto"/>
            <w:vAlign w:val="center"/>
          </w:tcPr>
          <w:p w14:paraId="4292458E" w14:textId="77777777" w:rsidR="00975513" w:rsidRPr="00F358E1" w:rsidRDefault="00516DCD"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0.073</w:t>
            </w:r>
          </w:p>
          <w:p w14:paraId="7A7D7315" w14:textId="1D55FA51" w:rsidR="00516DCD" w:rsidRPr="00F358E1" w:rsidRDefault="00516DCD"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(-0.248 – 0.394)</w:t>
            </w:r>
          </w:p>
        </w:tc>
        <w:tc>
          <w:tcPr>
            <w:tcW w:w="1565" w:type="dxa"/>
            <w:tcBorders>
              <w:top w:val="single" w:sz="4" w:space="0" w:color="auto"/>
              <w:bottom w:val="single" w:sz="4" w:space="0" w:color="auto"/>
            </w:tcBorders>
            <w:shd w:val="clear" w:color="auto" w:fill="auto"/>
            <w:vAlign w:val="center"/>
          </w:tcPr>
          <w:p w14:paraId="2BB14CDE" w14:textId="77777777" w:rsidR="00975513" w:rsidRPr="00F358E1" w:rsidRDefault="00986125"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-0.131</w:t>
            </w:r>
          </w:p>
          <w:p w14:paraId="6D2236CC" w14:textId="68BCD3BF" w:rsidR="00986125" w:rsidRPr="00F358E1" w:rsidRDefault="00986125"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(-0.398 – 0.135</w:t>
            </w:r>
          </w:p>
        </w:tc>
        <w:tc>
          <w:tcPr>
            <w:tcW w:w="1569" w:type="dxa"/>
            <w:tcBorders>
              <w:top w:val="single" w:sz="4" w:space="0" w:color="auto"/>
              <w:bottom w:val="single" w:sz="4" w:space="0" w:color="auto"/>
            </w:tcBorders>
            <w:shd w:val="clear" w:color="auto" w:fill="auto"/>
            <w:vAlign w:val="center"/>
          </w:tcPr>
          <w:p w14:paraId="021A1E4D" w14:textId="77777777" w:rsidR="00975513" w:rsidRPr="00F358E1" w:rsidRDefault="0032379E"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-0.219</w:t>
            </w:r>
          </w:p>
          <w:p w14:paraId="28EF514D" w14:textId="7D5EAE00" w:rsidR="0032379E" w:rsidRPr="00F358E1" w:rsidRDefault="0032379E"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(-0.498 – 0.059)</w:t>
            </w:r>
          </w:p>
        </w:tc>
      </w:tr>
      <w:tr w:rsidR="00975513" w:rsidRPr="002D5F96" w14:paraId="63D7B0B0" w14:textId="77777777" w:rsidTr="00137ECF">
        <w:tc>
          <w:tcPr>
            <w:tcW w:w="2211" w:type="dxa"/>
            <w:tcBorders>
              <w:top w:val="single" w:sz="4" w:space="0" w:color="auto"/>
              <w:bottom w:val="single" w:sz="4" w:space="0" w:color="auto"/>
            </w:tcBorders>
            <w:shd w:val="clear" w:color="auto" w:fill="auto"/>
          </w:tcPr>
          <w:p w14:paraId="535F2DE1" w14:textId="77777777" w:rsidR="00975513" w:rsidRPr="00242EF1" w:rsidRDefault="00975513" w:rsidP="00975513">
            <w:pPr>
              <w:spacing w:after="0" w:line="240" w:lineRule="auto"/>
              <w:jc w:val="right"/>
              <w:rPr>
                <w:rFonts w:ascii="Times New Roman" w:hAnsi="Times New Roman"/>
                <w:i/>
                <w:iCs/>
                <w:sz w:val="20"/>
                <w:szCs w:val="20"/>
                <w:lang w:val="en-GB"/>
              </w:rPr>
            </w:pPr>
            <w:r>
              <w:rPr>
                <w:rFonts w:ascii="Times New Roman" w:hAnsi="Times New Roman"/>
                <w:i/>
                <w:iCs/>
                <w:sz w:val="20"/>
                <w:szCs w:val="20"/>
                <w:lang w:val="en-GB"/>
              </w:rPr>
              <w:t>Being frail</w:t>
            </w:r>
          </w:p>
        </w:tc>
        <w:tc>
          <w:tcPr>
            <w:tcW w:w="1575" w:type="dxa"/>
            <w:tcBorders>
              <w:top w:val="single" w:sz="4" w:space="0" w:color="auto"/>
              <w:bottom w:val="single" w:sz="4" w:space="0" w:color="auto"/>
            </w:tcBorders>
            <w:shd w:val="clear" w:color="auto" w:fill="auto"/>
          </w:tcPr>
          <w:p w14:paraId="056FFEBD" w14:textId="77777777" w:rsidR="00975513" w:rsidRPr="00F358E1" w:rsidRDefault="00975513" w:rsidP="00975513">
            <w:pPr>
              <w:spacing w:after="0" w:line="240" w:lineRule="auto"/>
              <w:jc w:val="center"/>
              <w:rPr>
                <w:rFonts w:ascii="Times New Roman" w:hAnsi="Times New Roman"/>
                <w:sz w:val="20"/>
                <w:szCs w:val="20"/>
                <w:lang w:val="en-GB"/>
              </w:rPr>
            </w:pPr>
          </w:p>
        </w:tc>
        <w:tc>
          <w:tcPr>
            <w:tcW w:w="1574" w:type="dxa"/>
            <w:tcBorders>
              <w:top w:val="single" w:sz="4" w:space="0" w:color="auto"/>
              <w:bottom w:val="single" w:sz="4" w:space="0" w:color="auto"/>
            </w:tcBorders>
            <w:shd w:val="clear" w:color="auto" w:fill="auto"/>
          </w:tcPr>
          <w:p w14:paraId="348C4C49" w14:textId="77777777" w:rsidR="00975513" w:rsidRPr="00F358E1" w:rsidRDefault="00975513" w:rsidP="00975513">
            <w:pPr>
              <w:spacing w:after="0" w:line="240" w:lineRule="auto"/>
              <w:jc w:val="center"/>
              <w:rPr>
                <w:rFonts w:ascii="Times New Roman" w:hAnsi="Times New Roman"/>
                <w:sz w:val="20"/>
                <w:szCs w:val="20"/>
                <w:lang w:val="en-GB"/>
              </w:rPr>
            </w:pPr>
          </w:p>
        </w:tc>
        <w:tc>
          <w:tcPr>
            <w:tcW w:w="1565" w:type="dxa"/>
            <w:tcBorders>
              <w:top w:val="single" w:sz="4" w:space="0" w:color="auto"/>
              <w:bottom w:val="single" w:sz="4" w:space="0" w:color="auto"/>
            </w:tcBorders>
            <w:shd w:val="clear" w:color="auto" w:fill="auto"/>
          </w:tcPr>
          <w:p w14:paraId="05576C22" w14:textId="77777777" w:rsidR="00975513" w:rsidRPr="00F358E1" w:rsidRDefault="00975513" w:rsidP="00975513">
            <w:pPr>
              <w:spacing w:after="0" w:line="240" w:lineRule="auto"/>
              <w:jc w:val="center"/>
              <w:rPr>
                <w:rFonts w:ascii="Times New Roman" w:hAnsi="Times New Roman"/>
                <w:sz w:val="20"/>
                <w:szCs w:val="20"/>
                <w:lang w:val="en-GB"/>
              </w:rPr>
            </w:pPr>
          </w:p>
        </w:tc>
        <w:tc>
          <w:tcPr>
            <w:tcW w:w="1569" w:type="dxa"/>
            <w:tcBorders>
              <w:top w:val="single" w:sz="4" w:space="0" w:color="auto"/>
              <w:bottom w:val="single" w:sz="4" w:space="0" w:color="auto"/>
            </w:tcBorders>
            <w:shd w:val="clear" w:color="auto" w:fill="auto"/>
          </w:tcPr>
          <w:p w14:paraId="05DBFF24" w14:textId="77777777" w:rsidR="00975513" w:rsidRPr="00F358E1" w:rsidRDefault="00975513" w:rsidP="00975513">
            <w:pPr>
              <w:spacing w:after="0" w:line="240" w:lineRule="auto"/>
              <w:jc w:val="center"/>
              <w:rPr>
                <w:rFonts w:ascii="Times New Roman" w:hAnsi="Times New Roman"/>
                <w:sz w:val="20"/>
                <w:szCs w:val="20"/>
                <w:lang w:val="en-GB"/>
              </w:rPr>
            </w:pPr>
          </w:p>
        </w:tc>
      </w:tr>
      <w:tr w:rsidR="00975513" w:rsidRPr="002D5F96" w14:paraId="41619830" w14:textId="77777777" w:rsidTr="00137ECF">
        <w:tc>
          <w:tcPr>
            <w:tcW w:w="2211" w:type="dxa"/>
            <w:tcBorders>
              <w:top w:val="single" w:sz="4" w:space="0" w:color="auto"/>
              <w:bottom w:val="single" w:sz="4" w:space="0" w:color="auto"/>
            </w:tcBorders>
            <w:shd w:val="clear" w:color="auto" w:fill="auto"/>
          </w:tcPr>
          <w:p w14:paraId="64A23B02" w14:textId="77777777" w:rsidR="00975513" w:rsidRPr="00242EF1" w:rsidRDefault="00975513" w:rsidP="00975513">
            <w:pPr>
              <w:spacing w:after="0" w:line="240" w:lineRule="auto"/>
              <w:jc w:val="right"/>
              <w:rPr>
                <w:rFonts w:ascii="Times New Roman" w:hAnsi="Times New Roman"/>
                <w:i/>
                <w:iCs/>
                <w:sz w:val="20"/>
                <w:szCs w:val="20"/>
                <w:lang w:val="en-GB"/>
              </w:rPr>
            </w:pPr>
            <w:r w:rsidRPr="00242EF1">
              <w:rPr>
                <w:rFonts w:ascii="Times New Roman" w:hAnsi="Times New Roman"/>
                <w:sz w:val="20"/>
                <w:szCs w:val="20"/>
                <w:lang w:val="en-GB"/>
              </w:rPr>
              <w:t>OR on the probability of being admitted to hospital</w:t>
            </w:r>
          </w:p>
        </w:tc>
        <w:tc>
          <w:tcPr>
            <w:tcW w:w="1575" w:type="dxa"/>
            <w:tcBorders>
              <w:top w:val="single" w:sz="4" w:space="0" w:color="auto"/>
              <w:bottom w:val="single" w:sz="4" w:space="0" w:color="auto"/>
            </w:tcBorders>
            <w:shd w:val="clear" w:color="auto" w:fill="auto"/>
          </w:tcPr>
          <w:p w14:paraId="3EBEAB38" w14:textId="0A5EC7E0" w:rsidR="00975513" w:rsidRPr="00F358E1" w:rsidRDefault="00975513"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1.</w:t>
            </w:r>
            <w:r w:rsidR="00516DCD" w:rsidRPr="00F358E1">
              <w:rPr>
                <w:rFonts w:ascii="Times New Roman" w:hAnsi="Times New Roman"/>
                <w:sz w:val="20"/>
                <w:szCs w:val="20"/>
                <w:lang w:val="en-GB"/>
              </w:rPr>
              <w:t>562</w:t>
            </w:r>
          </w:p>
          <w:p w14:paraId="33BB67F9" w14:textId="426BAA57" w:rsidR="00975513" w:rsidRPr="00F358E1" w:rsidRDefault="00975513"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w:t>
            </w:r>
            <w:r w:rsidR="00516DCD" w:rsidRPr="00F358E1">
              <w:rPr>
                <w:rFonts w:ascii="Times New Roman" w:hAnsi="Times New Roman"/>
                <w:sz w:val="20"/>
                <w:szCs w:val="20"/>
                <w:lang w:val="en-GB"/>
              </w:rPr>
              <w:t>700 – 3.488</w:t>
            </w:r>
            <w:r w:rsidRPr="00F358E1">
              <w:rPr>
                <w:rFonts w:ascii="Times New Roman" w:hAnsi="Times New Roman"/>
                <w:sz w:val="20"/>
                <w:szCs w:val="20"/>
                <w:lang w:val="en-GB"/>
              </w:rPr>
              <w:t>)</w:t>
            </w:r>
          </w:p>
        </w:tc>
        <w:tc>
          <w:tcPr>
            <w:tcW w:w="1574" w:type="dxa"/>
            <w:tcBorders>
              <w:top w:val="single" w:sz="4" w:space="0" w:color="auto"/>
              <w:bottom w:val="single" w:sz="4" w:space="0" w:color="auto"/>
            </w:tcBorders>
            <w:shd w:val="clear" w:color="auto" w:fill="auto"/>
          </w:tcPr>
          <w:p w14:paraId="37909320" w14:textId="35F9BBBC" w:rsidR="00975513" w:rsidRPr="00F358E1" w:rsidRDefault="00975513"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w:t>
            </w:r>
            <w:r w:rsidR="00516DCD" w:rsidRPr="00F358E1">
              <w:rPr>
                <w:rFonts w:ascii="Times New Roman" w:hAnsi="Times New Roman"/>
                <w:sz w:val="20"/>
                <w:szCs w:val="20"/>
                <w:lang w:val="en-GB"/>
              </w:rPr>
              <w:t>678</w:t>
            </w:r>
          </w:p>
          <w:p w14:paraId="4068FA08" w14:textId="6BE08E9C" w:rsidR="00975513" w:rsidRPr="00F358E1" w:rsidRDefault="00975513"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w:t>
            </w:r>
            <w:r w:rsidR="00516DCD" w:rsidRPr="00F358E1">
              <w:rPr>
                <w:rFonts w:ascii="Times New Roman" w:hAnsi="Times New Roman"/>
                <w:sz w:val="20"/>
                <w:szCs w:val="20"/>
                <w:lang w:val="en-GB"/>
              </w:rPr>
              <w:t>255 – 1.806</w:t>
            </w:r>
            <w:r w:rsidRPr="00F358E1">
              <w:rPr>
                <w:rFonts w:ascii="Times New Roman" w:hAnsi="Times New Roman"/>
                <w:sz w:val="20"/>
                <w:szCs w:val="20"/>
                <w:lang w:val="en-GB"/>
              </w:rPr>
              <w:t>)</w:t>
            </w:r>
          </w:p>
        </w:tc>
        <w:tc>
          <w:tcPr>
            <w:tcW w:w="1565" w:type="dxa"/>
            <w:tcBorders>
              <w:top w:val="single" w:sz="4" w:space="0" w:color="auto"/>
              <w:bottom w:val="single" w:sz="4" w:space="0" w:color="auto"/>
            </w:tcBorders>
            <w:shd w:val="clear" w:color="auto" w:fill="auto"/>
          </w:tcPr>
          <w:p w14:paraId="164CE2B8" w14:textId="38A08BD1" w:rsidR="00975513" w:rsidRPr="00F358E1" w:rsidRDefault="00975513"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1.5</w:t>
            </w:r>
            <w:r w:rsidR="00986125" w:rsidRPr="00F358E1">
              <w:rPr>
                <w:rFonts w:ascii="Times New Roman" w:hAnsi="Times New Roman"/>
                <w:sz w:val="20"/>
                <w:szCs w:val="20"/>
                <w:lang w:val="en-GB"/>
              </w:rPr>
              <w:t>08</w:t>
            </w:r>
          </w:p>
          <w:p w14:paraId="1EA27035" w14:textId="5B360372" w:rsidR="00975513" w:rsidRPr="00F358E1" w:rsidRDefault="00975513"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w:t>
            </w:r>
            <w:r w:rsidR="00986125" w:rsidRPr="00F358E1">
              <w:rPr>
                <w:rFonts w:ascii="Times New Roman" w:hAnsi="Times New Roman"/>
                <w:sz w:val="20"/>
                <w:szCs w:val="20"/>
                <w:lang w:val="en-GB"/>
              </w:rPr>
              <w:t>0.701 – 3.246</w:t>
            </w:r>
            <w:r w:rsidRPr="00F358E1">
              <w:rPr>
                <w:rFonts w:ascii="Times New Roman" w:hAnsi="Times New Roman"/>
                <w:sz w:val="20"/>
                <w:szCs w:val="20"/>
                <w:lang w:val="en-GB"/>
              </w:rPr>
              <w:t>)</w:t>
            </w:r>
          </w:p>
        </w:tc>
        <w:tc>
          <w:tcPr>
            <w:tcW w:w="1569" w:type="dxa"/>
            <w:tcBorders>
              <w:top w:val="single" w:sz="4" w:space="0" w:color="auto"/>
              <w:bottom w:val="single" w:sz="4" w:space="0" w:color="auto"/>
            </w:tcBorders>
            <w:shd w:val="clear" w:color="auto" w:fill="auto"/>
          </w:tcPr>
          <w:p w14:paraId="58B7600B" w14:textId="1D8762A6" w:rsidR="00975513" w:rsidRPr="00F358E1" w:rsidRDefault="00986125"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2.120</w:t>
            </w:r>
          </w:p>
          <w:p w14:paraId="0DEC6815" w14:textId="7B244522" w:rsidR="00975513" w:rsidRPr="00F358E1" w:rsidRDefault="00986125" w:rsidP="00986125">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(0.931 – 4.828</w:t>
            </w:r>
            <w:r w:rsidR="00975513" w:rsidRPr="00F358E1">
              <w:rPr>
                <w:rFonts w:ascii="Times New Roman" w:hAnsi="Times New Roman"/>
                <w:sz w:val="20"/>
                <w:szCs w:val="20"/>
                <w:lang w:val="en-GB"/>
              </w:rPr>
              <w:t>)</w:t>
            </w:r>
          </w:p>
        </w:tc>
      </w:tr>
      <w:tr w:rsidR="00975513" w:rsidRPr="00FB677A" w14:paraId="1C65778D" w14:textId="77777777" w:rsidTr="00DC2A5C">
        <w:tc>
          <w:tcPr>
            <w:tcW w:w="2211" w:type="dxa"/>
            <w:tcBorders>
              <w:top w:val="single" w:sz="4" w:space="0" w:color="auto"/>
              <w:bottom w:val="single" w:sz="4" w:space="0" w:color="auto"/>
            </w:tcBorders>
            <w:shd w:val="clear" w:color="auto" w:fill="auto"/>
          </w:tcPr>
          <w:p w14:paraId="581849DE" w14:textId="77777777" w:rsidR="00975513" w:rsidRPr="00242EF1" w:rsidRDefault="00975513" w:rsidP="00975513">
            <w:pPr>
              <w:spacing w:after="0" w:line="240" w:lineRule="auto"/>
              <w:jc w:val="right"/>
              <w:rPr>
                <w:rFonts w:ascii="Times New Roman" w:hAnsi="Times New Roman"/>
                <w:i/>
                <w:iCs/>
                <w:sz w:val="20"/>
                <w:szCs w:val="20"/>
                <w:lang w:val="en-GB"/>
              </w:rPr>
            </w:pPr>
            <w:r w:rsidRPr="00242EF1">
              <w:rPr>
                <w:rFonts w:ascii="Times New Roman" w:hAnsi="Times New Roman"/>
                <w:sz w:val="20"/>
                <w:szCs w:val="20"/>
                <w:lang w:val="en-GB"/>
              </w:rPr>
              <w:t>Coeff on number of hospital admissions</w:t>
            </w:r>
          </w:p>
        </w:tc>
        <w:tc>
          <w:tcPr>
            <w:tcW w:w="1575" w:type="dxa"/>
            <w:tcBorders>
              <w:top w:val="single" w:sz="4" w:space="0" w:color="auto"/>
              <w:bottom w:val="single" w:sz="4" w:space="0" w:color="auto"/>
            </w:tcBorders>
            <w:shd w:val="clear" w:color="auto" w:fill="auto"/>
            <w:vAlign w:val="center"/>
          </w:tcPr>
          <w:p w14:paraId="4389346F" w14:textId="77777777" w:rsidR="00975513" w:rsidRPr="00F358E1" w:rsidRDefault="00DC3FD6"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 xml:space="preserve">0.043 </w:t>
            </w:r>
          </w:p>
          <w:p w14:paraId="67BA30FF" w14:textId="32F51869" w:rsidR="00DC3FD6" w:rsidRPr="00F358E1" w:rsidRDefault="00DC3FD6"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(-1.040 – 1.125)</w:t>
            </w:r>
          </w:p>
        </w:tc>
        <w:tc>
          <w:tcPr>
            <w:tcW w:w="1574" w:type="dxa"/>
            <w:tcBorders>
              <w:top w:val="single" w:sz="4" w:space="0" w:color="auto"/>
              <w:bottom w:val="single" w:sz="4" w:space="0" w:color="auto"/>
            </w:tcBorders>
            <w:shd w:val="clear" w:color="auto" w:fill="auto"/>
            <w:vAlign w:val="center"/>
          </w:tcPr>
          <w:p w14:paraId="373942D2" w14:textId="77777777" w:rsidR="00975513" w:rsidRPr="00F358E1" w:rsidRDefault="00DC3FD6"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 xml:space="preserve">0.143 </w:t>
            </w:r>
          </w:p>
          <w:p w14:paraId="4ADED522" w14:textId="34ABEA1E" w:rsidR="00DC3FD6" w:rsidRPr="00F358E1" w:rsidRDefault="00DC3FD6"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(-0.773 – 1.059)</w:t>
            </w:r>
          </w:p>
        </w:tc>
        <w:tc>
          <w:tcPr>
            <w:tcW w:w="1565" w:type="dxa"/>
            <w:tcBorders>
              <w:top w:val="single" w:sz="4" w:space="0" w:color="auto"/>
              <w:bottom w:val="single" w:sz="4" w:space="0" w:color="auto"/>
            </w:tcBorders>
            <w:shd w:val="clear" w:color="auto" w:fill="auto"/>
            <w:vAlign w:val="center"/>
          </w:tcPr>
          <w:p w14:paraId="33284689" w14:textId="77777777" w:rsidR="00975513" w:rsidRPr="00F358E1" w:rsidRDefault="00043C83"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0.539*</w:t>
            </w:r>
          </w:p>
          <w:p w14:paraId="53E337A4" w14:textId="28B2E500" w:rsidR="00043C83" w:rsidRPr="00F358E1" w:rsidRDefault="00043C83"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(0.026 – 1.051)</w:t>
            </w:r>
          </w:p>
        </w:tc>
        <w:tc>
          <w:tcPr>
            <w:tcW w:w="1569" w:type="dxa"/>
            <w:tcBorders>
              <w:top w:val="single" w:sz="4" w:space="0" w:color="auto"/>
              <w:bottom w:val="single" w:sz="4" w:space="0" w:color="auto"/>
            </w:tcBorders>
            <w:shd w:val="clear" w:color="auto" w:fill="auto"/>
            <w:vAlign w:val="center"/>
          </w:tcPr>
          <w:p w14:paraId="44187BE2" w14:textId="77777777" w:rsidR="00975513" w:rsidRPr="00F358E1" w:rsidRDefault="00043C83"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0.133</w:t>
            </w:r>
          </w:p>
          <w:p w14:paraId="2DFB4A7D" w14:textId="16FEC493" w:rsidR="00043C83" w:rsidRPr="00F358E1" w:rsidRDefault="00043C83"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(-0.566 – 0.832)</w:t>
            </w:r>
          </w:p>
        </w:tc>
      </w:tr>
      <w:tr w:rsidR="00975513" w:rsidRPr="00FB677A" w14:paraId="3C064C0A" w14:textId="77777777" w:rsidTr="00DC2A5C">
        <w:tc>
          <w:tcPr>
            <w:tcW w:w="2211" w:type="dxa"/>
            <w:tcBorders>
              <w:top w:val="single" w:sz="4" w:space="0" w:color="auto"/>
              <w:bottom w:val="single" w:sz="4" w:space="0" w:color="auto"/>
            </w:tcBorders>
            <w:shd w:val="clear" w:color="auto" w:fill="auto"/>
          </w:tcPr>
          <w:p w14:paraId="7BA82367" w14:textId="77777777" w:rsidR="00975513" w:rsidRPr="00242EF1" w:rsidRDefault="00975513" w:rsidP="00975513">
            <w:pPr>
              <w:spacing w:after="0" w:line="240" w:lineRule="auto"/>
              <w:jc w:val="right"/>
              <w:rPr>
                <w:rFonts w:ascii="Times New Roman" w:hAnsi="Times New Roman"/>
                <w:i/>
                <w:iCs/>
                <w:sz w:val="20"/>
                <w:szCs w:val="20"/>
                <w:lang w:val="en-GB"/>
              </w:rPr>
            </w:pPr>
            <w:r w:rsidRPr="00242EF1">
              <w:rPr>
                <w:rFonts w:ascii="Times New Roman" w:hAnsi="Times New Roman"/>
                <w:sz w:val="20"/>
                <w:szCs w:val="20"/>
                <w:lang w:val="en-GB"/>
              </w:rPr>
              <w:t>Coeff on length of hospitalization</w:t>
            </w:r>
          </w:p>
        </w:tc>
        <w:tc>
          <w:tcPr>
            <w:tcW w:w="1575" w:type="dxa"/>
            <w:tcBorders>
              <w:top w:val="single" w:sz="4" w:space="0" w:color="auto"/>
              <w:bottom w:val="single" w:sz="4" w:space="0" w:color="auto"/>
            </w:tcBorders>
            <w:shd w:val="clear" w:color="auto" w:fill="auto"/>
            <w:vAlign w:val="center"/>
          </w:tcPr>
          <w:p w14:paraId="26F6A3AF" w14:textId="77777777" w:rsidR="00975513" w:rsidRPr="00F358E1" w:rsidRDefault="00FE12A5"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0.831**</w:t>
            </w:r>
          </w:p>
          <w:p w14:paraId="0043D0BE" w14:textId="255696A3" w:rsidR="00FE12A5" w:rsidRPr="00F358E1" w:rsidRDefault="00FE12A5"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(0.300 – 1.363)</w:t>
            </w:r>
          </w:p>
        </w:tc>
        <w:tc>
          <w:tcPr>
            <w:tcW w:w="1574" w:type="dxa"/>
            <w:tcBorders>
              <w:top w:val="single" w:sz="4" w:space="0" w:color="auto"/>
              <w:bottom w:val="single" w:sz="4" w:space="0" w:color="auto"/>
            </w:tcBorders>
            <w:shd w:val="clear" w:color="auto" w:fill="auto"/>
            <w:vAlign w:val="center"/>
          </w:tcPr>
          <w:p w14:paraId="315B6906" w14:textId="77777777" w:rsidR="00975513" w:rsidRPr="00F358E1" w:rsidRDefault="005A3F83"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0.511*</w:t>
            </w:r>
          </w:p>
          <w:p w14:paraId="0840B0A6" w14:textId="053DA69C" w:rsidR="005A3F83" w:rsidRPr="00F358E1" w:rsidRDefault="005A3F83"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(0.055 – 0.966)</w:t>
            </w:r>
          </w:p>
        </w:tc>
        <w:tc>
          <w:tcPr>
            <w:tcW w:w="1565" w:type="dxa"/>
            <w:tcBorders>
              <w:top w:val="single" w:sz="4" w:space="0" w:color="auto"/>
              <w:bottom w:val="single" w:sz="4" w:space="0" w:color="auto"/>
            </w:tcBorders>
            <w:shd w:val="clear" w:color="auto" w:fill="auto"/>
            <w:vAlign w:val="center"/>
          </w:tcPr>
          <w:p w14:paraId="3C862974" w14:textId="77777777" w:rsidR="00975513" w:rsidRPr="00F358E1" w:rsidRDefault="004E4191"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0.701*</w:t>
            </w:r>
          </w:p>
          <w:p w14:paraId="16637818" w14:textId="393C486A" w:rsidR="004E4191" w:rsidRPr="00F358E1" w:rsidRDefault="004E4191"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(0.108 – 1.294)</w:t>
            </w:r>
          </w:p>
        </w:tc>
        <w:tc>
          <w:tcPr>
            <w:tcW w:w="1569" w:type="dxa"/>
            <w:tcBorders>
              <w:top w:val="single" w:sz="4" w:space="0" w:color="auto"/>
              <w:bottom w:val="single" w:sz="4" w:space="0" w:color="auto"/>
            </w:tcBorders>
            <w:shd w:val="clear" w:color="auto" w:fill="auto"/>
            <w:vAlign w:val="center"/>
          </w:tcPr>
          <w:p w14:paraId="6FAF84BA" w14:textId="77777777" w:rsidR="004E4191" w:rsidRPr="00F358E1" w:rsidRDefault="004E4191"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 xml:space="preserve">0.090 </w:t>
            </w:r>
          </w:p>
          <w:p w14:paraId="665DEAD1" w14:textId="5F0B1956" w:rsidR="004E4191" w:rsidRPr="00F358E1" w:rsidRDefault="004E4191"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(-0.768 – 0.947)</w:t>
            </w:r>
          </w:p>
        </w:tc>
      </w:tr>
      <w:tr w:rsidR="00975513" w:rsidRPr="002D5F96" w14:paraId="6C62C772" w14:textId="77777777" w:rsidTr="00DC2A5C">
        <w:tc>
          <w:tcPr>
            <w:tcW w:w="2211" w:type="dxa"/>
            <w:tcBorders>
              <w:top w:val="single" w:sz="4" w:space="0" w:color="auto"/>
              <w:bottom w:val="single" w:sz="4" w:space="0" w:color="auto"/>
            </w:tcBorders>
            <w:shd w:val="clear" w:color="auto" w:fill="auto"/>
          </w:tcPr>
          <w:p w14:paraId="589FE117" w14:textId="77777777" w:rsidR="00975513" w:rsidRPr="00242EF1" w:rsidRDefault="00975513" w:rsidP="00975513">
            <w:pPr>
              <w:spacing w:after="0" w:line="240" w:lineRule="auto"/>
              <w:jc w:val="right"/>
              <w:rPr>
                <w:rFonts w:ascii="Times New Roman" w:hAnsi="Times New Roman"/>
                <w:i/>
                <w:iCs/>
                <w:sz w:val="20"/>
                <w:szCs w:val="20"/>
                <w:lang w:val="en-GB"/>
              </w:rPr>
            </w:pPr>
            <w:r w:rsidRPr="00242EF1">
              <w:rPr>
                <w:rFonts w:ascii="Times New Roman" w:hAnsi="Times New Roman"/>
                <w:sz w:val="20"/>
                <w:szCs w:val="20"/>
                <w:lang w:val="en-GB"/>
              </w:rPr>
              <w:t>Coeff on hospitalization costs</w:t>
            </w:r>
          </w:p>
        </w:tc>
        <w:tc>
          <w:tcPr>
            <w:tcW w:w="1575" w:type="dxa"/>
            <w:tcBorders>
              <w:top w:val="single" w:sz="4" w:space="0" w:color="auto"/>
              <w:bottom w:val="single" w:sz="4" w:space="0" w:color="auto"/>
            </w:tcBorders>
            <w:shd w:val="clear" w:color="auto" w:fill="auto"/>
            <w:vAlign w:val="center"/>
          </w:tcPr>
          <w:p w14:paraId="0DE99C46" w14:textId="77777777" w:rsidR="00975513" w:rsidRPr="00F358E1" w:rsidRDefault="00516DCD"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0.179</w:t>
            </w:r>
          </w:p>
          <w:p w14:paraId="5B1D1B9E" w14:textId="4875CD46" w:rsidR="00516DCD" w:rsidRPr="00F358E1" w:rsidRDefault="00516DCD"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(-0.368 – 0.726)</w:t>
            </w:r>
          </w:p>
        </w:tc>
        <w:tc>
          <w:tcPr>
            <w:tcW w:w="1574" w:type="dxa"/>
            <w:tcBorders>
              <w:top w:val="single" w:sz="4" w:space="0" w:color="auto"/>
              <w:bottom w:val="single" w:sz="4" w:space="0" w:color="auto"/>
            </w:tcBorders>
            <w:shd w:val="clear" w:color="auto" w:fill="auto"/>
            <w:vAlign w:val="center"/>
          </w:tcPr>
          <w:p w14:paraId="0946C7EA" w14:textId="77777777" w:rsidR="00975513" w:rsidRPr="00F358E1" w:rsidRDefault="00516DCD"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-0.337</w:t>
            </w:r>
          </w:p>
          <w:p w14:paraId="0F6A911F" w14:textId="387EEAE0" w:rsidR="00516DCD" w:rsidRPr="00F358E1" w:rsidRDefault="00516DCD"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(-1.115 – 0.442)</w:t>
            </w:r>
          </w:p>
        </w:tc>
        <w:tc>
          <w:tcPr>
            <w:tcW w:w="1565" w:type="dxa"/>
            <w:tcBorders>
              <w:top w:val="single" w:sz="4" w:space="0" w:color="auto"/>
              <w:bottom w:val="single" w:sz="4" w:space="0" w:color="auto"/>
            </w:tcBorders>
            <w:shd w:val="clear" w:color="auto" w:fill="auto"/>
            <w:vAlign w:val="center"/>
          </w:tcPr>
          <w:p w14:paraId="1DA7ACAB" w14:textId="77777777" w:rsidR="00975513" w:rsidRPr="00F358E1" w:rsidRDefault="00986125"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0.201</w:t>
            </w:r>
          </w:p>
          <w:p w14:paraId="78B5270C" w14:textId="67ACFDD4" w:rsidR="00986125" w:rsidRPr="00F358E1" w:rsidRDefault="00986125"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(-0.242 – 0.644)</w:t>
            </w:r>
          </w:p>
        </w:tc>
        <w:tc>
          <w:tcPr>
            <w:tcW w:w="1569" w:type="dxa"/>
            <w:tcBorders>
              <w:top w:val="single" w:sz="4" w:space="0" w:color="auto"/>
              <w:bottom w:val="single" w:sz="4" w:space="0" w:color="auto"/>
            </w:tcBorders>
            <w:shd w:val="clear" w:color="auto" w:fill="auto"/>
            <w:vAlign w:val="center"/>
          </w:tcPr>
          <w:p w14:paraId="616AF285" w14:textId="77777777" w:rsidR="00975513" w:rsidRPr="00F358E1" w:rsidRDefault="00986125"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-0.012</w:t>
            </w:r>
          </w:p>
          <w:p w14:paraId="3D1F1483" w14:textId="2B8E437B" w:rsidR="00986125" w:rsidRPr="00F358E1" w:rsidRDefault="00986125"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(-0.531 – 0.506)</w:t>
            </w:r>
          </w:p>
        </w:tc>
      </w:tr>
      <w:tr w:rsidR="00975513" w:rsidRPr="002D5F96" w14:paraId="117441E3" w14:textId="77777777" w:rsidTr="00137ECF">
        <w:tc>
          <w:tcPr>
            <w:tcW w:w="2211" w:type="dxa"/>
            <w:tcBorders>
              <w:top w:val="single" w:sz="4" w:space="0" w:color="auto"/>
              <w:bottom w:val="single" w:sz="4" w:space="0" w:color="auto"/>
            </w:tcBorders>
            <w:shd w:val="clear" w:color="auto" w:fill="auto"/>
          </w:tcPr>
          <w:p w14:paraId="248A42CC" w14:textId="77777777" w:rsidR="00975513" w:rsidRPr="00242EF1" w:rsidRDefault="00975513" w:rsidP="00975513">
            <w:pPr>
              <w:spacing w:after="0" w:line="240" w:lineRule="auto"/>
              <w:jc w:val="right"/>
              <w:rPr>
                <w:rFonts w:ascii="Times New Roman" w:hAnsi="Times New Roman"/>
                <w:sz w:val="20"/>
                <w:szCs w:val="20"/>
                <w:lang w:val="en-GB"/>
              </w:rPr>
            </w:pPr>
            <w:r w:rsidRPr="00242EF1">
              <w:rPr>
                <w:rFonts w:ascii="Times New Roman" w:hAnsi="Times New Roman"/>
                <w:i/>
                <w:iCs/>
                <w:sz w:val="20"/>
                <w:szCs w:val="20"/>
                <w:lang w:val="en-GB"/>
              </w:rPr>
              <w:t>Frail # with sarcopenia</w:t>
            </w:r>
          </w:p>
        </w:tc>
        <w:tc>
          <w:tcPr>
            <w:tcW w:w="1575" w:type="dxa"/>
            <w:tcBorders>
              <w:top w:val="single" w:sz="4" w:space="0" w:color="auto"/>
              <w:bottom w:val="single" w:sz="4" w:space="0" w:color="auto"/>
            </w:tcBorders>
            <w:shd w:val="clear" w:color="auto" w:fill="auto"/>
          </w:tcPr>
          <w:p w14:paraId="6731529D" w14:textId="77777777" w:rsidR="00975513" w:rsidRPr="00F358E1" w:rsidRDefault="00975513" w:rsidP="00975513">
            <w:pPr>
              <w:spacing w:after="0" w:line="240" w:lineRule="auto"/>
              <w:jc w:val="center"/>
              <w:rPr>
                <w:rFonts w:ascii="Times New Roman" w:hAnsi="Times New Roman"/>
                <w:sz w:val="20"/>
                <w:szCs w:val="20"/>
                <w:lang w:val="en-GB"/>
              </w:rPr>
            </w:pPr>
          </w:p>
        </w:tc>
        <w:tc>
          <w:tcPr>
            <w:tcW w:w="1574" w:type="dxa"/>
            <w:tcBorders>
              <w:top w:val="single" w:sz="4" w:space="0" w:color="auto"/>
              <w:bottom w:val="single" w:sz="4" w:space="0" w:color="auto"/>
            </w:tcBorders>
            <w:shd w:val="clear" w:color="auto" w:fill="auto"/>
          </w:tcPr>
          <w:p w14:paraId="6A3B4E50" w14:textId="77777777" w:rsidR="00975513" w:rsidRPr="00F358E1" w:rsidRDefault="00975513" w:rsidP="00975513">
            <w:pPr>
              <w:spacing w:after="0" w:line="240" w:lineRule="auto"/>
              <w:jc w:val="center"/>
              <w:rPr>
                <w:rFonts w:ascii="Times New Roman" w:hAnsi="Times New Roman"/>
                <w:sz w:val="20"/>
                <w:szCs w:val="20"/>
                <w:lang w:val="en-GB"/>
              </w:rPr>
            </w:pPr>
          </w:p>
        </w:tc>
        <w:tc>
          <w:tcPr>
            <w:tcW w:w="1565" w:type="dxa"/>
            <w:tcBorders>
              <w:top w:val="single" w:sz="4" w:space="0" w:color="auto"/>
              <w:bottom w:val="single" w:sz="4" w:space="0" w:color="auto"/>
            </w:tcBorders>
            <w:shd w:val="clear" w:color="auto" w:fill="auto"/>
          </w:tcPr>
          <w:p w14:paraId="003847E1" w14:textId="77777777" w:rsidR="00975513" w:rsidRPr="00F358E1" w:rsidRDefault="00975513" w:rsidP="00975513">
            <w:pPr>
              <w:spacing w:after="0" w:line="240" w:lineRule="auto"/>
              <w:jc w:val="center"/>
              <w:rPr>
                <w:rFonts w:ascii="Times New Roman" w:hAnsi="Times New Roman"/>
                <w:sz w:val="20"/>
                <w:szCs w:val="20"/>
                <w:lang w:val="en-GB"/>
              </w:rPr>
            </w:pPr>
          </w:p>
        </w:tc>
        <w:tc>
          <w:tcPr>
            <w:tcW w:w="1569" w:type="dxa"/>
            <w:tcBorders>
              <w:top w:val="single" w:sz="4" w:space="0" w:color="auto"/>
              <w:bottom w:val="single" w:sz="4" w:space="0" w:color="auto"/>
            </w:tcBorders>
            <w:shd w:val="clear" w:color="auto" w:fill="auto"/>
          </w:tcPr>
          <w:p w14:paraId="0A2A3D09" w14:textId="77777777" w:rsidR="00975513" w:rsidRPr="00F358E1" w:rsidRDefault="00975513" w:rsidP="00975513">
            <w:pPr>
              <w:spacing w:after="0" w:line="240" w:lineRule="auto"/>
              <w:jc w:val="center"/>
              <w:rPr>
                <w:rFonts w:ascii="Times New Roman" w:hAnsi="Times New Roman"/>
                <w:sz w:val="20"/>
                <w:szCs w:val="20"/>
                <w:lang w:val="en-GB"/>
              </w:rPr>
            </w:pPr>
          </w:p>
        </w:tc>
      </w:tr>
      <w:tr w:rsidR="00975513" w:rsidRPr="002D5F96" w14:paraId="17F02185" w14:textId="77777777" w:rsidTr="00137ECF">
        <w:tc>
          <w:tcPr>
            <w:tcW w:w="2211" w:type="dxa"/>
            <w:tcBorders>
              <w:top w:val="single" w:sz="4" w:space="0" w:color="auto"/>
              <w:bottom w:val="single" w:sz="4" w:space="0" w:color="auto"/>
            </w:tcBorders>
            <w:shd w:val="clear" w:color="auto" w:fill="auto"/>
          </w:tcPr>
          <w:p w14:paraId="34106B7C" w14:textId="77777777" w:rsidR="00975513" w:rsidRPr="00242EF1" w:rsidRDefault="00975513" w:rsidP="00975513">
            <w:pPr>
              <w:spacing w:after="0" w:line="240" w:lineRule="auto"/>
              <w:jc w:val="right"/>
              <w:rPr>
                <w:rFonts w:ascii="Times New Roman" w:hAnsi="Times New Roman"/>
                <w:sz w:val="20"/>
                <w:szCs w:val="20"/>
                <w:lang w:val="en-GB"/>
              </w:rPr>
            </w:pPr>
            <w:r w:rsidRPr="00242EF1">
              <w:rPr>
                <w:rFonts w:ascii="Times New Roman" w:hAnsi="Times New Roman"/>
                <w:sz w:val="20"/>
                <w:szCs w:val="20"/>
                <w:lang w:val="en-GB"/>
              </w:rPr>
              <w:t>OR on the probability of being admitted to hospital</w:t>
            </w:r>
          </w:p>
        </w:tc>
        <w:tc>
          <w:tcPr>
            <w:tcW w:w="1575" w:type="dxa"/>
            <w:tcBorders>
              <w:top w:val="single" w:sz="4" w:space="0" w:color="auto"/>
              <w:bottom w:val="single" w:sz="4" w:space="0" w:color="auto"/>
            </w:tcBorders>
            <w:shd w:val="clear" w:color="auto" w:fill="auto"/>
          </w:tcPr>
          <w:p w14:paraId="74F85051" w14:textId="7B14F646" w:rsidR="00975513" w:rsidRPr="00F358E1" w:rsidRDefault="00975513"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1.</w:t>
            </w:r>
            <w:r w:rsidR="00516DCD" w:rsidRPr="00F358E1">
              <w:rPr>
                <w:rFonts w:ascii="Times New Roman" w:hAnsi="Times New Roman"/>
                <w:sz w:val="20"/>
                <w:szCs w:val="20"/>
                <w:lang w:val="en-GB"/>
              </w:rPr>
              <w:t>266</w:t>
            </w:r>
          </w:p>
          <w:p w14:paraId="752E3AEE" w14:textId="13125BCD" w:rsidR="00975513" w:rsidRPr="00F358E1" w:rsidRDefault="00975513"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w:t>
            </w:r>
            <w:r w:rsidR="00516DCD" w:rsidRPr="00F358E1">
              <w:rPr>
                <w:rFonts w:ascii="Times New Roman" w:hAnsi="Times New Roman"/>
                <w:sz w:val="20"/>
                <w:szCs w:val="20"/>
                <w:lang w:val="en-GB"/>
              </w:rPr>
              <w:t>452 – 3.544</w:t>
            </w:r>
            <w:r w:rsidRPr="00F358E1">
              <w:rPr>
                <w:rFonts w:ascii="Times New Roman" w:hAnsi="Times New Roman"/>
                <w:sz w:val="20"/>
                <w:szCs w:val="20"/>
                <w:lang w:val="en-GB"/>
              </w:rPr>
              <w:t>)</w:t>
            </w:r>
          </w:p>
        </w:tc>
        <w:tc>
          <w:tcPr>
            <w:tcW w:w="1574" w:type="dxa"/>
            <w:tcBorders>
              <w:top w:val="single" w:sz="4" w:space="0" w:color="auto"/>
              <w:bottom w:val="single" w:sz="4" w:space="0" w:color="auto"/>
            </w:tcBorders>
            <w:shd w:val="clear" w:color="auto" w:fill="auto"/>
          </w:tcPr>
          <w:p w14:paraId="0997BCAB" w14:textId="2F575902" w:rsidR="00975513" w:rsidRPr="00F358E1" w:rsidRDefault="00975513"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1.</w:t>
            </w:r>
            <w:r w:rsidR="00516DCD" w:rsidRPr="00F358E1">
              <w:rPr>
                <w:rFonts w:ascii="Times New Roman" w:hAnsi="Times New Roman"/>
                <w:sz w:val="20"/>
                <w:szCs w:val="20"/>
                <w:lang w:val="en-GB"/>
              </w:rPr>
              <w:t>592</w:t>
            </w:r>
          </w:p>
          <w:p w14:paraId="1D2D9782" w14:textId="18D383B7" w:rsidR="00975513" w:rsidRPr="00F358E1" w:rsidRDefault="00975513" w:rsidP="00516DCD">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w:t>
            </w:r>
            <w:r w:rsidR="00516DCD" w:rsidRPr="00F358E1">
              <w:rPr>
                <w:rFonts w:ascii="Times New Roman" w:hAnsi="Times New Roman"/>
                <w:sz w:val="20"/>
                <w:szCs w:val="20"/>
                <w:lang w:val="en-GB"/>
              </w:rPr>
              <w:t>525 – 4.822</w:t>
            </w:r>
            <w:r w:rsidRPr="00F358E1">
              <w:rPr>
                <w:rFonts w:ascii="Times New Roman" w:hAnsi="Times New Roman"/>
                <w:sz w:val="20"/>
                <w:szCs w:val="20"/>
                <w:lang w:val="en-GB"/>
              </w:rPr>
              <w:t>)</w:t>
            </w:r>
          </w:p>
        </w:tc>
        <w:tc>
          <w:tcPr>
            <w:tcW w:w="1565" w:type="dxa"/>
            <w:tcBorders>
              <w:top w:val="single" w:sz="4" w:space="0" w:color="auto"/>
              <w:bottom w:val="single" w:sz="4" w:space="0" w:color="auto"/>
            </w:tcBorders>
            <w:shd w:val="clear" w:color="auto" w:fill="auto"/>
          </w:tcPr>
          <w:p w14:paraId="791A1038" w14:textId="37F767DA" w:rsidR="00975513" w:rsidRPr="00F358E1" w:rsidRDefault="00975513"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0.8</w:t>
            </w:r>
            <w:r w:rsidR="00986125" w:rsidRPr="00F358E1">
              <w:rPr>
                <w:rFonts w:ascii="Times New Roman" w:hAnsi="Times New Roman"/>
                <w:sz w:val="20"/>
                <w:szCs w:val="20"/>
                <w:lang w:val="en-GB"/>
              </w:rPr>
              <w:t>70</w:t>
            </w:r>
          </w:p>
          <w:p w14:paraId="77ED24CF" w14:textId="4528CF9A" w:rsidR="00975513" w:rsidRPr="00F358E1" w:rsidRDefault="00975513"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w:t>
            </w:r>
            <w:r w:rsidR="00986125" w:rsidRPr="00F358E1">
              <w:rPr>
                <w:rFonts w:ascii="Times New Roman" w:hAnsi="Times New Roman"/>
                <w:sz w:val="20"/>
                <w:szCs w:val="20"/>
                <w:lang w:val="en-GB"/>
              </w:rPr>
              <w:t>.324 – 2.335</w:t>
            </w:r>
            <w:r w:rsidRPr="00F358E1">
              <w:rPr>
                <w:rFonts w:ascii="Times New Roman" w:hAnsi="Times New Roman"/>
                <w:sz w:val="20"/>
                <w:szCs w:val="20"/>
                <w:lang w:val="en-GB"/>
              </w:rPr>
              <w:t>)</w:t>
            </w:r>
          </w:p>
        </w:tc>
        <w:tc>
          <w:tcPr>
            <w:tcW w:w="1569" w:type="dxa"/>
            <w:tcBorders>
              <w:top w:val="single" w:sz="4" w:space="0" w:color="auto"/>
              <w:bottom w:val="single" w:sz="4" w:space="0" w:color="auto"/>
            </w:tcBorders>
            <w:shd w:val="clear" w:color="auto" w:fill="auto"/>
          </w:tcPr>
          <w:p w14:paraId="5FAA0BC3" w14:textId="50FE8D5C" w:rsidR="00975513" w:rsidRPr="00F358E1" w:rsidRDefault="00975513"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0.59</w:t>
            </w:r>
            <w:r w:rsidR="00986125" w:rsidRPr="00F358E1">
              <w:rPr>
                <w:rFonts w:ascii="Times New Roman" w:hAnsi="Times New Roman"/>
                <w:sz w:val="20"/>
                <w:szCs w:val="20"/>
                <w:lang w:val="en-GB"/>
              </w:rPr>
              <w:t>5</w:t>
            </w:r>
          </w:p>
          <w:p w14:paraId="19922DB4" w14:textId="7B20EA6C" w:rsidR="00975513" w:rsidRPr="00F358E1" w:rsidRDefault="00975513"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(0.2</w:t>
            </w:r>
            <w:r w:rsidR="00986125" w:rsidRPr="00F358E1">
              <w:rPr>
                <w:rFonts w:ascii="Times New Roman" w:hAnsi="Times New Roman"/>
                <w:sz w:val="20"/>
                <w:szCs w:val="20"/>
                <w:lang w:val="en-GB"/>
              </w:rPr>
              <w:t>29 – 1.551</w:t>
            </w:r>
            <w:r w:rsidRPr="00F358E1">
              <w:rPr>
                <w:rFonts w:ascii="Times New Roman" w:hAnsi="Times New Roman"/>
                <w:sz w:val="20"/>
                <w:szCs w:val="20"/>
                <w:lang w:val="en-GB"/>
              </w:rPr>
              <w:t>)</w:t>
            </w:r>
          </w:p>
        </w:tc>
      </w:tr>
      <w:tr w:rsidR="00975513" w:rsidRPr="00FB677A" w14:paraId="43AED229" w14:textId="77777777" w:rsidTr="00DC2A5C">
        <w:tc>
          <w:tcPr>
            <w:tcW w:w="2211" w:type="dxa"/>
            <w:tcBorders>
              <w:top w:val="single" w:sz="4" w:space="0" w:color="auto"/>
              <w:bottom w:val="single" w:sz="4" w:space="0" w:color="auto"/>
            </w:tcBorders>
            <w:shd w:val="clear" w:color="auto" w:fill="auto"/>
          </w:tcPr>
          <w:p w14:paraId="72429799" w14:textId="77777777" w:rsidR="00975513" w:rsidRPr="00242EF1" w:rsidRDefault="00975513" w:rsidP="00975513">
            <w:pPr>
              <w:spacing w:after="0" w:line="240" w:lineRule="auto"/>
              <w:jc w:val="right"/>
              <w:rPr>
                <w:rFonts w:ascii="Times New Roman" w:hAnsi="Times New Roman"/>
                <w:sz w:val="20"/>
                <w:szCs w:val="20"/>
                <w:lang w:val="en-GB"/>
              </w:rPr>
            </w:pPr>
            <w:r w:rsidRPr="00242EF1">
              <w:rPr>
                <w:rFonts w:ascii="Times New Roman" w:hAnsi="Times New Roman"/>
                <w:sz w:val="20"/>
                <w:szCs w:val="20"/>
                <w:lang w:val="en-GB"/>
              </w:rPr>
              <w:t>Coeff on number of hospital admissions</w:t>
            </w:r>
          </w:p>
        </w:tc>
        <w:tc>
          <w:tcPr>
            <w:tcW w:w="1575" w:type="dxa"/>
            <w:tcBorders>
              <w:top w:val="single" w:sz="4" w:space="0" w:color="auto"/>
              <w:bottom w:val="single" w:sz="4" w:space="0" w:color="auto"/>
            </w:tcBorders>
            <w:shd w:val="clear" w:color="auto" w:fill="auto"/>
            <w:vAlign w:val="center"/>
          </w:tcPr>
          <w:p w14:paraId="149D4D56" w14:textId="77777777" w:rsidR="00975513" w:rsidRPr="00F358E1" w:rsidRDefault="00975513"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-0.240</w:t>
            </w:r>
          </w:p>
          <w:p w14:paraId="516C63E8" w14:textId="71AC975C" w:rsidR="00975513" w:rsidRPr="00F358E1" w:rsidRDefault="00975513"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(-1.690 – 1.209)</w:t>
            </w:r>
          </w:p>
        </w:tc>
        <w:tc>
          <w:tcPr>
            <w:tcW w:w="1574" w:type="dxa"/>
            <w:tcBorders>
              <w:top w:val="single" w:sz="4" w:space="0" w:color="auto"/>
              <w:bottom w:val="single" w:sz="4" w:space="0" w:color="auto"/>
            </w:tcBorders>
            <w:shd w:val="clear" w:color="auto" w:fill="auto"/>
            <w:vAlign w:val="center"/>
          </w:tcPr>
          <w:p w14:paraId="05378A54" w14:textId="77777777" w:rsidR="00975513" w:rsidRPr="00F358E1" w:rsidRDefault="00975513"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0.052</w:t>
            </w:r>
          </w:p>
          <w:p w14:paraId="5DBA8FA8" w14:textId="3EC26D31" w:rsidR="00975513" w:rsidRPr="00F358E1" w:rsidRDefault="00975513"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(-1.261 – 1.366)</w:t>
            </w:r>
          </w:p>
        </w:tc>
        <w:tc>
          <w:tcPr>
            <w:tcW w:w="1565" w:type="dxa"/>
            <w:tcBorders>
              <w:top w:val="single" w:sz="4" w:space="0" w:color="auto"/>
              <w:bottom w:val="single" w:sz="4" w:space="0" w:color="auto"/>
            </w:tcBorders>
            <w:shd w:val="clear" w:color="auto" w:fill="auto"/>
            <w:vAlign w:val="center"/>
          </w:tcPr>
          <w:p w14:paraId="6D8EF09F" w14:textId="77777777" w:rsidR="00975513" w:rsidRPr="00F358E1" w:rsidRDefault="00043C83"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 xml:space="preserve">-0.061 </w:t>
            </w:r>
          </w:p>
          <w:p w14:paraId="21966A2F" w14:textId="73D5BFDC" w:rsidR="00043C83" w:rsidRPr="00F358E1" w:rsidRDefault="00043C83"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(-0.825 – 0.703)</w:t>
            </w:r>
          </w:p>
        </w:tc>
        <w:tc>
          <w:tcPr>
            <w:tcW w:w="1569" w:type="dxa"/>
            <w:tcBorders>
              <w:top w:val="single" w:sz="4" w:space="0" w:color="auto"/>
              <w:bottom w:val="single" w:sz="4" w:space="0" w:color="auto"/>
            </w:tcBorders>
            <w:shd w:val="clear" w:color="auto" w:fill="auto"/>
            <w:vAlign w:val="center"/>
          </w:tcPr>
          <w:p w14:paraId="28905F0A" w14:textId="77777777" w:rsidR="00975513" w:rsidRPr="00F358E1" w:rsidRDefault="00043C83"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0.578</w:t>
            </w:r>
          </w:p>
          <w:p w14:paraId="653880B7" w14:textId="7FF73907" w:rsidR="00043C83" w:rsidRPr="00F358E1" w:rsidRDefault="00043C83"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(-0.325 – 1.481)</w:t>
            </w:r>
          </w:p>
        </w:tc>
      </w:tr>
      <w:tr w:rsidR="00975513" w:rsidRPr="00FB677A" w14:paraId="15F64750" w14:textId="77777777" w:rsidTr="00DC2A5C">
        <w:tc>
          <w:tcPr>
            <w:tcW w:w="2211" w:type="dxa"/>
            <w:tcBorders>
              <w:top w:val="single" w:sz="4" w:space="0" w:color="auto"/>
              <w:bottom w:val="single" w:sz="4" w:space="0" w:color="auto"/>
            </w:tcBorders>
            <w:shd w:val="clear" w:color="auto" w:fill="auto"/>
          </w:tcPr>
          <w:p w14:paraId="24C13508" w14:textId="77777777" w:rsidR="00975513" w:rsidRPr="00242EF1" w:rsidRDefault="00975513" w:rsidP="00975513">
            <w:pPr>
              <w:spacing w:after="0" w:line="240" w:lineRule="auto"/>
              <w:jc w:val="right"/>
              <w:rPr>
                <w:rFonts w:ascii="Times New Roman" w:hAnsi="Times New Roman"/>
                <w:sz w:val="20"/>
                <w:szCs w:val="20"/>
                <w:lang w:val="en-GB"/>
              </w:rPr>
            </w:pPr>
            <w:r w:rsidRPr="00242EF1">
              <w:rPr>
                <w:rFonts w:ascii="Times New Roman" w:hAnsi="Times New Roman"/>
                <w:sz w:val="20"/>
                <w:szCs w:val="20"/>
                <w:lang w:val="en-GB"/>
              </w:rPr>
              <w:t>Coeff on length of hospitalization</w:t>
            </w:r>
          </w:p>
        </w:tc>
        <w:tc>
          <w:tcPr>
            <w:tcW w:w="1575" w:type="dxa"/>
            <w:tcBorders>
              <w:top w:val="single" w:sz="4" w:space="0" w:color="auto"/>
              <w:bottom w:val="single" w:sz="4" w:space="0" w:color="auto"/>
            </w:tcBorders>
            <w:shd w:val="clear" w:color="auto" w:fill="auto"/>
            <w:vAlign w:val="center"/>
          </w:tcPr>
          <w:p w14:paraId="42F76B94" w14:textId="77777777" w:rsidR="00975513" w:rsidRPr="00F358E1" w:rsidRDefault="00FE12A5"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-0.821</w:t>
            </w:r>
          </w:p>
          <w:p w14:paraId="0A36AB3E" w14:textId="792D11F9" w:rsidR="00FE12A5" w:rsidRPr="00F358E1" w:rsidRDefault="00FE12A5"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(-1.637 – 1.363)</w:t>
            </w:r>
          </w:p>
        </w:tc>
        <w:tc>
          <w:tcPr>
            <w:tcW w:w="1574" w:type="dxa"/>
            <w:tcBorders>
              <w:top w:val="single" w:sz="4" w:space="0" w:color="auto"/>
              <w:bottom w:val="single" w:sz="4" w:space="0" w:color="auto"/>
            </w:tcBorders>
            <w:shd w:val="clear" w:color="auto" w:fill="auto"/>
            <w:vAlign w:val="center"/>
          </w:tcPr>
          <w:p w14:paraId="104E84A2" w14:textId="77777777" w:rsidR="00975513" w:rsidRPr="00F358E1" w:rsidRDefault="00FE12A5"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-0.231</w:t>
            </w:r>
          </w:p>
          <w:p w14:paraId="2CA71223" w14:textId="34C7C036" w:rsidR="00FE12A5" w:rsidRPr="00F358E1" w:rsidRDefault="00FE12A5"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(-1.000 – 0.538)</w:t>
            </w:r>
          </w:p>
        </w:tc>
        <w:tc>
          <w:tcPr>
            <w:tcW w:w="1565" w:type="dxa"/>
            <w:tcBorders>
              <w:top w:val="single" w:sz="4" w:space="0" w:color="auto"/>
              <w:bottom w:val="single" w:sz="4" w:space="0" w:color="auto"/>
            </w:tcBorders>
            <w:shd w:val="clear" w:color="auto" w:fill="auto"/>
            <w:vAlign w:val="center"/>
          </w:tcPr>
          <w:p w14:paraId="70C3794D" w14:textId="77777777" w:rsidR="00975513" w:rsidRPr="00F358E1" w:rsidRDefault="004E4191"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-0.197</w:t>
            </w:r>
          </w:p>
          <w:p w14:paraId="752679FB" w14:textId="3F9D1D53" w:rsidR="004E4191" w:rsidRPr="00F358E1" w:rsidRDefault="004E4191"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(-0.959 – 0.565)</w:t>
            </w:r>
          </w:p>
        </w:tc>
        <w:tc>
          <w:tcPr>
            <w:tcW w:w="1569" w:type="dxa"/>
            <w:tcBorders>
              <w:top w:val="single" w:sz="4" w:space="0" w:color="auto"/>
              <w:bottom w:val="single" w:sz="4" w:space="0" w:color="auto"/>
            </w:tcBorders>
            <w:shd w:val="clear" w:color="auto" w:fill="auto"/>
            <w:vAlign w:val="center"/>
          </w:tcPr>
          <w:p w14:paraId="0D0C5A85" w14:textId="77777777" w:rsidR="00975513" w:rsidRPr="00F358E1" w:rsidRDefault="004E4191"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0.219</w:t>
            </w:r>
          </w:p>
          <w:p w14:paraId="26E40DE8" w14:textId="24630ED8" w:rsidR="004E4191" w:rsidRPr="00F358E1" w:rsidRDefault="004E4191"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(-0.785 – 1.224)</w:t>
            </w:r>
          </w:p>
        </w:tc>
      </w:tr>
      <w:tr w:rsidR="00975513" w:rsidRPr="002D5F96" w14:paraId="35BB8126" w14:textId="77777777" w:rsidTr="00DC2A5C">
        <w:tc>
          <w:tcPr>
            <w:tcW w:w="2211" w:type="dxa"/>
            <w:tcBorders>
              <w:top w:val="single" w:sz="4" w:space="0" w:color="auto"/>
            </w:tcBorders>
            <w:shd w:val="clear" w:color="auto" w:fill="auto"/>
          </w:tcPr>
          <w:p w14:paraId="241A8D39" w14:textId="77777777" w:rsidR="00975513" w:rsidRPr="00242EF1" w:rsidRDefault="00975513" w:rsidP="00975513">
            <w:pPr>
              <w:spacing w:after="0" w:line="240" w:lineRule="auto"/>
              <w:jc w:val="right"/>
              <w:rPr>
                <w:rFonts w:ascii="Times New Roman" w:hAnsi="Times New Roman"/>
                <w:sz w:val="20"/>
                <w:szCs w:val="20"/>
                <w:lang w:val="en-GB"/>
              </w:rPr>
            </w:pPr>
            <w:r w:rsidRPr="00242EF1">
              <w:rPr>
                <w:rFonts w:ascii="Times New Roman" w:hAnsi="Times New Roman"/>
                <w:sz w:val="20"/>
                <w:szCs w:val="20"/>
                <w:lang w:val="en-GB"/>
              </w:rPr>
              <w:t>Coeff on hospitalization costs</w:t>
            </w:r>
          </w:p>
        </w:tc>
        <w:tc>
          <w:tcPr>
            <w:tcW w:w="1575" w:type="dxa"/>
            <w:tcBorders>
              <w:top w:val="single" w:sz="4" w:space="0" w:color="auto"/>
            </w:tcBorders>
            <w:shd w:val="clear" w:color="auto" w:fill="auto"/>
            <w:vAlign w:val="center"/>
          </w:tcPr>
          <w:p w14:paraId="576F3145" w14:textId="77777777" w:rsidR="00975513" w:rsidRPr="00F358E1" w:rsidRDefault="00516DCD"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-0.287</w:t>
            </w:r>
          </w:p>
          <w:p w14:paraId="42B40C6C" w14:textId="384A5269" w:rsidR="00516DCD" w:rsidRPr="00F358E1" w:rsidRDefault="00516DCD"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(-0.999 – 0.426)</w:t>
            </w:r>
          </w:p>
        </w:tc>
        <w:tc>
          <w:tcPr>
            <w:tcW w:w="1574" w:type="dxa"/>
            <w:tcBorders>
              <w:top w:val="single" w:sz="4" w:space="0" w:color="auto"/>
            </w:tcBorders>
            <w:shd w:val="clear" w:color="auto" w:fill="auto"/>
            <w:vAlign w:val="center"/>
          </w:tcPr>
          <w:p w14:paraId="6F99981F" w14:textId="77777777" w:rsidR="00975513" w:rsidRPr="00F358E1" w:rsidRDefault="00516DCD"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0.158</w:t>
            </w:r>
          </w:p>
          <w:p w14:paraId="042E3B73" w14:textId="7AFC9F1F" w:rsidR="00516DCD" w:rsidRPr="00F358E1" w:rsidRDefault="00516DCD"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(-0.714 – 1.030)</w:t>
            </w:r>
          </w:p>
        </w:tc>
        <w:tc>
          <w:tcPr>
            <w:tcW w:w="1565" w:type="dxa"/>
            <w:tcBorders>
              <w:top w:val="single" w:sz="4" w:space="0" w:color="auto"/>
            </w:tcBorders>
            <w:shd w:val="clear" w:color="auto" w:fill="auto"/>
            <w:vAlign w:val="center"/>
          </w:tcPr>
          <w:p w14:paraId="468F2737" w14:textId="77777777" w:rsidR="00975513" w:rsidRPr="00F358E1" w:rsidRDefault="00986125"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0.044</w:t>
            </w:r>
          </w:p>
          <w:p w14:paraId="549C5D2C" w14:textId="4C967E96" w:rsidR="00986125" w:rsidRPr="00F358E1" w:rsidRDefault="00986125"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(-0.497 – 0.586)</w:t>
            </w:r>
          </w:p>
        </w:tc>
        <w:tc>
          <w:tcPr>
            <w:tcW w:w="1569" w:type="dxa"/>
            <w:tcBorders>
              <w:top w:val="single" w:sz="4" w:space="0" w:color="auto"/>
            </w:tcBorders>
            <w:shd w:val="clear" w:color="auto" w:fill="auto"/>
            <w:vAlign w:val="center"/>
          </w:tcPr>
          <w:p w14:paraId="0F42E341" w14:textId="77777777" w:rsidR="00975513" w:rsidRPr="00F358E1" w:rsidRDefault="00986125"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0.278</w:t>
            </w:r>
          </w:p>
          <w:p w14:paraId="198F9E60" w14:textId="0F6E52F7" w:rsidR="00986125" w:rsidRPr="00F358E1" w:rsidRDefault="00986125" w:rsidP="0097551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(-0.346 – 0.902)</w:t>
            </w:r>
          </w:p>
        </w:tc>
      </w:tr>
    </w:tbl>
    <w:p w14:paraId="75565216" w14:textId="0A82740D" w:rsidR="0040420E" w:rsidRPr="00242EF1" w:rsidRDefault="0077539A" w:rsidP="0040420E">
      <w:pPr>
        <w:widowControl w:val="0"/>
        <w:autoSpaceDE w:val="0"/>
        <w:autoSpaceDN w:val="0"/>
        <w:adjustRightInd w:val="0"/>
        <w:spacing w:after="0" w:line="240" w:lineRule="auto"/>
        <w:ind w:right="-1"/>
        <w:jc w:val="both"/>
        <w:rPr>
          <w:rFonts w:ascii="Times New Roman" w:hAnsi="Times New Roman"/>
          <w:sz w:val="20"/>
          <w:szCs w:val="20"/>
          <w:lang w:val="en-GB"/>
        </w:rPr>
      </w:pPr>
      <w:r w:rsidRPr="00F358E1">
        <w:rPr>
          <w:rFonts w:ascii="Times New Roman" w:hAnsi="Times New Roman"/>
          <w:sz w:val="20"/>
          <w:szCs w:val="20"/>
          <w:lang w:val="en-GB"/>
        </w:rPr>
        <w:t xml:space="preserve">95% confidence intervals </w:t>
      </w:r>
      <w:r w:rsidR="0040420E" w:rsidRPr="002D5F96">
        <w:rPr>
          <w:rFonts w:ascii="Times New Roman" w:hAnsi="Times New Roman"/>
          <w:sz w:val="20"/>
          <w:szCs w:val="20"/>
          <w:lang w:val="en-GB"/>
        </w:rPr>
        <w:t xml:space="preserve">in parentheses. </w:t>
      </w:r>
      <w:r w:rsidR="0040420E" w:rsidRPr="00242EF1">
        <w:rPr>
          <w:rFonts w:ascii="Times New Roman" w:hAnsi="Times New Roman"/>
          <w:sz w:val="20"/>
          <w:szCs w:val="20"/>
          <w:lang w:val="en-GB"/>
        </w:rPr>
        <w:t>*** p&lt;0.001, ** p&lt;0.01, * p&lt;0.05</w:t>
      </w:r>
    </w:p>
    <w:p w14:paraId="0B981A8B" w14:textId="77777777" w:rsidR="0040420E" w:rsidRPr="002D5F96" w:rsidRDefault="0040420E" w:rsidP="0040420E">
      <w:pPr>
        <w:spacing w:line="240" w:lineRule="auto"/>
        <w:ind w:right="-1"/>
        <w:jc w:val="both"/>
        <w:rPr>
          <w:rFonts w:ascii="Times New Roman" w:hAnsi="Times New Roman"/>
          <w:sz w:val="20"/>
          <w:szCs w:val="20"/>
          <w:lang w:val="en-GB"/>
        </w:rPr>
      </w:pPr>
      <w:r w:rsidRPr="002D5F96">
        <w:rPr>
          <w:rFonts w:ascii="Times New Roman" w:hAnsi="Times New Roman"/>
          <w:sz w:val="20"/>
          <w:szCs w:val="20"/>
          <w:lang w:val="en-GB"/>
        </w:rPr>
        <w:t>Model 1 includes the interaction term between frailty status, measured by the Frailty Index or the Frailty Trait Score, and sarcopenia</w:t>
      </w:r>
      <w:r>
        <w:rPr>
          <w:rFonts w:ascii="Times New Roman" w:hAnsi="Times New Roman"/>
          <w:sz w:val="20"/>
          <w:szCs w:val="20"/>
          <w:lang w:val="en-GB"/>
        </w:rPr>
        <w:t xml:space="preserve">, in addition to each of them individually </w:t>
      </w:r>
      <w:r w:rsidRPr="002D5F96">
        <w:rPr>
          <w:rFonts w:ascii="Times New Roman" w:hAnsi="Times New Roman"/>
          <w:sz w:val="20"/>
          <w:szCs w:val="20"/>
          <w:lang w:val="en-GB"/>
        </w:rPr>
        <w:t>as the only independent variabl</w:t>
      </w:r>
      <w:r>
        <w:rPr>
          <w:rFonts w:ascii="Times New Roman" w:hAnsi="Times New Roman"/>
          <w:sz w:val="20"/>
          <w:szCs w:val="20"/>
          <w:lang w:val="en-GB"/>
        </w:rPr>
        <w:t>es</w:t>
      </w:r>
      <w:r w:rsidRPr="002D5F96">
        <w:rPr>
          <w:rFonts w:ascii="Times New Roman" w:hAnsi="Times New Roman"/>
          <w:sz w:val="20"/>
          <w:szCs w:val="20"/>
          <w:lang w:val="en-GB"/>
        </w:rPr>
        <w:t>. Model 2 enters sociodemographic characteristics (age and its square and gender) in addition to the interaction term from Model 1. Model 3 adds to Model 2 the comorbidity severity of individual according to the Charlson Index, which is medium-low if the Charlson Index score is 1 or 2; and high if the Charlson Index score is three or higher. Moreover, polypharmacy is also included if the daily number of drugs the subject is taking is 5 or more.</w:t>
      </w:r>
    </w:p>
    <w:p w14:paraId="653F0668" w14:textId="77777777" w:rsidR="0040420E" w:rsidRPr="005B26AF" w:rsidRDefault="0040420E" w:rsidP="0040420E">
      <w:pPr>
        <w:spacing w:line="276" w:lineRule="auto"/>
        <w:jc w:val="both"/>
        <w:rPr>
          <w:rFonts w:ascii="Times New Roman" w:hAnsi="Times New Roman"/>
          <w:i/>
          <w:iCs/>
          <w:lang w:val="en-GB"/>
        </w:rPr>
      </w:pPr>
    </w:p>
    <w:p w14:paraId="1EDCFEA3" w14:textId="3DE5C1A9" w:rsidR="0040420E" w:rsidRDefault="0040420E">
      <w:pPr>
        <w:spacing w:after="0" w:line="240" w:lineRule="auto"/>
        <w:rPr>
          <w:rFonts w:ascii="Times New Roman" w:hAnsi="Times New Roman"/>
          <w:w w:val="110"/>
          <w:sz w:val="20"/>
          <w:szCs w:val="20"/>
          <w:lang w:val="en-GB"/>
        </w:rPr>
      </w:pPr>
      <w:r>
        <w:rPr>
          <w:rFonts w:ascii="Times New Roman" w:hAnsi="Times New Roman"/>
          <w:w w:val="110"/>
          <w:sz w:val="20"/>
          <w:szCs w:val="20"/>
          <w:lang w:val="en-GB"/>
        </w:rPr>
        <w:br w:type="page"/>
      </w:r>
    </w:p>
    <w:p w14:paraId="42711D44" w14:textId="0E7458C4" w:rsidR="007C4C75" w:rsidRPr="00857F85" w:rsidRDefault="007C4C75" w:rsidP="00F83932">
      <w:pPr>
        <w:spacing w:before="17" w:line="240" w:lineRule="auto"/>
        <w:ind w:left="346"/>
        <w:rPr>
          <w:rFonts w:ascii="Times New Roman" w:hAnsi="Times New Roman"/>
          <w:sz w:val="20"/>
          <w:szCs w:val="20"/>
          <w:u w:val="single"/>
          <w:lang w:val="en-GB"/>
        </w:rPr>
      </w:pPr>
      <w:r w:rsidRPr="00857F85">
        <w:rPr>
          <w:rFonts w:ascii="Times New Roman" w:hAnsi="Times New Roman"/>
          <w:sz w:val="20"/>
          <w:szCs w:val="20"/>
          <w:u w:val="single"/>
          <w:lang w:val="en-GB"/>
        </w:rPr>
        <w:lastRenderedPageBreak/>
        <w:t xml:space="preserve">Table </w:t>
      </w:r>
      <w:r w:rsidR="002E51FC">
        <w:rPr>
          <w:rFonts w:ascii="Times New Roman" w:hAnsi="Times New Roman"/>
          <w:sz w:val="20"/>
          <w:szCs w:val="20"/>
          <w:u w:val="single"/>
          <w:lang w:val="en-GB"/>
        </w:rPr>
        <w:t>S</w:t>
      </w:r>
      <w:r w:rsidR="00E21250">
        <w:rPr>
          <w:rFonts w:ascii="Times New Roman" w:hAnsi="Times New Roman"/>
          <w:sz w:val="20"/>
          <w:szCs w:val="20"/>
          <w:u w:val="single"/>
          <w:lang w:val="en-GB"/>
        </w:rPr>
        <w:t>4</w:t>
      </w:r>
      <w:r w:rsidRPr="00857F85">
        <w:rPr>
          <w:rFonts w:ascii="Times New Roman" w:hAnsi="Times New Roman"/>
          <w:sz w:val="20"/>
          <w:szCs w:val="20"/>
          <w:u w:val="single"/>
          <w:lang w:val="en-GB"/>
        </w:rPr>
        <w:t xml:space="preserve">. Results on the association between sarcopenia and the hospitalization-related outcomes, both at the cross-sectional level and at-follow up, </w:t>
      </w:r>
      <w:r w:rsidRPr="00857F85">
        <w:rPr>
          <w:rFonts w:ascii="Times New Roman" w:hAnsi="Times New Roman"/>
          <w:b/>
          <w:bCs/>
          <w:sz w:val="20"/>
          <w:szCs w:val="20"/>
          <w:u w:val="single"/>
          <w:lang w:val="en-GB"/>
        </w:rPr>
        <w:t>only on the frail older adults</w:t>
      </w:r>
      <w:r w:rsidRPr="00857F85">
        <w:rPr>
          <w:rFonts w:ascii="Times New Roman" w:hAnsi="Times New Roman"/>
          <w:sz w:val="20"/>
          <w:szCs w:val="20"/>
          <w:u w:val="single"/>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2"/>
        <w:gridCol w:w="1668"/>
        <w:gridCol w:w="1668"/>
        <w:gridCol w:w="1668"/>
        <w:gridCol w:w="1668"/>
      </w:tblGrid>
      <w:tr w:rsidR="007C4C75" w:rsidRPr="00857F85" w14:paraId="698CC4B4" w14:textId="77777777" w:rsidTr="0077539A">
        <w:trPr>
          <w:tblHeader/>
        </w:trPr>
        <w:tc>
          <w:tcPr>
            <w:tcW w:w="1822" w:type="dxa"/>
            <w:shd w:val="clear" w:color="auto" w:fill="auto"/>
          </w:tcPr>
          <w:p w14:paraId="087C9352" w14:textId="77777777" w:rsidR="007C4C75" w:rsidRPr="00857F85" w:rsidRDefault="007C4C75" w:rsidP="006C0463">
            <w:pPr>
              <w:spacing w:after="0" w:line="240" w:lineRule="auto"/>
              <w:jc w:val="center"/>
              <w:rPr>
                <w:rFonts w:ascii="Times New Roman" w:hAnsi="Times New Roman"/>
                <w:b/>
                <w:bCs/>
                <w:sz w:val="20"/>
                <w:szCs w:val="20"/>
                <w:lang w:val="en-GB"/>
              </w:rPr>
            </w:pPr>
          </w:p>
        </w:tc>
        <w:tc>
          <w:tcPr>
            <w:tcW w:w="3336" w:type="dxa"/>
            <w:gridSpan w:val="2"/>
            <w:shd w:val="clear" w:color="auto" w:fill="auto"/>
          </w:tcPr>
          <w:p w14:paraId="2E2C6D8F" w14:textId="77777777" w:rsidR="007C4C75" w:rsidRPr="00857F85" w:rsidRDefault="007C4C75" w:rsidP="006C0463">
            <w:pPr>
              <w:spacing w:after="0" w:line="240" w:lineRule="auto"/>
              <w:jc w:val="center"/>
              <w:rPr>
                <w:rFonts w:ascii="Times New Roman" w:hAnsi="Times New Roman"/>
                <w:b/>
                <w:bCs/>
                <w:sz w:val="20"/>
                <w:szCs w:val="20"/>
                <w:lang w:val="en-GB"/>
              </w:rPr>
            </w:pPr>
            <w:r w:rsidRPr="00857F85">
              <w:rPr>
                <w:rFonts w:ascii="Times New Roman" w:hAnsi="Times New Roman"/>
                <w:b/>
                <w:bCs/>
                <w:sz w:val="20"/>
                <w:szCs w:val="20"/>
                <w:lang w:val="en-GB"/>
              </w:rPr>
              <w:t>Cross-sectional analysis</w:t>
            </w:r>
          </w:p>
        </w:tc>
        <w:tc>
          <w:tcPr>
            <w:tcW w:w="3336" w:type="dxa"/>
            <w:gridSpan w:val="2"/>
            <w:shd w:val="clear" w:color="auto" w:fill="auto"/>
          </w:tcPr>
          <w:p w14:paraId="7973C656" w14:textId="77777777" w:rsidR="007C4C75" w:rsidRPr="00857F85" w:rsidRDefault="007C4C75" w:rsidP="006C0463">
            <w:pPr>
              <w:spacing w:after="0" w:line="240" w:lineRule="auto"/>
              <w:jc w:val="center"/>
              <w:rPr>
                <w:rFonts w:ascii="Times New Roman" w:hAnsi="Times New Roman"/>
                <w:b/>
                <w:bCs/>
                <w:sz w:val="20"/>
                <w:szCs w:val="20"/>
                <w:lang w:val="en-GB"/>
              </w:rPr>
            </w:pPr>
            <w:r w:rsidRPr="00857F85">
              <w:rPr>
                <w:rFonts w:ascii="Times New Roman" w:hAnsi="Times New Roman"/>
                <w:b/>
                <w:bCs/>
                <w:sz w:val="20"/>
                <w:szCs w:val="20"/>
                <w:lang w:val="en-GB"/>
              </w:rPr>
              <w:t>At follow-up</w:t>
            </w:r>
          </w:p>
        </w:tc>
      </w:tr>
      <w:tr w:rsidR="007C4C75" w:rsidRPr="00F358E1" w14:paraId="07DF2EEC" w14:textId="77777777" w:rsidTr="0077539A">
        <w:trPr>
          <w:tblHeader/>
        </w:trPr>
        <w:tc>
          <w:tcPr>
            <w:tcW w:w="1822" w:type="dxa"/>
            <w:shd w:val="clear" w:color="auto" w:fill="auto"/>
          </w:tcPr>
          <w:p w14:paraId="58632A25" w14:textId="77777777" w:rsidR="007C4C75" w:rsidRPr="00857F85" w:rsidRDefault="007C4C75" w:rsidP="006C0463">
            <w:pPr>
              <w:spacing w:after="0" w:line="240" w:lineRule="auto"/>
              <w:jc w:val="center"/>
              <w:rPr>
                <w:rFonts w:ascii="Times New Roman" w:hAnsi="Times New Roman"/>
                <w:b/>
                <w:bCs/>
                <w:sz w:val="20"/>
                <w:szCs w:val="20"/>
                <w:lang w:val="en-GB"/>
              </w:rPr>
            </w:pPr>
          </w:p>
        </w:tc>
        <w:tc>
          <w:tcPr>
            <w:tcW w:w="1668" w:type="dxa"/>
            <w:shd w:val="clear" w:color="auto" w:fill="auto"/>
          </w:tcPr>
          <w:p w14:paraId="6F54B7D6" w14:textId="77777777" w:rsidR="007C4C75" w:rsidRPr="00857F85" w:rsidRDefault="007C4C75" w:rsidP="006C0463">
            <w:pPr>
              <w:spacing w:after="0" w:line="240" w:lineRule="auto"/>
              <w:jc w:val="center"/>
              <w:rPr>
                <w:rFonts w:ascii="Times New Roman" w:hAnsi="Times New Roman"/>
                <w:b/>
                <w:bCs/>
                <w:sz w:val="20"/>
                <w:szCs w:val="20"/>
                <w:lang w:val="en-GB"/>
              </w:rPr>
            </w:pPr>
            <w:r w:rsidRPr="00857F85">
              <w:rPr>
                <w:rFonts w:ascii="Times New Roman" w:hAnsi="Times New Roman"/>
                <w:b/>
                <w:bCs/>
                <w:sz w:val="20"/>
                <w:szCs w:val="20"/>
                <w:lang w:val="en-GB"/>
              </w:rPr>
              <w:t>Sarcopenia if frailty is measured via the Frailty Index</w:t>
            </w:r>
          </w:p>
        </w:tc>
        <w:tc>
          <w:tcPr>
            <w:tcW w:w="1668" w:type="dxa"/>
            <w:shd w:val="clear" w:color="auto" w:fill="auto"/>
          </w:tcPr>
          <w:p w14:paraId="201D8A40" w14:textId="77777777" w:rsidR="007C4C75" w:rsidRPr="00857F85" w:rsidRDefault="007C4C75" w:rsidP="006C0463">
            <w:pPr>
              <w:spacing w:after="0" w:line="240" w:lineRule="auto"/>
              <w:jc w:val="center"/>
              <w:rPr>
                <w:rFonts w:ascii="Times New Roman" w:hAnsi="Times New Roman"/>
                <w:b/>
                <w:bCs/>
                <w:sz w:val="20"/>
                <w:szCs w:val="20"/>
                <w:lang w:val="en-GB"/>
              </w:rPr>
            </w:pPr>
            <w:r w:rsidRPr="00857F85">
              <w:rPr>
                <w:rFonts w:ascii="Times New Roman" w:hAnsi="Times New Roman"/>
                <w:b/>
                <w:bCs/>
                <w:sz w:val="20"/>
                <w:szCs w:val="20"/>
                <w:lang w:val="en-GB"/>
              </w:rPr>
              <w:t>Sarcopenia if frailty is measured via the FTS5</w:t>
            </w:r>
          </w:p>
        </w:tc>
        <w:tc>
          <w:tcPr>
            <w:tcW w:w="1668" w:type="dxa"/>
            <w:shd w:val="clear" w:color="auto" w:fill="auto"/>
          </w:tcPr>
          <w:p w14:paraId="284D7651" w14:textId="77777777" w:rsidR="007C4C75" w:rsidRPr="00857F85" w:rsidRDefault="007C4C75" w:rsidP="006C0463">
            <w:pPr>
              <w:spacing w:after="0" w:line="240" w:lineRule="auto"/>
              <w:jc w:val="center"/>
              <w:rPr>
                <w:rFonts w:ascii="Times New Roman" w:hAnsi="Times New Roman"/>
                <w:b/>
                <w:bCs/>
                <w:sz w:val="20"/>
                <w:szCs w:val="20"/>
                <w:lang w:val="en-GB"/>
              </w:rPr>
            </w:pPr>
            <w:r w:rsidRPr="00857F85">
              <w:rPr>
                <w:rFonts w:ascii="Times New Roman" w:hAnsi="Times New Roman"/>
                <w:b/>
                <w:bCs/>
                <w:sz w:val="20"/>
                <w:szCs w:val="20"/>
                <w:lang w:val="en-GB"/>
              </w:rPr>
              <w:t>Sarcopenia if frailty is measured via the Frailty Index</w:t>
            </w:r>
          </w:p>
        </w:tc>
        <w:tc>
          <w:tcPr>
            <w:tcW w:w="1668" w:type="dxa"/>
            <w:shd w:val="clear" w:color="auto" w:fill="auto"/>
          </w:tcPr>
          <w:p w14:paraId="3EC0DCB0" w14:textId="77777777" w:rsidR="007C4C75" w:rsidRPr="00857F85" w:rsidRDefault="007C4C75" w:rsidP="006C0463">
            <w:pPr>
              <w:spacing w:after="0" w:line="240" w:lineRule="auto"/>
              <w:jc w:val="center"/>
              <w:rPr>
                <w:rFonts w:ascii="Times New Roman" w:hAnsi="Times New Roman"/>
                <w:b/>
                <w:bCs/>
                <w:sz w:val="20"/>
                <w:szCs w:val="20"/>
                <w:lang w:val="en-GB"/>
              </w:rPr>
            </w:pPr>
            <w:r w:rsidRPr="00857F85">
              <w:rPr>
                <w:rFonts w:ascii="Times New Roman" w:hAnsi="Times New Roman"/>
                <w:b/>
                <w:bCs/>
                <w:sz w:val="20"/>
                <w:szCs w:val="20"/>
                <w:lang w:val="en-GB"/>
              </w:rPr>
              <w:t>Sarcopenia if frailty is measured via the FTS5</w:t>
            </w:r>
          </w:p>
        </w:tc>
      </w:tr>
      <w:tr w:rsidR="007C4C75" w:rsidRPr="00857F85" w14:paraId="1B95FB87" w14:textId="77777777" w:rsidTr="0077539A">
        <w:tc>
          <w:tcPr>
            <w:tcW w:w="1822" w:type="dxa"/>
            <w:shd w:val="clear" w:color="auto" w:fill="auto"/>
          </w:tcPr>
          <w:p w14:paraId="1817C531" w14:textId="77777777" w:rsidR="007C4C75" w:rsidRPr="00857F85" w:rsidRDefault="007C4C75" w:rsidP="006C0463">
            <w:pPr>
              <w:spacing w:after="0" w:line="240" w:lineRule="auto"/>
              <w:jc w:val="both"/>
              <w:rPr>
                <w:rFonts w:ascii="Times New Roman" w:hAnsi="Times New Roman"/>
                <w:b/>
                <w:bCs/>
                <w:sz w:val="20"/>
                <w:szCs w:val="20"/>
                <w:lang w:val="en-GB"/>
              </w:rPr>
            </w:pPr>
            <w:r w:rsidRPr="00857F85">
              <w:rPr>
                <w:rFonts w:ascii="Times New Roman" w:hAnsi="Times New Roman"/>
                <w:b/>
                <w:bCs/>
                <w:sz w:val="20"/>
                <w:szCs w:val="20"/>
                <w:lang w:val="en-GB"/>
              </w:rPr>
              <w:t>Model 1</w:t>
            </w:r>
          </w:p>
        </w:tc>
        <w:tc>
          <w:tcPr>
            <w:tcW w:w="1668" w:type="dxa"/>
            <w:shd w:val="clear" w:color="auto" w:fill="auto"/>
          </w:tcPr>
          <w:p w14:paraId="62F497C7" w14:textId="77777777" w:rsidR="007C4C75" w:rsidRPr="00857F85" w:rsidRDefault="007C4C75" w:rsidP="006C0463">
            <w:pPr>
              <w:spacing w:after="0" w:line="240" w:lineRule="auto"/>
              <w:jc w:val="center"/>
              <w:rPr>
                <w:rFonts w:ascii="Times New Roman" w:hAnsi="Times New Roman"/>
                <w:sz w:val="20"/>
                <w:szCs w:val="20"/>
                <w:lang w:val="en-GB"/>
              </w:rPr>
            </w:pPr>
          </w:p>
        </w:tc>
        <w:tc>
          <w:tcPr>
            <w:tcW w:w="1668" w:type="dxa"/>
            <w:shd w:val="clear" w:color="auto" w:fill="auto"/>
          </w:tcPr>
          <w:p w14:paraId="5C6FA939" w14:textId="77777777" w:rsidR="007C4C75" w:rsidRPr="00857F85" w:rsidRDefault="007C4C75" w:rsidP="006C0463">
            <w:pPr>
              <w:spacing w:after="0" w:line="240" w:lineRule="auto"/>
              <w:jc w:val="center"/>
              <w:rPr>
                <w:rFonts w:ascii="Times New Roman" w:hAnsi="Times New Roman"/>
                <w:sz w:val="20"/>
                <w:szCs w:val="20"/>
                <w:lang w:val="en-GB"/>
              </w:rPr>
            </w:pPr>
          </w:p>
        </w:tc>
        <w:tc>
          <w:tcPr>
            <w:tcW w:w="1668" w:type="dxa"/>
            <w:shd w:val="clear" w:color="auto" w:fill="auto"/>
          </w:tcPr>
          <w:p w14:paraId="42BBDA2E" w14:textId="77777777" w:rsidR="007C4C75" w:rsidRPr="00857F85" w:rsidRDefault="007C4C75" w:rsidP="006C0463">
            <w:pPr>
              <w:spacing w:after="0" w:line="240" w:lineRule="auto"/>
              <w:jc w:val="center"/>
              <w:rPr>
                <w:rFonts w:ascii="Times New Roman" w:hAnsi="Times New Roman"/>
                <w:sz w:val="20"/>
                <w:szCs w:val="20"/>
                <w:lang w:val="en-GB"/>
              </w:rPr>
            </w:pPr>
          </w:p>
        </w:tc>
        <w:tc>
          <w:tcPr>
            <w:tcW w:w="1668" w:type="dxa"/>
            <w:shd w:val="clear" w:color="auto" w:fill="auto"/>
          </w:tcPr>
          <w:p w14:paraId="3BADF4D2" w14:textId="77777777" w:rsidR="007C4C75" w:rsidRPr="00857F85" w:rsidRDefault="007C4C75" w:rsidP="006C0463">
            <w:pPr>
              <w:spacing w:after="0" w:line="240" w:lineRule="auto"/>
              <w:jc w:val="center"/>
              <w:rPr>
                <w:rFonts w:ascii="Times New Roman" w:hAnsi="Times New Roman"/>
                <w:sz w:val="20"/>
                <w:szCs w:val="20"/>
                <w:lang w:val="en-GB"/>
              </w:rPr>
            </w:pPr>
          </w:p>
        </w:tc>
      </w:tr>
      <w:tr w:rsidR="007C4C75" w:rsidRPr="00857F85" w14:paraId="0E157DAC" w14:textId="77777777" w:rsidTr="0077539A">
        <w:tc>
          <w:tcPr>
            <w:tcW w:w="1822" w:type="dxa"/>
            <w:shd w:val="clear" w:color="auto" w:fill="auto"/>
          </w:tcPr>
          <w:p w14:paraId="63DF1859" w14:textId="77777777" w:rsidR="007C4C75" w:rsidRPr="00857F85" w:rsidRDefault="007C4C75" w:rsidP="006C0463">
            <w:pPr>
              <w:spacing w:after="0" w:line="240" w:lineRule="auto"/>
              <w:jc w:val="both"/>
              <w:rPr>
                <w:rFonts w:ascii="Times New Roman" w:hAnsi="Times New Roman"/>
                <w:sz w:val="20"/>
                <w:szCs w:val="20"/>
                <w:lang w:val="en-GB"/>
              </w:rPr>
            </w:pPr>
            <w:r w:rsidRPr="00857F85">
              <w:rPr>
                <w:rFonts w:ascii="Times New Roman" w:hAnsi="Times New Roman"/>
                <w:sz w:val="20"/>
                <w:szCs w:val="20"/>
                <w:lang w:val="en-GB"/>
              </w:rPr>
              <w:t>OR on the probability of being admitted to hospital</w:t>
            </w:r>
          </w:p>
        </w:tc>
        <w:tc>
          <w:tcPr>
            <w:tcW w:w="1668" w:type="dxa"/>
            <w:shd w:val="clear" w:color="auto" w:fill="auto"/>
          </w:tcPr>
          <w:p w14:paraId="00B5F1EA" w14:textId="6CA68D72" w:rsidR="007C4C75" w:rsidRPr="00F358E1" w:rsidRDefault="007C4C75" w:rsidP="006C046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1.</w:t>
            </w:r>
            <w:r w:rsidR="00CA50CB" w:rsidRPr="00F358E1">
              <w:rPr>
                <w:rFonts w:ascii="Times New Roman" w:hAnsi="Times New Roman"/>
                <w:sz w:val="20"/>
                <w:szCs w:val="20"/>
                <w:lang w:val="en-GB"/>
              </w:rPr>
              <w:t>226</w:t>
            </w:r>
          </w:p>
          <w:p w14:paraId="5F0E60D8" w14:textId="6864284D" w:rsidR="007C4C75" w:rsidRPr="00F358E1" w:rsidRDefault="007C4C75" w:rsidP="006C046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w:t>
            </w:r>
            <w:r w:rsidR="00CA50CB" w:rsidRPr="00F358E1">
              <w:rPr>
                <w:rFonts w:ascii="Times New Roman" w:hAnsi="Times New Roman"/>
                <w:sz w:val="20"/>
                <w:szCs w:val="20"/>
                <w:lang w:val="en-GB"/>
              </w:rPr>
              <w:t>483 – 3.113</w:t>
            </w:r>
            <w:r w:rsidRPr="00F358E1">
              <w:rPr>
                <w:rFonts w:ascii="Times New Roman" w:hAnsi="Times New Roman"/>
                <w:sz w:val="20"/>
                <w:szCs w:val="20"/>
                <w:lang w:val="en-GB"/>
              </w:rPr>
              <w:t>)</w:t>
            </w:r>
          </w:p>
        </w:tc>
        <w:tc>
          <w:tcPr>
            <w:tcW w:w="1668" w:type="dxa"/>
            <w:shd w:val="clear" w:color="auto" w:fill="auto"/>
          </w:tcPr>
          <w:p w14:paraId="45A61935" w14:textId="46E42EAC" w:rsidR="007C4C75" w:rsidRPr="00F358E1" w:rsidRDefault="00CA50CB" w:rsidP="006C046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1.431</w:t>
            </w:r>
          </w:p>
          <w:p w14:paraId="1021EA49" w14:textId="7C9F6938" w:rsidR="007C4C75" w:rsidRPr="00F358E1" w:rsidRDefault="007C4C75" w:rsidP="006C046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w:t>
            </w:r>
            <w:r w:rsidR="00CA50CB" w:rsidRPr="00F358E1">
              <w:rPr>
                <w:rFonts w:ascii="Times New Roman" w:hAnsi="Times New Roman"/>
                <w:sz w:val="20"/>
                <w:szCs w:val="20"/>
                <w:lang w:val="en-GB"/>
              </w:rPr>
              <w:t>529 – 3.872</w:t>
            </w:r>
            <w:r w:rsidRPr="00F358E1">
              <w:rPr>
                <w:rFonts w:ascii="Times New Roman" w:hAnsi="Times New Roman"/>
                <w:sz w:val="20"/>
                <w:szCs w:val="20"/>
                <w:lang w:val="en-GB"/>
              </w:rPr>
              <w:t>)</w:t>
            </w:r>
          </w:p>
        </w:tc>
        <w:tc>
          <w:tcPr>
            <w:tcW w:w="1668" w:type="dxa"/>
            <w:shd w:val="clear" w:color="auto" w:fill="auto"/>
          </w:tcPr>
          <w:p w14:paraId="0025B8CE" w14:textId="419D73C1" w:rsidR="007C4C75" w:rsidRPr="00F358E1" w:rsidRDefault="00D659BA" w:rsidP="006C046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0.946</w:t>
            </w:r>
          </w:p>
          <w:p w14:paraId="422F78D9" w14:textId="70DC769C" w:rsidR="007C4C75" w:rsidRPr="00F358E1" w:rsidRDefault="007C4C75" w:rsidP="006C046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w:t>
            </w:r>
            <w:r w:rsidR="00D659BA" w:rsidRPr="00F358E1">
              <w:rPr>
                <w:rFonts w:ascii="Times New Roman" w:hAnsi="Times New Roman"/>
                <w:sz w:val="20"/>
                <w:szCs w:val="20"/>
                <w:lang w:val="en-GB"/>
              </w:rPr>
              <w:t>381 – 2.347</w:t>
            </w:r>
            <w:r w:rsidRPr="00F358E1">
              <w:rPr>
                <w:rFonts w:ascii="Times New Roman" w:hAnsi="Times New Roman"/>
                <w:sz w:val="20"/>
                <w:szCs w:val="20"/>
                <w:lang w:val="en-GB"/>
              </w:rPr>
              <w:t>)</w:t>
            </w:r>
          </w:p>
        </w:tc>
        <w:tc>
          <w:tcPr>
            <w:tcW w:w="1668" w:type="dxa"/>
            <w:shd w:val="clear" w:color="auto" w:fill="auto"/>
          </w:tcPr>
          <w:p w14:paraId="323BF7A6" w14:textId="33F5A03C" w:rsidR="007C4C75" w:rsidRPr="00F358E1" w:rsidRDefault="007C4C75" w:rsidP="006C046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0.6</w:t>
            </w:r>
            <w:r w:rsidR="00D659BA" w:rsidRPr="00F358E1">
              <w:rPr>
                <w:rFonts w:ascii="Times New Roman" w:hAnsi="Times New Roman"/>
                <w:sz w:val="20"/>
                <w:szCs w:val="20"/>
                <w:lang w:val="en-GB"/>
              </w:rPr>
              <w:t>52</w:t>
            </w:r>
          </w:p>
          <w:p w14:paraId="419862DD" w14:textId="64D58F00" w:rsidR="007C4C75" w:rsidRPr="00F358E1" w:rsidRDefault="007C4C75" w:rsidP="006C046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(0.2</w:t>
            </w:r>
            <w:r w:rsidR="00D659BA" w:rsidRPr="00F358E1">
              <w:rPr>
                <w:rFonts w:ascii="Times New Roman" w:hAnsi="Times New Roman"/>
                <w:sz w:val="20"/>
                <w:szCs w:val="20"/>
                <w:lang w:val="en-GB"/>
              </w:rPr>
              <w:t>82 – 1.506</w:t>
            </w:r>
            <w:r w:rsidRPr="00F358E1">
              <w:rPr>
                <w:rFonts w:ascii="Times New Roman" w:hAnsi="Times New Roman"/>
                <w:sz w:val="20"/>
                <w:szCs w:val="20"/>
                <w:lang w:val="en-GB"/>
              </w:rPr>
              <w:t>)</w:t>
            </w:r>
          </w:p>
        </w:tc>
      </w:tr>
      <w:tr w:rsidR="007C4C75" w:rsidRPr="00FB677A" w14:paraId="726EAF48" w14:textId="77777777" w:rsidTr="0077539A">
        <w:tc>
          <w:tcPr>
            <w:tcW w:w="1822" w:type="dxa"/>
            <w:shd w:val="clear" w:color="auto" w:fill="auto"/>
          </w:tcPr>
          <w:p w14:paraId="6982EA9A" w14:textId="77777777" w:rsidR="007C4C75" w:rsidRPr="00857F85" w:rsidRDefault="007C4C75" w:rsidP="006C0463">
            <w:pPr>
              <w:spacing w:after="0" w:line="240" w:lineRule="auto"/>
              <w:jc w:val="both"/>
              <w:rPr>
                <w:rFonts w:ascii="Times New Roman" w:hAnsi="Times New Roman"/>
                <w:sz w:val="20"/>
                <w:szCs w:val="20"/>
                <w:lang w:val="en-GB"/>
              </w:rPr>
            </w:pPr>
            <w:r w:rsidRPr="00857F85">
              <w:rPr>
                <w:rFonts w:ascii="Times New Roman" w:hAnsi="Times New Roman"/>
                <w:sz w:val="20"/>
                <w:szCs w:val="20"/>
                <w:lang w:val="en-GB"/>
              </w:rPr>
              <w:t>Coeff on number of hospital admissions</w:t>
            </w:r>
          </w:p>
        </w:tc>
        <w:tc>
          <w:tcPr>
            <w:tcW w:w="1668" w:type="dxa"/>
            <w:shd w:val="clear" w:color="auto" w:fill="auto"/>
            <w:vAlign w:val="center"/>
          </w:tcPr>
          <w:p w14:paraId="4F0EC399" w14:textId="77777777" w:rsidR="009F5C45" w:rsidRPr="00F358E1" w:rsidRDefault="00833683"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-0.159</w:t>
            </w:r>
          </w:p>
          <w:p w14:paraId="62C08EDE" w14:textId="3EC8073F" w:rsidR="00833683" w:rsidRPr="00F358E1" w:rsidRDefault="00833683"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(-1.454 – 1.135)</w:t>
            </w:r>
          </w:p>
        </w:tc>
        <w:tc>
          <w:tcPr>
            <w:tcW w:w="1668" w:type="dxa"/>
            <w:shd w:val="clear" w:color="auto" w:fill="auto"/>
            <w:vAlign w:val="center"/>
          </w:tcPr>
          <w:p w14:paraId="2142B6B9" w14:textId="77777777" w:rsidR="009F5C45" w:rsidRPr="00F358E1" w:rsidRDefault="00833683"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-0.062</w:t>
            </w:r>
          </w:p>
          <w:p w14:paraId="7B56632B" w14:textId="4C125EDA" w:rsidR="00833683" w:rsidRPr="00F358E1" w:rsidRDefault="00833683"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(-1.061 – 0.938)</w:t>
            </w:r>
          </w:p>
        </w:tc>
        <w:tc>
          <w:tcPr>
            <w:tcW w:w="1668" w:type="dxa"/>
            <w:shd w:val="clear" w:color="auto" w:fill="auto"/>
            <w:vAlign w:val="center"/>
          </w:tcPr>
          <w:p w14:paraId="11AD993A" w14:textId="77777777" w:rsidR="00411587" w:rsidRPr="00F358E1" w:rsidRDefault="00833683"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-0.290</w:t>
            </w:r>
          </w:p>
          <w:p w14:paraId="4E15A206" w14:textId="710A6BE6" w:rsidR="00833683" w:rsidRPr="00F358E1" w:rsidRDefault="00833683"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(-0.878 – 0.297)</w:t>
            </w:r>
          </w:p>
        </w:tc>
        <w:tc>
          <w:tcPr>
            <w:tcW w:w="1668" w:type="dxa"/>
            <w:shd w:val="clear" w:color="auto" w:fill="auto"/>
            <w:vAlign w:val="center"/>
          </w:tcPr>
          <w:p w14:paraId="0D12536B" w14:textId="77777777" w:rsidR="00411587" w:rsidRPr="00F358E1" w:rsidRDefault="00833683"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0.142</w:t>
            </w:r>
          </w:p>
          <w:p w14:paraId="1F64A084" w14:textId="0A4B3863" w:rsidR="00833683" w:rsidRPr="00F358E1" w:rsidRDefault="00833683"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(-0.714 – 0.997)</w:t>
            </w:r>
          </w:p>
        </w:tc>
      </w:tr>
      <w:tr w:rsidR="007C4C75" w:rsidRPr="00FB677A" w14:paraId="615E7D61" w14:textId="77777777" w:rsidTr="0077539A">
        <w:tc>
          <w:tcPr>
            <w:tcW w:w="1822" w:type="dxa"/>
            <w:shd w:val="clear" w:color="auto" w:fill="auto"/>
          </w:tcPr>
          <w:p w14:paraId="1B475A5D" w14:textId="77777777" w:rsidR="007C4C75" w:rsidRPr="00857F85" w:rsidRDefault="007C4C75" w:rsidP="006C0463">
            <w:pPr>
              <w:spacing w:after="0" w:line="240" w:lineRule="auto"/>
              <w:jc w:val="both"/>
              <w:rPr>
                <w:rFonts w:ascii="Times New Roman" w:hAnsi="Times New Roman"/>
                <w:sz w:val="20"/>
                <w:szCs w:val="20"/>
                <w:lang w:val="en-GB"/>
              </w:rPr>
            </w:pPr>
            <w:r w:rsidRPr="00857F85">
              <w:rPr>
                <w:rFonts w:ascii="Times New Roman" w:hAnsi="Times New Roman"/>
                <w:sz w:val="20"/>
                <w:szCs w:val="20"/>
                <w:lang w:val="en-GB"/>
              </w:rPr>
              <w:t>Coeff on length of hospitalization</w:t>
            </w:r>
          </w:p>
        </w:tc>
        <w:tc>
          <w:tcPr>
            <w:tcW w:w="1668" w:type="dxa"/>
            <w:shd w:val="clear" w:color="auto" w:fill="auto"/>
            <w:vAlign w:val="center"/>
          </w:tcPr>
          <w:p w14:paraId="17EFC535" w14:textId="55EAC606" w:rsidR="00411587" w:rsidRPr="00F358E1" w:rsidRDefault="00F60B71"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0.878*</w:t>
            </w:r>
          </w:p>
          <w:p w14:paraId="29701A5B" w14:textId="0E44C8F1" w:rsidR="00F60B71" w:rsidRPr="00F358E1" w:rsidRDefault="00F60B71"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(0.149 – 1.608)</w:t>
            </w:r>
          </w:p>
        </w:tc>
        <w:tc>
          <w:tcPr>
            <w:tcW w:w="1668" w:type="dxa"/>
            <w:shd w:val="clear" w:color="auto" w:fill="auto"/>
            <w:vAlign w:val="center"/>
          </w:tcPr>
          <w:p w14:paraId="41188DB1" w14:textId="77777777" w:rsidR="00411587" w:rsidRPr="00F358E1" w:rsidRDefault="00F60B71"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-0.455</w:t>
            </w:r>
          </w:p>
          <w:p w14:paraId="0FD23441" w14:textId="6699C211" w:rsidR="00F60B71" w:rsidRPr="00F358E1" w:rsidRDefault="00F60B71"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(-1.202 – 0.292)</w:t>
            </w:r>
          </w:p>
        </w:tc>
        <w:tc>
          <w:tcPr>
            <w:tcW w:w="1668" w:type="dxa"/>
            <w:shd w:val="clear" w:color="auto" w:fill="auto"/>
            <w:vAlign w:val="center"/>
          </w:tcPr>
          <w:p w14:paraId="1D612860" w14:textId="77777777" w:rsidR="00F60B71" w:rsidRPr="00F358E1" w:rsidRDefault="00F60B71"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-0.527</w:t>
            </w:r>
          </w:p>
          <w:p w14:paraId="2F9A22F6" w14:textId="4B6B1C98" w:rsidR="00F60B71" w:rsidRPr="00F358E1" w:rsidRDefault="00F60B71"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(-1.238 – 0.184)</w:t>
            </w:r>
          </w:p>
        </w:tc>
        <w:tc>
          <w:tcPr>
            <w:tcW w:w="1668" w:type="dxa"/>
            <w:shd w:val="clear" w:color="auto" w:fill="auto"/>
            <w:vAlign w:val="center"/>
          </w:tcPr>
          <w:p w14:paraId="52B7ECF4" w14:textId="77777777" w:rsidR="00F60B71" w:rsidRPr="00F358E1" w:rsidRDefault="00F60B71" w:rsidP="00F60B71">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-0.236</w:t>
            </w:r>
          </w:p>
          <w:p w14:paraId="6239E04B" w14:textId="750A2427" w:rsidR="00411587" w:rsidRPr="00F358E1" w:rsidRDefault="00F60B71" w:rsidP="00F60B71">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(-1.140 – 0.668)</w:t>
            </w:r>
          </w:p>
        </w:tc>
      </w:tr>
      <w:tr w:rsidR="007C4C75" w:rsidRPr="00857F85" w14:paraId="4DD0D129" w14:textId="77777777" w:rsidTr="0077539A">
        <w:tc>
          <w:tcPr>
            <w:tcW w:w="1822" w:type="dxa"/>
            <w:shd w:val="clear" w:color="auto" w:fill="auto"/>
          </w:tcPr>
          <w:p w14:paraId="00FCCDCE" w14:textId="77777777" w:rsidR="007C4C75" w:rsidRPr="00857F85" w:rsidRDefault="007C4C75" w:rsidP="006C0463">
            <w:pPr>
              <w:spacing w:after="0" w:line="240" w:lineRule="auto"/>
              <w:jc w:val="both"/>
              <w:rPr>
                <w:rFonts w:ascii="Times New Roman" w:hAnsi="Times New Roman"/>
                <w:sz w:val="20"/>
                <w:szCs w:val="20"/>
                <w:lang w:val="en-GB"/>
              </w:rPr>
            </w:pPr>
            <w:r w:rsidRPr="00857F85">
              <w:rPr>
                <w:rFonts w:ascii="Times New Roman" w:hAnsi="Times New Roman"/>
                <w:sz w:val="20"/>
                <w:szCs w:val="20"/>
                <w:lang w:val="en-GB"/>
              </w:rPr>
              <w:t>Coeff on hospitalization costs</w:t>
            </w:r>
          </w:p>
        </w:tc>
        <w:tc>
          <w:tcPr>
            <w:tcW w:w="1668" w:type="dxa"/>
            <w:shd w:val="clear" w:color="auto" w:fill="auto"/>
            <w:vAlign w:val="center"/>
          </w:tcPr>
          <w:p w14:paraId="4AB99BA0" w14:textId="77777777" w:rsidR="00411587" w:rsidRPr="00F358E1" w:rsidRDefault="00CA50CB"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-0.385</w:t>
            </w:r>
          </w:p>
          <w:p w14:paraId="4E3B1010" w14:textId="0F829EC3" w:rsidR="00CA50CB" w:rsidRPr="00F358E1" w:rsidRDefault="00CA50CB"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(-1.160 – 0.390)</w:t>
            </w:r>
          </w:p>
        </w:tc>
        <w:tc>
          <w:tcPr>
            <w:tcW w:w="1668" w:type="dxa"/>
            <w:shd w:val="clear" w:color="auto" w:fill="auto"/>
            <w:vAlign w:val="center"/>
          </w:tcPr>
          <w:p w14:paraId="389A1233" w14:textId="77777777" w:rsidR="00240C28" w:rsidRPr="00F358E1" w:rsidRDefault="00CA50CB"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0.193</w:t>
            </w:r>
          </w:p>
          <w:p w14:paraId="2B80FC99" w14:textId="2DC2BE10" w:rsidR="00CA50CB" w:rsidRPr="00F358E1" w:rsidRDefault="00CA50CB"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(-0.297 – 0.683)</w:t>
            </w:r>
          </w:p>
        </w:tc>
        <w:tc>
          <w:tcPr>
            <w:tcW w:w="1668" w:type="dxa"/>
            <w:shd w:val="clear" w:color="auto" w:fill="auto"/>
            <w:vAlign w:val="center"/>
          </w:tcPr>
          <w:p w14:paraId="43D237ED" w14:textId="77777777" w:rsidR="00240C28" w:rsidRPr="00F358E1" w:rsidRDefault="00D659BA"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-0.167</w:t>
            </w:r>
          </w:p>
          <w:p w14:paraId="2B7CB8FB" w14:textId="074D04D0" w:rsidR="00D659BA" w:rsidRPr="00F358E1" w:rsidRDefault="00D659BA"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(-0.710 – 0.376)</w:t>
            </w:r>
          </w:p>
        </w:tc>
        <w:tc>
          <w:tcPr>
            <w:tcW w:w="1668" w:type="dxa"/>
            <w:shd w:val="clear" w:color="auto" w:fill="auto"/>
            <w:vAlign w:val="center"/>
          </w:tcPr>
          <w:p w14:paraId="48C75200" w14:textId="77777777" w:rsidR="00240C28" w:rsidRPr="00F358E1" w:rsidRDefault="00D659BA"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0.102</w:t>
            </w:r>
          </w:p>
          <w:p w14:paraId="7608E1F1" w14:textId="2BC78C8F" w:rsidR="00D659BA" w:rsidRPr="00F358E1" w:rsidRDefault="00D659BA"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(-0.522 – 0.727)</w:t>
            </w:r>
          </w:p>
        </w:tc>
      </w:tr>
      <w:tr w:rsidR="007C4C75" w:rsidRPr="00857F85" w14:paraId="1586CE1F" w14:textId="77777777" w:rsidTr="0077539A">
        <w:tc>
          <w:tcPr>
            <w:tcW w:w="1822" w:type="dxa"/>
            <w:shd w:val="clear" w:color="auto" w:fill="auto"/>
          </w:tcPr>
          <w:p w14:paraId="5EF5006A" w14:textId="77777777" w:rsidR="007C4C75" w:rsidRPr="00857F85" w:rsidRDefault="007C4C75" w:rsidP="006C0463">
            <w:pPr>
              <w:spacing w:after="0" w:line="240" w:lineRule="auto"/>
              <w:jc w:val="both"/>
              <w:rPr>
                <w:rFonts w:ascii="Times New Roman" w:hAnsi="Times New Roman"/>
                <w:sz w:val="20"/>
                <w:szCs w:val="20"/>
                <w:lang w:val="en-GB"/>
              </w:rPr>
            </w:pPr>
            <w:r w:rsidRPr="00857F85">
              <w:rPr>
                <w:rFonts w:ascii="Times New Roman" w:hAnsi="Times New Roman"/>
                <w:b/>
                <w:bCs/>
                <w:sz w:val="20"/>
                <w:szCs w:val="20"/>
                <w:lang w:val="en-GB"/>
              </w:rPr>
              <w:t>Model 2</w:t>
            </w:r>
          </w:p>
        </w:tc>
        <w:tc>
          <w:tcPr>
            <w:tcW w:w="1668" w:type="dxa"/>
            <w:shd w:val="clear" w:color="auto" w:fill="auto"/>
          </w:tcPr>
          <w:p w14:paraId="781DB946" w14:textId="77777777" w:rsidR="007C4C75" w:rsidRPr="00F358E1" w:rsidRDefault="007C4C75" w:rsidP="006C0463">
            <w:pPr>
              <w:spacing w:after="0" w:line="240" w:lineRule="auto"/>
              <w:jc w:val="center"/>
              <w:rPr>
                <w:rFonts w:ascii="Times New Roman" w:hAnsi="Times New Roman"/>
                <w:sz w:val="20"/>
                <w:szCs w:val="20"/>
                <w:lang w:val="en-GB"/>
              </w:rPr>
            </w:pPr>
          </w:p>
        </w:tc>
        <w:tc>
          <w:tcPr>
            <w:tcW w:w="1668" w:type="dxa"/>
            <w:shd w:val="clear" w:color="auto" w:fill="auto"/>
          </w:tcPr>
          <w:p w14:paraId="2759994F" w14:textId="77777777" w:rsidR="007C4C75" w:rsidRPr="00F358E1" w:rsidRDefault="007C4C75" w:rsidP="006C0463">
            <w:pPr>
              <w:spacing w:after="0" w:line="240" w:lineRule="auto"/>
              <w:jc w:val="center"/>
              <w:rPr>
                <w:rFonts w:ascii="Times New Roman" w:hAnsi="Times New Roman"/>
                <w:sz w:val="20"/>
                <w:szCs w:val="20"/>
                <w:lang w:val="en-GB"/>
              </w:rPr>
            </w:pPr>
          </w:p>
        </w:tc>
        <w:tc>
          <w:tcPr>
            <w:tcW w:w="1668" w:type="dxa"/>
            <w:shd w:val="clear" w:color="auto" w:fill="auto"/>
          </w:tcPr>
          <w:p w14:paraId="335B2E50" w14:textId="77777777" w:rsidR="007C4C75" w:rsidRPr="00F358E1" w:rsidRDefault="007C4C75" w:rsidP="006C0463">
            <w:pPr>
              <w:spacing w:after="0" w:line="240" w:lineRule="auto"/>
              <w:jc w:val="center"/>
              <w:rPr>
                <w:rFonts w:ascii="Times New Roman" w:hAnsi="Times New Roman"/>
                <w:sz w:val="20"/>
                <w:szCs w:val="20"/>
                <w:lang w:val="en-GB"/>
              </w:rPr>
            </w:pPr>
          </w:p>
        </w:tc>
        <w:tc>
          <w:tcPr>
            <w:tcW w:w="1668" w:type="dxa"/>
            <w:shd w:val="clear" w:color="auto" w:fill="auto"/>
          </w:tcPr>
          <w:p w14:paraId="4C0C78E5" w14:textId="77777777" w:rsidR="007C4C75" w:rsidRPr="00F358E1" w:rsidRDefault="007C4C75" w:rsidP="006C0463">
            <w:pPr>
              <w:spacing w:after="0" w:line="240" w:lineRule="auto"/>
              <w:jc w:val="center"/>
              <w:rPr>
                <w:rFonts w:ascii="Times New Roman" w:hAnsi="Times New Roman"/>
                <w:sz w:val="20"/>
                <w:szCs w:val="20"/>
                <w:lang w:val="en-GB"/>
              </w:rPr>
            </w:pPr>
          </w:p>
        </w:tc>
      </w:tr>
      <w:tr w:rsidR="007C4C75" w:rsidRPr="00857F85" w14:paraId="158902F4" w14:textId="77777777" w:rsidTr="0077539A">
        <w:tc>
          <w:tcPr>
            <w:tcW w:w="1822" w:type="dxa"/>
            <w:shd w:val="clear" w:color="auto" w:fill="auto"/>
          </w:tcPr>
          <w:p w14:paraId="6F9E486F" w14:textId="77777777" w:rsidR="007C4C75" w:rsidRPr="00857F85" w:rsidRDefault="007C4C75" w:rsidP="006C0463">
            <w:pPr>
              <w:spacing w:after="0" w:line="240" w:lineRule="auto"/>
              <w:jc w:val="both"/>
              <w:rPr>
                <w:rFonts w:ascii="Times New Roman" w:hAnsi="Times New Roman"/>
                <w:sz w:val="20"/>
                <w:szCs w:val="20"/>
                <w:lang w:val="en-GB"/>
              </w:rPr>
            </w:pPr>
            <w:r w:rsidRPr="00857F85">
              <w:rPr>
                <w:rFonts w:ascii="Times New Roman" w:hAnsi="Times New Roman"/>
                <w:sz w:val="20"/>
                <w:szCs w:val="20"/>
                <w:lang w:val="en-GB"/>
              </w:rPr>
              <w:t>OR on the probability of being admitted to hospital</w:t>
            </w:r>
          </w:p>
        </w:tc>
        <w:tc>
          <w:tcPr>
            <w:tcW w:w="1668" w:type="dxa"/>
            <w:shd w:val="clear" w:color="auto" w:fill="auto"/>
          </w:tcPr>
          <w:p w14:paraId="264DCDFA" w14:textId="5C263749" w:rsidR="007C4C75" w:rsidRPr="00F358E1" w:rsidRDefault="007C4C75" w:rsidP="006C046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1.</w:t>
            </w:r>
            <w:r w:rsidR="00CA50CB" w:rsidRPr="00F358E1">
              <w:rPr>
                <w:rFonts w:ascii="Times New Roman" w:hAnsi="Times New Roman"/>
                <w:sz w:val="20"/>
                <w:szCs w:val="20"/>
                <w:lang w:val="en-GB"/>
              </w:rPr>
              <w:t>301</w:t>
            </w:r>
          </w:p>
          <w:p w14:paraId="11E3A8D8" w14:textId="7C36CEA2" w:rsidR="007C4C75" w:rsidRPr="00F358E1" w:rsidRDefault="007C4C75" w:rsidP="00CA50CB">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w:t>
            </w:r>
            <w:r w:rsidR="00CA50CB" w:rsidRPr="00F358E1">
              <w:rPr>
                <w:rFonts w:ascii="Times New Roman" w:hAnsi="Times New Roman"/>
                <w:sz w:val="20"/>
                <w:szCs w:val="20"/>
                <w:lang w:val="en-GB"/>
              </w:rPr>
              <w:t>455 – 3.717</w:t>
            </w:r>
            <w:r w:rsidRPr="00F358E1">
              <w:rPr>
                <w:rFonts w:ascii="Times New Roman" w:hAnsi="Times New Roman"/>
                <w:sz w:val="20"/>
                <w:szCs w:val="20"/>
                <w:lang w:val="en-GB"/>
              </w:rPr>
              <w:t>)</w:t>
            </w:r>
          </w:p>
        </w:tc>
        <w:tc>
          <w:tcPr>
            <w:tcW w:w="1668" w:type="dxa"/>
            <w:shd w:val="clear" w:color="auto" w:fill="auto"/>
          </w:tcPr>
          <w:p w14:paraId="65D122B6" w14:textId="442757F8" w:rsidR="007C4C75" w:rsidRPr="00F358E1" w:rsidRDefault="00CA50CB" w:rsidP="006C046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2.208</w:t>
            </w:r>
          </w:p>
          <w:p w14:paraId="232D7B75" w14:textId="284A79D4" w:rsidR="007C4C75" w:rsidRPr="00F358E1" w:rsidRDefault="007C4C75" w:rsidP="006C046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w:t>
            </w:r>
            <w:r w:rsidR="00CA50CB" w:rsidRPr="00F358E1">
              <w:rPr>
                <w:rFonts w:ascii="Times New Roman" w:hAnsi="Times New Roman"/>
                <w:sz w:val="20"/>
                <w:szCs w:val="20"/>
                <w:lang w:val="en-GB"/>
              </w:rPr>
              <w:t>747 – 6.529</w:t>
            </w:r>
            <w:r w:rsidRPr="00F358E1">
              <w:rPr>
                <w:rFonts w:ascii="Times New Roman" w:hAnsi="Times New Roman"/>
                <w:sz w:val="20"/>
                <w:szCs w:val="20"/>
                <w:lang w:val="en-GB"/>
              </w:rPr>
              <w:t>)</w:t>
            </w:r>
          </w:p>
        </w:tc>
        <w:tc>
          <w:tcPr>
            <w:tcW w:w="1668" w:type="dxa"/>
            <w:shd w:val="clear" w:color="auto" w:fill="auto"/>
          </w:tcPr>
          <w:p w14:paraId="22E5FB17" w14:textId="0A80FC1A" w:rsidR="007C4C75" w:rsidRPr="00F358E1" w:rsidRDefault="00D659BA" w:rsidP="006C046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1.103</w:t>
            </w:r>
          </w:p>
          <w:p w14:paraId="6BDE750C" w14:textId="2C53A8C0" w:rsidR="007C4C75" w:rsidRPr="00F358E1" w:rsidRDefault="007C4C75" w:rsidP="006C046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w:t>
            </w:r>
            <w:r w:rsidR="00D659BA" w:rsidRPr="00F358E1">
              <w:rPr>
                <w:rFonts w:ascii="Times New Roman" w:hAnsi="Times New Roman"/>
                <w:sz w:val="20"/>
                <w:szCs w:val="20"/>
                <w:lang w:val="en-GB"/>
              </w:rPr>
              <w:t>0.397 – 3.065</w:t>
            </w:r>
            <w:r w:rsidRPr="00F358E1">
              <w:rPr>
                <w:rFonts w:ascii="Times New Roman" w:hAnsi="Times New Roman"/>
                <w:sz w:val="20"/>
                <w:szCs w:val="20"/>
                <w:lang w:val="en-GB"/>
              </w:rPr>
              <w:t>)</w:t>
            </w:r>
          </w:p>
        </w:tc>
        <w:tc>
          <w:tcPr>
            <w:tcW w:w="1668" w:type="dxa"/>
            <w:shd w:val="clear" w:color="auto" w:fill="auto"/>
          </w:tcPr>
          <w:p w14:paraId="503D4971" w14:textId="2D0290A9" w:rsidR="007C4C75" w:rsidRPr="00F358E1" w:rsidRDefault="007C4C75" w:rsidP="006C046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0.9</w:t>
            </w:r>
            <w:r w:rsidR="00D659BA" w:rsidRPr="00F358E1">
              <w:rPr>
                <w:rFonts w:ascii="Times New Roman" w:hAnsi="Times New Roman"/>
                <w:sz w:val="20"/>
                <w:szCs w:val="20"/>
                <w:lang w:val="en-GB"/>
              </w:rPr>
              <w:t>37</w:t>
            </w:r>
          </w:p>
          <w:p w14:paraId="5A374619" w14:textId="70D9169B" w:rsidR="007C4C75" w:rsidRPr="00F358E1" w:rsidRDefault="007C4C75" w:rsidP="006C046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w:t>
            </w:r>
            <w:r w:rsidR="00D659BA" w:rsidRPr="00F358E1">
              <w:rPr>
                <w:rFonts w:ascii="Times New Roman" w:hAnsi="Times New Roman"/>
                <w:sz w:val="20"/>
                <w:szCs w:val="20"/>
                <w:lang w:val="en-GB"/>
              </w:rPr>
              <w:t>372 – 2.365</w:t>
            </w:r>
            <w:r w:rsidRPr="00F358E1">
              <w:rPr>
                <w:rFonts w:ascii="Times New Roman" w:hAnsi="Times New Roman"/>
                <w:sz w:val="20"/>
                <w:szCs w:val="20"/>
                <w:lang w:val="en-GB"/>
              </w:rPr>
              <w:t>)</w:t>
            </w:r>
          </w:p>
        </w:tc>
      </w:tr>
      <w:tr w:rsidR="007C4C75" w:rsidRPr="00FB677A" w14:paraId="7C888FD3" w14:textId="77777777" w:rsidTr="0077539A">
        <w:tc>
          <w:tcPr>
            <w:tcW w:w="1822" w:type="dxa"/>
            <w:shd w:val="clear" w:color="auto" w:fill="auto"/>
          </w:tcPr>
          <w:p w14:paraId="44430443" w14:textId="77777777" w:rsidR="007C4C75" w:rsidRPr="00857F85" w:rsidRDefault="007C4C75" w:rsidP="006C0463">
            <w:pPr>
              <w:spacing w:after="0" w:line="240" w:lineRule="auto"/>
              <w:jc w:val="both"/>
              <w:rPr>
                <w:rFonts w:ascii="Times New Roman" w:hAnsi="Times New Roman"/>
                <w:sz w:val="20"/>
                <w:szCs w:val="20"/>
                <w:lang w:val="en-GB"/>
              </w:rPr>
            </w:pPr>
            <w:r w:rsidRPr="00857F85">
              <w:rPr>
                <w:rFonts w:ascii="Times New Roman" w:hAnsi="Times New Roman"/>
                <w:sz w:val="20"/>
                <w:szCs w:val="20"/>
                <w:lang w:val="en-GB"/>
              </w:rPr>
              <w:t>Coeff on number of hospital admissions</w:t>
            </w:r>
          </w:p>
        </w:tc>
        <w:tc>
          <w:tcPr>
            <w:tcW w:w="1668" w:type="dxa"/>
            <w:shd w:val="clear" w:color="auto" w:fill="auto"/>
            <w:vAlign w:val="center"/>
          </w:tcPr>
          <w:p w14:paraId="11D5D2C9" w14:textId="77777777" w:rsidR="009F5C45" w:rsidRPr="00F358E1" w:rsidRDefault="00833683"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-0.244</w:t>
            </w:r>
          </w:p>
          <w:p w14:paraId="64FA2376" w14:textId="5A32DF87" w:rsidR="00833683" w:rsidRPr="00F358E1" w:rsidRDefault="00833683"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(-1.442 – 0.955)</w:t>
            </w:r>
          </w:p>
        </w:tc>
        <w:tc>
          <w:tcPr>
            <w:tcW w:w="1668" w:type="dxa"/>
            <w:shd w:val="clear" w:color="auto" w:fill="auto"/>
            <w:vAlign w:val="center"/>
          </w:tcPr>
          <w:p w14:paraId="0489B239" w14:textId="77777777" w:rsidR="009F5C45" w:rsidRPr="00F358E1" w:rsidRDefault="00833683"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0.467</w:t>
            </w:r>
          </w:p>
          <w:p w14:paraId="1188D373" w14:textId="5ADEAF5D" w:rsidR="00833683" w:rsidRPr="00F358E1" w:rsidRDefault="00833683"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(-1.660 – 2.593)</w:t>
            </w:r>
          </w:p>
        </w:tc>
        <w:tc>
          <w:tcPr>
            <w:tcW w:w="1668" w:type="dxa"/>
            <w:shd w:val="clear" w:color="auto" w:fill="auto"/>
            <w:vAlign w:val="center"/>
          </w:tcPr>
          <w:p w14:paraId="6CA8A17C" w14:textId="77777777" w:rsidR="00411587" w:rsidRPr="00F358E1" w:rsidRDefault="00833683"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-0.308</w:t>
            </w:r>
          </w:p>
          <w:p w14:paraId="1F14A5B7" w14:textId="2DBC7440" w:rsidR="00833683" w:rsidRPr="00F358E1" w:rsidRDefault="00833683"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(-0.895 – 0.279)</w:t>
            </w:r>
          </w:p>
        </w:tc>
        <w:tc>
          <w:tcPr>
            <w:tcW w:w="1668" w:type="dxa"/>
            <w:shd w:val="clear" w:color="auto" w:fill="auto"/>
            <w:vAlign w:val="center"/>
          </w:tcPr>
          <w:p w14:paraId="0EE18492" w14:textId="77777777" w:rsidR="00411587" w:rsidRPr="00F358E1" w:rsidRDefault="00833683"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0.083</w:t>
            </w:r>
          </w:p>
          <w:p w14:paraId="2E11D0EB" w14:textId="6F619D4E" w:rsidR="00833683" w:rsidRPr="00F358E1" w:rsidRDefault="00833683"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(-0.824 – 0.991)</w:t>
            </w:r>
          </w:p>
        </w:tc>
      </w:tr>
      <w:tr w:rsidR="007C4C75" w:rsidRPr="00FB677A" w14:paraId="6CFEC860" w14:textId="77777777" w:rsidTr="0077539A">
        <w:tc>
          <w:tcPr>
            <w:tcW w:w="1822" w:type="dxa"/>
            <w:shd w:val="clear" w:color="auto" w:fill="auto"/>
          </w:tcPr>
          <w:p w14:paraId="1E02844C" w14:textId="77777777" w:rsidR="007C4C75" w:rsidRPr="00857F85" w:rsidRDefault="007C4C75" w:rsidP="006C0463">
            <w:pPr>
              <w:spacing w:after="0" w:line="240" w:lineRule="auto"/>
              <w:jc w:val="both"/>
              <w:rPr>
                <w:rFonts w:ascii="Times New Roman" w:hAnsi="Times New Roman"/>
                <w:sz w:val="20"/>
                <w:szCs w:val="20"/>
                <w:lang w:val="en-GB"/>
              </w:rPr>
            </w:pPr>
            <w:r w:rsidRPr="00857F85">
              <w:rPr>
                <w:rFonts w:ascii="Times New Roman" w:hAnsi="Times New Roman"/>
                <w:sz w:val="20"/>
                <w:szCs w:val="20"/>
                <w:lang w:val="en-GB"/>
              </w:rPr>
              <w:t>Coeff on length of hospitalization</w:t>
            </w:r>
          </w:p>
        </w:tc>
        <w:tc>
          <w:tcPr>
            <w:tcW w:w="1668" w:type="dxa"/>
            <w:shd w:val="clear" w:color="auto" w:fill="auto"/>
            <w:vAlign w:val="center"/>
          </w:tcPr>
          <w:p w14:paraId="7B273F47" w14:textId="77777777" w:rsidR="00411587" w:rsidRPr="00F358E1" w:rsidRDefault="00F60B71"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0.862*</w:t>
            </w:r>
          </w:p>
          <w:p w14:paraId="6D29A25A" w14:textId="126F5B57" w:rsidR="00F60B71" w:rsidRPr="00F358E1" w:rsidRDefault="00F60B71"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(0.185 – 1.539)</w:t>
            </w:r>
          </w:p>
        </w:tc>
        <w:tc>
          <w:tcPr>
            <w:tcW w:w="1668" w:type="dxa"/>
            <w:shd w:val="clear" w:color="auto" w:fill="auto"/>
            <w:vAlign w:val="center"/>
          </w:tcPr>
          <w:p w14:paraId="23AD8A28" w14:textId="77777777" w:rsidR="00411587" w:rsidRPr="00F358E1" w:rsidRDefault="00F60B71"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-0.413</w:t>
            </w:r>
          </w:p>
          <w:p w14:paraId="30DCDA2F" w14:textId="7F0243DD" w:rsidR="00F60B71" w:rsidRPr="00F358E1" w:rsidRDefault="00F60B71"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(-1.493 – 0.667)</w:t>
            </w:r>
          </w:p>
        </w:tc>
        <w:tc>
          <w:tcPr>
            <w:tcW w:w="1668" w:type="dxa"/>
            <w:shd w:val="clear" w:color="auto" w:fill="auto"/>
            <w:vAlign w:val="center"/>
          </w:tcPr>
          <w:p w14:paraId="50F12A77" w14:textId="77777777" w:rsidR="00411587" w:rsidRPr="00F358E1" w:rsidRDefault="00F60B71"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-0.543</w:t>
            </w:r>
          </w:p>
          <w:p w14:paraId="74C62A3F" w14:textId="194B6442" w:rsidR="00F60B71" w:rsidRPr="00F358E1" w:rsidRDefault="00F60B71"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(-1.297 – 0.211)</w:t>
            </w:r>
          </w:p>
        </w:tc>
        <w:tc>
          <w:tcPr>
            <w:tcW w:w="1668" w:type="dxa"/>
            <w:shd w:val="clear" w:color="auto" w:fill="auto"/>
            <w:vAlign w:val="center"/>
          </w:tcPr>
          <w:p w14:paraId="76C683BC" w14:textId="77777777" w:rsidR="00411587" w:rsidRPr="00F358E1" w:rsidRDefault="00F60B71"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-0.290</w:t>
            </w:r>
          </w:p>
          <w:p w14:paraId="193A4F3E" w14:textId="4C314B6F" w:rsidR="00F60B71" w:rsidRPr="00F358E1" w:rsidRDefault="00F60B71"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(-1.370 – 0.790)</w:t>
            </w:r>
          </w:p>
        </w:tc>
      </w:tr>
      <w:tr w:rsidR="007C4C75" w:rsidRPr="00857F85" w14:paraId="626E0938" w14:textId="77777777" w:rsidTr="0077539A">
        <w:tc>
          <w:tcPr>
            <w:tcW w:w="1822" w:type="dxa"/>
            <w:shd w:val="clear" w:color="auto" w:fill="auto"/>
          </w:tcPr>
          <w:p w14:paraId="0559F653" w14:textId="77777777" w:rsidR="007C4C75" w:rsidRPr="00857F85" w:rsidRDefault="007C4C75" w:rsidP="006C0463">
            <w:pPr>
              <w:spacing w:after="0" w:line="240" w:lineRule="auto"/>
              <w:jc w:val="both"/>
              <w:rPr>
                <w:rFonts w:ascii="Times New Roman" w:hAnsi="Times New Roman"/>
                <w:sz w:val="20"/>
                <w:szCs w:val="20"/>
                <w:lang w:val="en-GB"/>
              </w:rPr>
            </w:pPr>
            <w:r w:rsidRPr="00857F85">
              <w:rPr>
                <w:rFonts w:ascii="Times New Roman" w:hAnsi="Times New Roman"/>
                <w:sz w:val="20"/>
                <w:szCs w:val="20"/>
                <w:lang w:val="en-GB"/>
              </w:rPr>
              <w:t>Coeff on hospitalization costs</w:t>
            </w:r>
          </w:p>
        </w:tc>
        <w:tc>
          <w:tcPr>
            <w:tcW w:w="1668" w:type="dxa"/>
            <w:shd w:val="clear" w:color="auto" w:fill="auto"/>
            <w:vAlign w:val="center"/>
          </w:tcPr>
          <w:p w14:paraId="4924B06A" w14:textId="77777777" w:rsidR="00240C28" w:rsidRPr="00F358E1" w:rsidRDefault="00CA50CB"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 xml:space="preserve">-0.502 </w:t>
            </w:r>
          </w:p>
          <w:p w14:paraId="59762F9A" w14:textId="78B60216" w:rsidR="00CA50CB" w:rsidRPr="00F358E1" w:rsidRDefault="00CA50CB"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(-1.266 – 0.263)</w:t>
            </w:r>
          </w:p>
        </w:tc>
        <w:tc>
          <w:tcPr>
            <w:tcW w:w="1668" w:type="dxa"/>
            <w:shd w:val="clear" w:color="auto" w:fill="auto"/>
            <w:vAlign w:val="center"/>
          </w:tcPr>
          <w:p w14:paraId="772DCD76" w14:textId="77777777" w:rsidR="00240C28" w:rsidRPr="00F358E1" w:rsidRDefault="00CA50CB"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0.325</w:t>
            </w:r>
          </w:p>
          <w:p w14:paraId="605BFD38" w14:textId="751153BF" w:rsidR="00CA50CB" w:rsidRPr="00F358E1" w:rsidRDefault="00CA50CB"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(-0.299 – 0.948)</w:t>
            </w:r>
          </w:p>
        </w:tc>
        <w:tc>
          <w:tcPr>
            <w:tcW w:w="1668" w:type="dxa"/>
            <w:shd w:val="clear" w:color="auto" w:fill="auto"/>
            <w:vAlign w:val="center"/>
          </w:tcPr>
          <w:p w14:paraId="2A7A28CD" w14:textId="77777777" w:rsidR="00240C28" w:rsidRPr="00F358E1" w:rsidRDefault="00D659BA"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-0.280</w:t>
            </w:r>
          </w:p>
          <w:p w14:paraId="6F5AF839" w14:textId="7E675916" w:rsidR="00D659BA" w:rsidRPr="00F358E1" w:rsidRDefault="00D659BA"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(-0.737 – 0.178)</w:t>
            </w:r>
          </w:p>
        </w:tc>
        <w:tc>
          <w:tcPr>
            <w:tcW w:w="1668" w:type="dxa"/>
            <w:shd w:val="clear" w:color="auto" w:fill="auto"/>
            <w:vAlign w:val="center"/>
          </w:tcPr>
          <w:p w14:paraId="60015B4E" w14:textId="77777777" w:rsidR="00240C28" w:rsidRPr="00F358E1" w:rsidRDefault="00D659BA"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-0.022</w:t>
            </w:r>
          </w:p>
          <w:p w14:paraId="44934FED" w14:textId="5BACC621" w:rsidR="00D659BA" w:rsidRPr="00F358E1" w:rsidRDefault="00D659BA"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(-0.602 – 0.558)</w:t>
            </w:r>
          </w:p>
        </w:tc>
      </w:tr>
      <w:tr w:rsidR="007C4C75" w:rsidRPr="00857F85" w14:paraId="3DAC5FC6" w14:textId="77777777" w:rsidTr="0077539A">
        <w:tc>
          <w:tcPr>
            <w:tcW w:w="1822" w:type="dxa"/>
            <w:shd w:val="clear" w:color="auto" w:fill="auto"/>
          </w:tcPr>
          <w:p w14:paraId="3264862E" w14:textId="77777777" w:rsidR="007C4C75" w:rsidRPr="00857F85" w:rsidRDefault="007C4C75" w:rsidP="006C0463">
            <w:pPr>
              <w:spacing w:after="0" w:line="240" w:lineRule="auto"/>
              <w:jc w:val="both"/>
              <w:rPr>
                <w:rFonts w:ascii="Times New Roman" w:hAnsi="Times New Roman"/>
                <w:sz w:val="20"/>
                <w:szCs w:val="20"/>
                <w:lang w:val="en-GB"/>
              </w:rPr>
            </w:pPr>
            <w:r w:rsidRPr="00857F85">
              <w:rPr>
                <w:rFonts w:ascii="Times New Roman" w:hAnsi="Times New Roman"/>
                <w:b/>
                <w:bCs/>
                <w:sz w:val="20"/>
                <w:szCs w:val="20"/>
                <w:lang w:val="en-GB"/>
              </w:rPr>
              <w:t>Model 3</w:t>
            </w:r>
          </w:p>
        </w:tc>
        <w:tc>
          <w:tcPr>
            <w:tcW w:w="1668" w:type="dxa"/>
            <w:shd w:val="clear" w:color="auto" w:fill="auto"/>
          </w:tcPr>
          <w:p w14:paraId="557C6E92" w14:textId="77777777" w:rsidR="007C4C75" w:rsidRPr="00F358E1" w:rsidRDefault="007C4C75" w:rsidP="006C0463">
            <w:pPr>
              <w:spacing w:after="0" w:line="240" w:lineRule="auto"/>
              <w:jc w:val="center"/>
              <w:rPr>
                <w:rFonts w:ascii="Times New Roman" w:hAnsi="Times New Roman"/>
                <w:sz w:val="20"/>
                <w:szCs w:val="20"/>
                <w:lang w:val="en-GB"/>
              </w:rPr>
            </w:pPr>
          </w:p>
        </w:tc>
        <w:tc>
          <w:tcPr>
            <w:tcW w:w="1668" w:type="dxa"/>
            <w:shd w:val="clear" w:color="auto" w:fill="auto"/>
          </w:tcPr>
          <w:p w14:paraId="21AACB68" w14:textId="77777777" w:rsidR="007C4C75" w:rsidRPr="00F358E1" w:rsidRDefault="007C4C75" w:rsidP="006C0463">
            <w:pPr>
              <w:spacing w:after="0" w:line="240" w:lineRule="auto"/>
              <w:jc w:val="center"/>
              <w:rPr>
                <w:rFonts w:ascii="Times New Roman" w:hAnsi="Times New Roman"/>
                <w:sz w:val="20"/>
                <w:szCs w:val="20"/>
                <w:lang w:val="en-GB"/>
              </w:rPr>
            </w:pPr>
          </w:p>
        </w:tc>
        <w:tc>
          <w:tcPr>
            <w:tcW w:w="1668" w:type="dxa"/>
            <w:shd w:val="clear" w:color="auto" w:fill="auto"/>
          </w:tcPr>
          <w:p w14:paraId="304A0BA1" w14:textId="77777777" w:rsidR="007C4C75" w:rsidRPr="00F358E1" w:rsidRDefault="007C4C75" w:rsidP="006C0463">
            <w:pPr>
              <w:spacing w:after="0" w:line="240" w:lineRule="auto"/>
              <w:jc w:val="center"/>
              <w:rPr>
                <w:rFonts w:ascii="Times New Roman" w:hAnsi="Times New Roman"/>
                <w:sz w:val="20"/>
                <w:szCs w:val="20"/>
                <w:lang w:val="en-GB"/>
              </w:rPr>
            </w:pPr>
          </w:p>
        </w:tc>
        <w:tc>
          <w:tcPr>
            <w:tcW w:w="1668" w:type="dxa"/>
            <w:shd w:val="clear" w:color="auto" w:fill="auto"/>
          </w:tcPr>
          <w:p w14:paraId="23ACF7D5" w14:textId="77777777" w:rsidR="007C4C75" w:rsidRPr="00F358E1" w:rsidRDefault="007C4C75" w:rsidP="006C0463">
            <w:pPr>
              <w:spacing w:after="0" w:line="240" w:lineRule="auto"/>
              <w:jc w:val="center"/>
              <w:rPr>
                <w:rFonts w:ascii="Times New Roman" w:hAnsi="Times New Roman"/>
                <w:sz w:val="20"/>
                <w:szCs w:val="20"/>
                <w:lang w:val="en-GB"/>
              </w:rPr>
            </w:pPr>
          </w:p>
        </w:tc>
      </w:tr>
      <w:tr w:rsidR="007C4C75" w:rsidRPr="00857F85" w14:paraId="417F7E25" w14:textId="77777777" w:rsidTr="0077539A">
        <w:tc>
          <w:tcPr>
            <w:tcW w:w="1822" w:type="dxa"/>
            <w:shd w:val="clear" w:color="auto" w:fill="auto"/>
          </w:tcPr>
          <w:p w14:paraId="18E30E04" w14:textId="77777777" w:rsidR="007C4C75" w:rsidRPr="00857F85" w:rsidRDefault="007C4C75" w:rsidP="006C0463">
            <w:pPr>
              <w:spacing w:after="0" w:line="240" w:lineRule="auto"/>
              <w:jc w:val="both"/>
              <w:rPr>
                <w:rFonts w:ascii="Times New Roman" w:hAnsi="Times New Roman"/>
                <w:sz w:val="20"/>
                <w:szCs w:val="20"/>
                <w:lang w:val="en-GB"/>
              </w:rPr>
            </w:pPr>
            <w:r w:rsidRPr="00857F85">
              <w:rPr>
                <w:rFonts w:ascii="Times New Roman" w:hAnsi="Times New Roman"/>
                <w:sz w:val="20"/>
                <w:szCs w:val="20"/>
                <w:lang w:val="en-GB"/>
              </w:rPr>
              <w:t>OR on the probability of being admitted to hospital</w:t>
            </w:r>
          </w:p>
        </w:tc>
        <w:tc>
          <w:tcPr>
            <w:tcW w:w="1668" w:type="dxa"/>
            <w:shd w:val="clear" w:color="auto" w:fill="auto"/>
          </w:tcPr>
          <w:p w14:paraId="599D762F" w14:textId="095D5119" w:rsidR="007C4C75" w:rsidRPr="00F358E1" w:rsidRDefault="007C4C75" w:rsidP="006C046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1.5</w:t>
            </w:r>
            <w:r w:rsidR="00CA50CB" w:rsidRPr="00F358E1">
              <w:rPr>
                <w:rFonts w:ascii="Times New Roman" w:hAnsi="Times New Roman"/>
                <w:sz w:val="20"/>
                <w:szCs w:val="20"/>
                <w:lang w:val="en-GB"/>
              </w:rPr>
              <w:t>51</w:t>
            </w:r>
          </w:p>
          <w:p w14:paraId="08CBD4E6" w14:textId="19AD5FBC" w:rsidR="007C4C75" w:rsidRPr="00F358E1" w:rsidRDefault="007C4C75" w:rsidP="006C046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w:t>
            </w:r>
            <w:r w:rsidR="00CA50CB" w:rsidRPr="00F358E1">
              <w:rPr>
                <w:rFonts w:ascii="Times New Roman" w:hAnsi="Times New Roman"/>
                <w:sz w:val="20"/>
                <w:szCs w:val="20"/>
                <w:lang w:val="en-GB"/>
              </w:rPr>
              <w:t>521 – 4.616</w:t>
            </w:r>
            <w:r w:rsidRPr="00F358E1">
              <w:rPr>
                <w:rFonts w:ascii="Times New Roman" w:hAnsi="Times New Roman"/>
                <w:sz w:val="20"/>
                <w:szCs w:val="20"/>
                <w:lang w:val="en-GB"/>
              </w:rPr>
              <w:t>)</w:t>
            </w:r>
          </w:p>
        </w:tc>
        <w:tc>
          <w:tcPr>
            <w:tcW w:w="1668" w:type="dxa"/>
            <w:shd w:val="clear" w:color="auto" w:fill="auto"/>
          </w:tcPr>
          <w:p w14:paraId="0EB33DA5" w14:textId="435FA28A" w:rsidR="007C4C75" w:rsidRPr="00F358E1" w:rsidRDefault="00CA50CB" w:rsidP="006C046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2.497</w:t>
            </w:r>
          </w:p>
          <w:p w14:paraId="0D509E5D" w14:textId="7BC25BCB" w:rsidR="007C4C75" w:rsidRPr="00F358E1" w:rsidRDefault="007C4C75" w:rsidP="006C046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w:t>
            </w:r>
            <w:r w:rsidR="00CA50CB" w:rsidRPr="00F358E1">
              <w:rPr>
                <w:rFonts w:ascii="Times New Roman" w:hAnsi="Times New Roman"/>
                <w:sz w:val="20"/>
                <w:szCs w:val="20"/>
                <w:lang w:val="en-GB"/>
              </w:rPr>
              <w:t>0.869 – 7.174</w:t>
            </w:r>
            <w:r w:rsidRPr="00F358E1">
              <w:rPr>
                <w:rFonts w:ascii="Times New Roman" w:hAnsi="Times New Roman"/>
                <w:sz w:val="20"/>
                <w:szCs w:val="20"/>
                <w:lang w:val="en-GB"/>
              </w:rPr>
              <w:t>)</w:t>
            </w:r>
          </w:p>
        </w:tc>
        <w:tc>
          <w:tcPr>
            <w:tcW w:w="1668" w:type="dxa"/>
            <w:shd w:val="clear" w:color="auto" w:fill="auto"/>
          </w:tcPr>
          <w:p w14:paraId="68D80AD5" w14:textId="7F9D86E7" w:rsidR="007C4C75" w:rsidRPr="00F358E1" w:rsidRDefault="00D659BA" w:rsidP="006C046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1.091</w:t>
            </w:r>
          </w:p>
          <w:p w14:paraId="43247E4C" w14:textId="402F0B73" w:rsidR="007C4C75" w:rsidRPr="00F358E1" w:rsidRDefault="007C4C75" w:rsidP="006C046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w:t>
            </w:r>
            <w:r w:rsidR="00D659BA" w:rsidRPr="00F358E1">
              <w:rPr>
                <w:rFonts w:ascii="Times New Roman" w:hAnsi="Times New Roman"/>
                <w:sz w:val="20"/>
                <w:szCs w:val="20"/>
                <w:lang w:val="en-GB"/>
              </w:rPr>
              <w:t>0.393 – 3.029</w:t>
            </w:r>
            <w:r w:rsidRPr="00F358E1">
              <w:rPr>
                <w:rFonts w:ascii="Times New Roman" w:hAnsi="Times New Roman"/>
                <w:sz w:val="20"/>
                <w:szCs w:val="20"/>
                <w:lang w:val="en-GB"/>
              </w:rPr>
              <w:t>)</w:t>
            </w:r>
          </w:p>
        </w:tc>
        <w:tc>
          <w:tcPr>
            <w:tcW w:w="1668" w:type="dxa"/>
            <w:shd w:val="clear" w:color="auto" w:fill="auto"/>
          </w:tcPr>
          <w:p w14:paraId="6A0DF92E" w14:textId="556D63A7" w:rsidR="007C4C75" w:rsidRPr="00F358E1" w:rsidRDefault="007C4C75" w:rsidP="006C046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0.9</w:t>
            </w:r>
            <w:r w:rsidR="00D659BA" w:rsidRPr="00F358E1">
              <w:rPr>
                <w:rFonts w:ascii="Times New Roman" w:hAnsi="Times New Roman"/>
                <w:sz w:val="20"/>
                <w:szCs w:val="20"/>
                <w:lang w:val="en-GB"/>
              </w:rPr>
              <w:t>33</w:t>
            </w:r>
          </w:p>
          <w:p w14:paraId="351D562B" w14:textId="42C99385" w:rsidR="007C4C75" w:rsidRPr="00F358E1" w:rsidRDefault="007C4C75" w:rsidP="006C046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w:t>
            </w:r>
            <w:r w:rsidR="00D659BA" w:rsidRPr="00F358E1">
              <w:rPr>
                <w:rFonts w:ascii="Times New Roman" w:hAnsi="Times New Roman"/>
                <w:sz w:val="20"/>
                <w:szCs w:val="20"/>
                <w:lang w:val="en-GB"/>
              </w:rPr>
              <w:t>370 – 2.350</w:t>
            </w:r>
            <w:r w:rsidRPr="00F358E1">
              <w:rPr>
                <w:rFonts w:ascii="Times New Roman" w:hAnsi="Times New Roman"/>
                <w:sz w:val="20"/>
                <w:szCs w:val="20"/>
                <w:lang w:val="en-GB"/>
              </w:rPr>
              <w:t>)</w:t>
            </w:r>
          </w:p>
        </w:tc>
      </w:tr>
      <w:tr w:rsidR="007C4C75" w:rsidRPr="00FB677A" w14:paraId="28D7E58D" w14:textId="77777777" w:rsidTr="0077539A">
        <w:tc>
          <w:tcPr>
            <w:tcW w:w="1822" w:type="dxa"/>
            <w:shd w:val="clear" w:color="auto" w:fill="auto"/>
          </w:tcPr>
          <w:p w14:paraId="53173911" w14:textId="77777777" w:rsidR="007C4C75" w:rsidRPr="00857F85" w:rsidRDefault="007C4C75" w:rsidP="006C0463">
            <w:pPr>
              <w:spacing w:after="0" w:line="240" w:lineRule="auto"/>
              <w:jc w:val="both"/>
              <w:rPr>
                <w:rFonts w:ascii="Times New Roman" w:hAnsi="Times New Roman"/>
                <w:sz w:val="20"/>
                <w:szCs w:val="20"/>
                <w:lang w:val="en-GB"/>
              </w:rPr>
            </w:pPr>
            <w:r w:rsidRPr="00857F85">
              <w:rPr>
                <w:rFonts w:ascii="Times New Roman" w:hAnsi="Times New Roman"/>
                <w:sz w:val="20"/>
                <w:szCs w:val="20"/>
                <w:lang w:val="en-GB"/>
              </w:rPr>
              <w:t>Coeff on number of hospital admissions</w:t>
            </w:r>
          </w:p>
        </w:tc>
        <w:tc>
          <w:tcPr>
            <w:tcW w:w="1668" w:type="dxa"/>
            <w:shd w:val="clear" w:color="auto" w:fill="auto"/>
            <w:vAlign w:val="center"/>
          </w:tcPr>
          <w:p w14:paraId="334F8219" w14:textId="77777777" w:rsidR="00890646" w:rsidRPr="00F358E1" w:rsidRDefault="00890646" w:rsidP="00890646">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-0.813</w:t>
            </w:r>
          </w:p>
          <w:p w14:paraId="234DCC4A" w14:textId="0C3EB9AC" w:rsidR="009F5C45" w:rsidRPr="00F358E1" w:rsidRDefault="00890646" w:rsidP="00890646">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(-1.702 – 0.077)</w:t>
            </w:r>
          </w:p>
        </w:tc>
        <w:tc>
          <w:tcPr>
            <w:tcW w:w="1668" w:type="dxa"/>
            <w:shd w:val="clear" w:color="auto" w:fill="auto"/>
            <w:vAlign w:val="center"/>
          </w:tcPr>
          <w:p w14:paraId="5B92136C" w14:textId="77777777" w:rsidR="009F5C45" w:rsidRPr="00F358E1" w:rsidRDefault="00833683"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0.470</w:t>
            </w:r>
          </w:p>
          <w:p w14:paraId="59436860" w14:textId="79459CB1" w:rsidR="00833683" w:rsidRPr="00F358E1" w:rsidRDefault="00833683"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(-0.971 – 1.911)</w:t>
            </w:r>
          </w:p>
        </w:tc>
        <w:tc>
          <w:tcPr>
            <w:tcW w:w="1668" w:type="dxa"/>
            <w:shd w:val="clear" w:color="auto" w:fill="auto"/>
            <w:vAlign w:val="center"/>
          </w:tcPr>
          <w:p w14:paraId="435AB178" w14:textId="77777777" w:rsidR="00411587" w:rsidRPr="00F358E1" w:rsidRDefault="00833683"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-0.271</w:t>
            </w:r>
          </w:p>
          <w:p w14:paraId="6F95BE91" w14:textId="168F112A" w:rsidR="00833683" w:rsidRPr="00F358E1" w:rsidRDefault="00833683"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(-0.779 – 0.236)</w:t>
            </w:r>
          </w:p>
        </w:tc>
        <w:tc>
          <w:tcPr>
            <w:tcW w:w="1668" w:type="dxa"/>
            <w:shd w:val="clear" w:color="auto" w:fill="auto"/>
            <w:vAlign w:val="center"/>
          </w:tcPr>
          <w:p w14:paraId="04E2B94E" w14:textId="77777777" w:rsidR="00411587" w:rsidRPr="00F358E1" w:rsidRDefault="00F60B71"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0.210</w:t>
            </w:r>
          </w:p>
          <w:p w14:paraId="063B37CA" w14:textId="35D87794" w:rsidR="00F60B71" w:rsidRPr="00F358E1" w:rsidRDefault="00F60B71"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(-0.608 – 1.027)</w:t>
            </w:r>
          </w:p>
        </w:tc>
      </w:tr>
      <w:tr w:rsidR="007C4C75" w:rsidRPr="00FB677A" w14:paraId="05C0ED1E" w14:textId="77777777" w:rsidTr="0077539A">
        <w:tc>
          <w:tcPr>
            <w:tcW w:w="1822" w:type="dxa"/>
            <w:shd w:val="clear" w:color="auto" w:fill="auto"/>
          </w:tcPr>
          <w:p w14:paraId="7D8E094B" w14:textId="77777777" w:rsidR="007C4C75" w:rsidRPr="00857F85" w:rsidRDefault="007C4C75" w:rsidP="006C0463">
            <w:pPr>
              <w:spacing w:after="0" w:line="240" w:lineRule="auto"/>
              <w:jc w:val="both"/>
              <w:rPr>
                <w:rFonts w:ascii="Times New Roman" w:hAnsi="Times New Roman"/>
                <w:sz w:val="20"/>
                <w:szCs w:val="20"/>
                <w:lang w:val="en-GB"/>
              </w:rPr>
            </w:pPr>
            <w:r w:rsidRPr="00857F85">
              <w:rPr>
                <w:rFonts w:ascii="Times New Roman" w:hAnsi="Times New Roman"/>
                <w:sz w:val="20"/>
                <w:szCs w:val="20"/>
                <w:lang w:val="en-GB"/>
              </w:rPr>
              <w:t>Coeff on length of hospitalization</w:t>
            </w:r>
          </w:p>
        </w:tc>
        <w:tc>
          <w:tcPr>
            <w:tcW w:w="1668" w:type="dxa"/>
            <w:shd w:val="clear" w:color="auto" w:fill="auto"/>
            <w:vAlign w:val="center"/>
          </w:tcPr>
          <w:p w14:paraId="7CCC2B10" w14:textId="77777777" w:rsidR="00411587" w:rsidRPr="00F358E1" w:rsidRDefault="00F60B71"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0.813*</w:t>
            </w:r>
          </w:p>
          <w:p w14:paraId="314D0852" w14:textId="0B073CBC" w:rsidR="00F60B71" w:rsidRPr="00F358E1" w:rsidRDefault="00F60B71"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(0.124 – 1.503)</w:t>
            </w:r>
          </w:p>
        </w:tc>
        <w:tc>
          <w:tcPr>
            <w:tcW w:w="1668" w:type="dxa"/>
            <w:shd w:val="clear" w:color="auto" w:fill="auto"/>
            <w:vAlign w:val="center"/>
          </w:tcPr>
          <w:p w14:paraId="227F87F7" w14:textId="77777777" w:rsidR="00411587" w:rsidRPr="00F358E1" w:rsidRDefault="00F60B71"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-0.331</w:t>
            </w:r>
          </w:p>
          <w:p w14:paraId="38273054" w14:textId="3BE27D9D" w:rsidR="00F60B71" w:rsidRPr="00F358E1" w:rsidRDefault="00F60B71"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(-1.251 – 0.590)</w:t>
            </w:r>
          </w:p>
        </w:tc>
        <w:tc>
          <w:tcPr>
            <w:tcW w:w="1668" w:type="dxa"/>
            <w:shd w:val="clear" w:color="auto" w:fill="auto"/>
            <w:vAlign w:val="center"/>
          </w:tcPr>
          <w:p w14:paraId="6186DCAB" w14:textId="77777777" w:rsidR="00411587" w:rsidRPr="00F358E1" w:rsidRDefault="00CA50CB"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-0.437</w:t>
            </w:r>
          </w:p>
          <w:p w14:paraId="0E7A9CC1" w14:textId="7894E819" w:rsidR="00CA50CB" w:rsidRPr="00F358E1" w:rsidRDefault="00CA50CB"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(-1.023 – 0.149)</w:t>
            </w:r>
          </w:p>
        </w:tc>
        <w:tc>
          <w:tcPr>
            <w:tcW w:w="1668" w:type="dxa"/>
            <w:shd w:val="clear" w:color="auto" w:fill="auto"/>
            <w:vAlign w:val="center"/>
          </w:tcPr>
          <w:p w14:paraId="319FD228" w14:textId="77777777" w:rsidR="00411587" w:rsidRPr="00F358E1" w:rsidRDefault="00CA50CB"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-0.149</w:t>
            </w:r>
          </w:p>
          <w:p w14:paraId="6C4748CE" w14:textId="08E20AEA" w:rsidR="00CA50CB" w:rsidRPr="00F358E1" w:rsidRDefault="00CA50CB"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(-1.053 – 0.755)</w:t>
            </w:r>
          </w:p>
        </w:tc>
      </w:tr>
      <w:tr w:rsidR="007C4C75" w:rsidRPr="00857F85" w14:paraId="06485296" w14:textId="77777777" w:rsidTr="0077539A">
        <w:tc>
          <w:tcPr>
            <w:tcW w:w="1822" w:type="dxa"/>
            <w:shd w:val="clear" w:color="auto" w:fill="auto"/>
          </w:tcPr>
          <w:p w14:paraId="55554920" w14:textId="77777777" w:rsidR="007C4C75" w:rsidRPr="00857F85" w:rsidRDefault="007C4C75" w:rsidP="006C0463">
            <w:pPr>
              <w:spacing w:after="0" w:line="240" w:lineRule="auto"/>
              <w:jc w:val="both"/>
              <w:rPr>
                <w:rFonts w:ascii="Times New Roman" w:hAnsi="Times New Roman"/>
                <w:sz w:val="20"/>
                <w:szCs w:val="20"/>
                <w:lang w:val="en-GB"/>
              </w:rPr>
            </w:pPr>
            <w:r w:rsidRPr="00857F85">
              <w:rPr>
                <w:rFonts w:ascii="Times New Roman" w:hAnsi="Times New Roman"/>
                <w:sz w:val="20"/>
                <w:szCs w:val="20"/>
                <w:lang w:val="en-GB"/>
              </w:rPr>
              <w:t>Coeff on hospitalization costs</w:t>
            </w:r>
          </w:p>
        </w:tc>
        <w:tc>
          <w:tcPr>
            <w:tcW w:w="1668" w:type="dxa"/>
            <w:shd w:val="clear" w:color="auto" w:fill="auto"/>
            <w:vAlign w:val="center"/>
          </w:tcPr>
          <w:p w14:paraId="0D48F28D" w14:textId="77777777" w:rsidR="00240C28" w:rsidRPr="00F358E1" w:rsidRDefault="00CA50CB"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-0.480</w:t>
            </w:r>
          </w:p>
          <w:p w14:paraId="7ED23287" w14:textId="1E65B542" w:rsidR="00CA50CB" w:rsidRPr="00F358E1" w:rsidRDefault="00CA50CB"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(-1.165 – 0.206)</w:t>
            </w:r>
          </w:p>
        </w:tc>
        <w:tc>
          <w:tcPr>
            <w:tcW w:w="1668" w:type="dxa"/>
            <w:shd w:val="clear" w:color="auto" w:fill="auto"/>
            <w:vAlign w:val="center"/>
          </w:tcPr>
          <w:p w14:paraId="55FAE9CF" w14:textId="77777777" w:rsidR="00240C28" w:rsidRPr="00F358E1" w:rsidRDefault="00CA50CB"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0.293</w:t>
            </w:r>
          </w:p>
          <w:p w14:paraId="71713B26" w14:textId="086A4DFA" w:rsidR="00CA50CB" w:rsidRPr="00F358E1" w:rsidRDefault="00CA50CB"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(-0.258 – 0.844)</w:t>
            </w:r>
          </w:p>
        </w:tc>
        <w:tc>
          <w:tcPr>
            <w:tcW w:w="1668" w:type="dxa"/>
            <w:shd w:val="clear" w:color="auto" w:fill="auto"/>
            <w:vAlign w:val="center"/>
          </w:tcPr>
          <w:p w14:paraId="1438FB92" w14:textId="77777777" w:rsidR="00240C28" w:rsidRPr="00F358E1" w:rsidRDefault="00D659BA"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-0.234</w:t>
            </w:r>
          </w:p>
          <w:p w14:paraId="6763B3EA" w14:textId="2169449D" w:rsidR="00D659BA" w:rsidRPr="00F358E1" w:rsidRDefault="00D659BA"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(-0.661 – 0.193)</w:t>
            </w:r>
          </w:p>
        </w:tc>
        <w:tc>
          <w:tcPr>
            <w:tcW w:w="1668" w:type="dxa"/>
            <w:shd w:val="clear" w:color="auto" w:fill="auto"/>
            <w:vAlign w:val="center"/>
          </w:tcPr>
          <w:p w14:paraId="4CDC4345" w14:textId="77777777" w:rsidR="00240C28" w:rsidRPr="00F358E1" w:rsidRDefault="00D659BA"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0.092</w:t>
            </w:r>
          </w:p>
          <w:p w14:paraId="7393C062" w14:textId="23055D49" w:rsidR="00D659BA" w:rsidRPr="00F358E1" w:rsidRDefault="00D659BA"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(-0.463 – 0.647)</w:t>
            </w:r>
          </w:p>
        </w:tc>
      </w:tr>
    </w:tbl>
    <w:p w14:paraId="1F94F606" w14:textId="20FE5E7E" w:rsidR="007C4C75" w:rsidRPr="00DB048C" w:rsidRDefault="0077539A" w:rsidP="006C0463">
      <w:pPr>
        <w:widowControl w:val="0"/>
        <w:autoSpaceDE w:val="0"/>
        <w:autoSpaceDN w:val="0"/>
        <w:adjustRightInd w:val="0"/>
        <w:spacing w:after="0" w:line="240" w:lineRule="auto"/>
        <w:ind w:right="-315"/>
        <w:jc w:val="both"/>
        <w:rPr>
          <w:rFonts w:ascii="Times New Roman" w:hAnsi="Times New Roman"/>
          <w:sz w:val="20"/>
          <w:szCs w:val="20"/>
          <w:lang w:val="en-GB"/>
        </w:rPr>
      </w:pPr>
      <w:r w:rsidRPr="00F358E1">
        <w:rPr>
          <w:rFonts w:ascii="Times New Roman" w:hAnsi="Times New Roman"/>
          <w:sz w:val="20"/>
          <w:szCs w:val="20"/>
          <w:lang w:val="en-GB"/>
        </w:rPr>
        <w:t xml:space="preserve">95% confidence intervals </w:t>
      </w:r>
      <w:r w:rsidR="007C4C75" w:rsidRPr="00857F85">
        <w:rPr>
          <w:rFonts w:ascii="Times New Roman" w:hAnsi="Times New Roman"/>
          <w:sz w:val="20"/>
          <w:szCs w:val="20"/>
          <w:lang w:val="en-GB"/>
        </w:rPr>
        <w:t xml:space="preserve">in parentheses. </w:t>
      </w:r>
      <w:r w:rsidR="00CD4D59" w:rsidRPr="00DB048C">
        <w:rPr>
          <w:rFonts w:ascii="Times New Roman" w:hAnsi="Times New Roman"/>
          <w:sz w:val="20"/>
          <w:szCs w:val="20"/>
          <w:lang w:val="en-GB"/>
        </w:rPr>
        <w:t>*** p&lt;0.001, ** p&lt;0.01, * p&lt;0.05</w:t>
      </w:r>
      <w:r w:rsidR="0011551A" w:rsidRPr="00DB048C">
        <w:rPr>
          <w:rFonts w:ascii="Times New Roman" w:hAnsi="Times New Roman"/>
          <w:sz w:val="20"/>
          <w:szCs w:val="20"/>
          <w:lang w:val="en-GB"/>
        </w:rPr>
        <w:t>.</w:t>
      </w:r>
    </w:p>
    <w:p w14:paraId="30AEFA21" w14:textId="77777777" w:rsidR="007C4C75" w:rsidRPr="00857F85" w:rsidRDefault="007C4C75" w:rsidP="006C0463">
      <w:pPr>
        <w:spacing w:line="240" w:lineRule="auto"/>
        <w:jc w:val="both"/>
        <w:rPr>
          <w:rFonts w:ascii="Times New Roman" w:hAnsi="Times New Roman"/>
          <w:sz w:val="20"/>
          <w:szCs w:val="20"/>
          <w:u w:val="single"/>
          <w:lang w:val="en-GB"/>
        </w:rPr>
      </w:pPr>
      <w:r w:rsidRPr="00857F85">
        <w:rPr>
          <w:rFonts w:ascii="Times New Roman" w:hAnsi="Times New Roman"/>
          <w:sz w:val="20"/>
          <w:szCs w:val="20"/>
          <w:lang w:val="en-GB"/>
        </w:rPr>
        <w:t>Model 1 includes sarcopenia as the only independent variable. Model 2 enters sociodemographic characteristics (age and its square and gender) in addition to sarcopenia. Model 3 adds to Model 2 the comorbidity severity of individual according to the Charlson Index, which is medium-low if the Charlson Index score is 1 or 2; and high if the Charlson Index score is three or higher. Moreover, polypharmacy is also included if the daily number of drugs the subject is taking is 5 or more.</w:t>
      </w:r>
    </w:p>
    <w:p w14:paraId="43BE956F" w14:textId="207DFF4B" w:rsidR="007C4C75" w:rsidRPr="00857F85" w:rsidRDefault="007C4C75" w:rsidP="006C0463">
      <w:pPr>
        <w:spacing w:line="240" w:lineRule="auto"/>
        <w:jc w:val="both"/>
        <w:rPr>
          <w:rFonts w:ascii="Times New Roman" w:hAnsi="Times New Roman"/>
          <w:b/>
          <w:bCs/>
          <w:sz w:val="20"/>
          <w:szCs w:val="20"/>
          <w:u w:val="single"/>
          <w:lang w:val="en-GB"/>
        </w:rPr>
      </w:pPr>
      <w:r w:rsidRPr="00857F85">
        <w:rPr>
          <w:rFonts w:ascii="Times New Roman" w:hAnsi="Times New Roman"/>
          <w:sz w:val="20"/>
          <w:szCs w:val="20"/>
          <w:u w:val="single"/>
          <w:lang w:val="en-GB"/>
        </w:rPr>
        <w:br w:type="page"/>
      </w:r>
      <w:r w:rsidR="009B55F3">
        <w:rPr>
          <w:rFonts w:ascii="Times New Roman" w:hAnsi="Times New Roman"/>
          <w:sz w:val="20"/>
          <w:szCs w:val="20"/>
          <w:u w:val="single"/>
          <w:lang w:val="en-GB"/>
        </w:rPr>
        <w:lastRenderedPageBreak/>
        <w:t>T</w:t>
      </w:r>
      <w:r w:rsidRPr="00857F85">
        <w:rPr>
          <w:rFonts w:ascii="Times New Roman" w:hAnsi="Times New Roman"/>
          <w:sz w:val="20"/>
          <w:szCs w:val="20"/>
          <w:u w:val="single"/>
          <w:lang w:val="en-GB"/>
        </w:rPr>
        <w:t xml:space="preserve">able </w:t>
      </w:r>
      <w:r w:rsidR="009B55F3">
        <w:rPr>
          <w:rFonts w:ascii="Times New Roman" w:hAnsi="Times New Roman"/>
          <w:sz w:val="20"/>
          <w:szCs w:val="20"/>
          <w:u w:val="single"/>
          <w:lang w:val="en-GB"/>
        </w:rPr>
        <w:t>S</w:t>
      </w:r>
      <w:r w:rsidR="00E21250">
        <w:rPr>
          <w:rFonts w:ascii="Times New Roman" w:hAnsi="Times New Roman"/>
          <w:sz w:val="20"/>
          <w:szCs w:val="20"/>
          <w:u w:val="single"/>
          <w:lang w:val="en-GB"/>
        </w:rPr>
        <w:t>5</w:t>
      </w:r>
      <w:r w:rsidRPr="00857F85">
        <w:rPr>
          <w:rFonts w:ascii="Times New Roman" w:hAnsi="Times New Roman"/>
          <w:sz w:val="20"/>
          <w:szCs w:val="20"/>
          <w:u w:val="single"/>
          <w:lang w:val="en-GB"/>
        </w:rPr>
        <w:t xml:space="preserve">. Results on the association between frailty and the hospitalization-related outcomes, both at the cross-sectional level and at-follow up, </w:t>
      </w:r>
      <w:r w:rsidRPr="00857F85">
        <w:rPr>
          <w:rFonts w:ascii="Times New Roman" w:hAnsi="Times New Roman"/>
          <w:b/>
          <w:bCs/>
          <w:sz w:val="20"/>
          <w:szCs w:val="20"/>
          <w:u w:val="single"/>
          <w:lang w:val="en-GB"/>
        </w:rPr>
        <w:t xml:space="preserve">only on the older adults with sarcopenia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8"/>
        <w:gridCol w:w="1654"/>
        <w:gridCol w:w="1654"/>
        <w:gridCol w:w="1654"/>
        <w:gridCol w:w="1654"/>
      </w:tblGrid>
      <w:tr w:rsidR="00E21250" w:rsidRPr="00E21250" w14:paraId="3E9546EA" w14:textId="77777777" w:rsidTr="008E083E">
        <w:trPr>
          <w:tblHeader/>
        </w:trPr>
        <w:tc>
          <w:tcPr>
            <w:tcW w:w="2798" w:type="dxa"/>
            <w:shd w:val="clear" w:color="auto" w:fill="auto"/>
          </w:tcPr>
          <w:p w14:paraId="0177AE2D" w14:textId="77777777" w:rsidR="007C4C75" w:rsidRPr="00E21250" w:rsidRDefault="007C4C75" w:rsidP="006C0463">
            <w:pPr>
              <w:spacing w:after="0" w:line="240" w:lineRule="auto"/>
              <w:jc w:val="center"/>
              <w:rPr>
                <w:rFonts w:ascii="Times New Roman" w:hAnsi="Times New Roman"/>
                <w:b/>
                <w:bCs/>
                <w:sz w:val="20"/>
                <w:szCs w:val="20"/>
                <w:lang w:val="en-GB"/>
              </w:rPr>
            </w:pPr>
          </w:p>
        </w:tc>
        <w:tc>
          <w:tcPr>
            <w:tcW w:w="5596" w:type="dxa"/>
            <w:gridSpan w:val="2"/>
            <w:shd w:val="clear" w:color="auto" w:fill="auto"/>
          </w:tcPr>
          <w:p w14:paraId="6761A892" w14:textId="77777777" w:rsidR="007C4C75" w:rsidRPr="00E21250" w:rsidRDefault="007C4C75" w:rsidP="006C0463">
            <w:pPr>
              <w:spacing w:after="0" w:line="240" w:lineRule="auto"/>
              <w:jc w:val="center"/>
              <w:rPr>
                <w:rFonts w:ascii="Times New Roman" w:hAnsi="Times New Roman"/>
                <w:b/>
                <w:bCs/>
                <w:sz w:val="20"/>
                <w:szCs w:val="20"/>
                <w:lang w:val="en-GB"/>
              </w:rPr>
            </w:pPr>
            <w:r w:rsidRPr="00E21250">
              <w:rPr>
                <w:rFonts w:ascii="Times New Roman" w:hAnsi="Times New Roman"/>
                <w:b/>
                <w:bCs/>
                <w:sz w:val="20"/>
                <w:szCs w:val="20"/>
                <w:lang w:val="en-GB"/>
              </w:rPr>
              <w:t>Cross-sectional analysis</w:t>
            </w:r>
          </w:p>
        </w:tc>
        <w:tc>
          <w:tcPr>
            <w:tcW w:w="5598" w:type="dxa"/>
            <w:gridSpan w:val="2"/>
            <w:shd w:val="clear" w:color="auto" w:fill="auto"/>
          </w:tcPr>
          <w:p w14:paraId="288CDA09" w14:textId="77777777" w:rsidR="007C4C75" w:rsidRPr="00E21250" w:rsidRDefault="007C4C75" w:rsidP="006C0463">
            <w:pPr>
              <w:spacing w:after="0" w:line="240" w:lineRule="auto"/>
              <w:jc w:val="center"/>
              <w:rPr>
                <w:rFonts w:ascii="Times New Roman" w:hAnsi="Times New Roman"/>
                <w:b/>
                <w:bCs/>
                <w:sz w:val="20"/>
                <w:szCs w:val="20"/>
                <w:lang w:val="en-GB"/>
              </w:rPr>
            </w:pPr>
            <w:r w:rsidRPr="00E21250">
              <w:rPr>
                <w:rFonts w:ascii="Times New Roman" w:hAnsi="Times New Roman"/>
                <w:b/>
                <w:bCs/>
                <w:sz w:val="20"/>
                <w:szCs w:val="20"/>
                <w:lang w:val="en-GB"/>
              </w:rPr>
              <w:t>At follow-up</w:t>
            </w:r>
          </w:p>
        </w:tc>
      </w:tr>
      <w:tr w:rsidR="00E21250" w:rsidRPr="00F358E1" w14:paraId="470ACA24" w14:textId="77777777" w:rsidTr="008E083E">
        <w:trPr>
          <w:tblHeader/>
        </w:trPr>
        <w:tc>
          <w:tcPr>
            <w:tcW w:w="2798" w:type="dxa"/>
            <w:shd w:val="clear" w:color="auto" w:fill="auto"/>
          </w:tcPr>
          <w:p w14:paraId="7FCE48F5" w14:textId="77777777" w:rsidR="007C4C75" w:rsidRPr="00E21250" w:rsidRDefault="007C4C75" w:rsidP="006C0463">
            <w:pPr>
              <w:spacing w:after="0" w:line="240" w:lineRule="auto"/>
              <w:jc w:val="center"/>
              <w:rPr>
                <w:rFonts w:ascii="Times New Roman" w:hAnsi="Times New Roman"/>
                <w:b/>
                <w:bCs/>
                <w:sz w:val="20"/>
                <w:szCs w:val="20"/>
                <w:lang w:val="en-GB"/>
              </w:rPr>
            </w:pPr>
          </w:p>
        </w:tc>
        <w:tc>
          <w:tcPr>
            <w:tcW w:w="2798" w:type="dxa"/>
            <w:shd w:val="clear" w:color="auto" w:fill="auto"/>
          </w:tcPr>
          <w:p w14:paraId="27D1E9EC" w14:textId="5A507917" w:rsidR="007C4C75" w:rsidRPr="00E21250" w:rsidRDefault="00034984" w:rsidP="006C0463">
            <w:pPr>
              <w:spacing w:after="0" w:line="240" w:lineRule="auto"/>
              <w:jc w:val="center"/>
              <w:rPr>
                <w:rFonts w:ascii="Times New Roman" w:hAnsi="Times New Roman"/>
                <w:b/>
                <w:bCs/>
                <w:sz w:val="20"/>
                <w:szCs w:val="20"/>
                <w:lang w:val="en-GB"/>
              </w:rPr>
            </w:pPr>
            <w:r w:rsidRPr="00E21250">
              <w:rPr>
                <w:rFonts w:ascii="Times New Roman" w:hAnsi="Times New Roman"/>
                <w:b/>
                <w:bCs/>
                <w:sz w:val="20"/>
                <w:szCs w:val="20"/>
                <w:u w:val="single"/>
                <w:lang w:val="en-GB"/>
              </w:rPr>
              <w:t xml:space="preserve">Frailty measured </w:t>
            </w:r>
            <w:proofErr w:type="gramStart"/>
            <w:r w:rsidRPr="00E21250">
              <w:rPr>
                <w:rFonts w:ascii="Times New Roman" w:hAnsi="Times New Roman"/>
                <w:b/>
                <w:bCs/>
                <w:sz w:val="20"/>
                <w:szCs w:val="20"/>
                <w:u w:val="single"/>
                <w:lang w:val="en-GB"/>
              </w:rPr>
              <w:t xml:space="preserve">with </w:t>
            </w:r>
            <w:r w:rsidR="007C4C75" w:rsidRPr="00E21250">
              <w:rPr>
                <w:rFonts w:ascii="Times New Roman" w:hAnsi="Times New Roman"/>
                <w:b/>
                <w:bCs/>
                <w:sz w:val="20"/>
                <w:szCs w:val="20"/>
                <w:lang w:val="en-GB"/>
              </w:rPr>
              <w:t xml:space="preserve"> the</w:t>
            </w:r>
            <w:proofErr w:type="gramEnd"/>
            <w:r w:rsidR="007C4C75" w:rsidRPr="00E21250">
              <w:rPr>
                <w:rFonts w:ascii="Times New Roman" w:hAnsi="Times New Roman"/>
                <w:b/>
                <w:bCs/>
                <w:sz w:val="20"/>
                <w:szCs w:val="20"/>
                <w:lang w:val="en-GB"/>
              </w:rPr>
              <w:t xml:space="preserve"> Frailty Index</w:t>
            </w:r>
          </w:p>
        </w:tc>
        <w:tc>
          <w:tcPr>
            <w:tcW w:w="2798" w:type="dxa"/>
            <w:shd w:val="clear" w:color="auto" w:fill="auto"/>
          </w:tcPr>
          <w:p w14:paraId="3B07D395" w14:textId="59A94095" w:rsidR="007C4C75" w:rsidRPr="00E21250" w:rsidRDefault="00034984" w:rsidP="006C0463">
            <w:pPr>
              <w:spacing w:after="0" w:line="240" w:lineRule="auto"/>
              <w:jc w:val="center"/>
              <w:rPr>
                <w:rFonts w:ascii="Times New Roman" w:hAnsi="Times New Roman"/>
                <w:b/>
                <w:bCs/>
                <w:sz w:val="20"/>
                <w:szCs w:val="20"/>
                <w:lang w:val="en-GB"/>
              </w:rPr>
            </w:pPr>
            <w:r w:rsidRPr="00E21250">
              <w:rPr>
                <w:rFonts w:ascii="Times New Roman" w:hAnsi="Times New Roman"/>
                <w:b/>
                <w:bCs/>
                <w:sz w:val="20"/>
                <w:szCs w:val="20"/>
                <w:u w:val="single"/>
                <w:lang w:val="en-GB"/>
              </w:rPr>
              <w:t xml:space="preserve">Frailty measured </w:t>
            </w:r>
            <w:proofErr w:type="gramStart"/>
            <w:r w:rsidRPr="00E21250">
              <w:rPr>
                <w:rFonts w:ascii="Times New Roman" w:hAnsi="Times New Roman"/>
                <w:b/>
                <w:bCs/>
                <w:sz w:val="20"/>
                <w:szCs w:val="20"/>
                <w:u w:val="single"/>
                <w:lang w:val="en-GB"/>
              </w:rPr>
              <w:t xml:space="preserve">with </w:t>
            </w:r>
            <w:r w:rsidR="007C4C75" w:rsidRPr="00E21250">
              <w:rPr>
                <w:rFonts w:ascii="Times New Roman" w:hAnsi="Times New Roman"/>
                <w:b/>
                <w:bCs/>
                <w:sz w:val="20"/>
                <w:szCs w:val="20"/>
                <w:lang w:val="en-GB"/>
              </w:rPr>
              <w:t xml:space="preserve"> the</w:t>
            </w:r>
            <w:proofErr w:type="gramEnd"/>
            <w:r w:rsidR="007C4C75" w:rsidRPr="00E21250">
              <w:rPr>
                <w:rFonts w:ascii="Times New Roman" w:hAnsi="Times New Roman"/>
                <w:b/>
                <w:bCs/>
                <w:sz w:val="20"/>
                <w:szCs w:val="20"/>
                <w:lang w:val="en-GB"/>
              </w:rPr>
              <w:t xml:space="preserve"> FTS5</w:t>
            </w:r>
          </w:p>
        </w:tc>
        <w:tc>
          <w:tcPr>
            <w:tcW w:w="2799" w:type="dxa"/>
            <w:shd w:val="clear" w:color="auto" w:fill="auto"/>
          </w:tcPr>
          <w:p w14:paraId="364CD498" w14:textId="17910B66" w:rsidR="007C4C75" w:rsidRPr="00E21250" w:rsidRDefault="00034984" w:rsidP="006C0463">
            <w:pPr>
              <w:spacing w:after="0" w:line="240" w:lineRule="auto"/>
              <w:jc w:val="center"/>
              <w:rPr>
                <w:rFonts w:ascii="Times New Roman" w:hAnsi="Times New Roman"/>
                <w:b/>
                <w:bCs/>
                <w:sz w:val="20"/>
                <w:szCs w:val="20"/>
                <w:lang w:val="en-GB"/>
              </w:rPr>
            </w:pPr>
            <w:r w:rsidRPr="00E21250">
              <w:rPr>
                <w:rFonts w:ascii="Times New Roman" w:hAnsi="Times New Roman"/>
                <w:b/>
                <w:bCs/>
                <w:sz w:val="20"/>
                <w:szCs w:val="20"/>
                <w:u w:val="single"/>
                <w:lang w:val="en-GB"/>
              </w:rPr>
              <w:t xml:space="preserve">Frailty measured with </w:t>
            </w:r>
            <w:r w:rsidR="007C4C75" w:rsidRPr="00E21250">
              <w:rPr>
                <w:rFonts w:ascii="Times New Roman" w:hAnsi="Times New Roman"/>
                <w:b/>
                <w:bCs/>
                <w:sz w:val="20"/>
                <w:szCs w:val="20"/>
                <w:lang w:val="en-GB"/>
              </w:rPr>
              <w:t>the Frailty Index</w:t>
            </w:r>
          </w:p>
        </w:tc>
        <w:tc>
          <w:tcPr>
            <w:tcW w:w="2799" w:type="dxa"/>
            <w:shd w:val="clear" w:color="auto" w:fill="auto"/>
          </w:tcPr>
          <w:p w14:paraId="3C84A06A" w14:textId="326F16CE" w:rsidR="007C4C75" w:rsidRPr="00E21250" w:rsidRDefault="00252D6F" w:rsidP="006C0463">
            <w:pPr>
              <w:spacing w:after="0" w:line="240" w:lineRule="auto"/>
              <w:jc w:val="center"/>
              <w:rPr>
                <w:rFonts w:ascii="Times New Roman" w:hAnsi="Times New Roman"/>
                <w:b/>
                <w:bCs/>
                <w:sz w:val="20"/>
                <w:szCs w:val="20"/>
                <w:lang w:val="en-GB"/>
              </w:rPr>
            </w:pPr>
            <w:r w:rsidRPr="00E21250">
              <w:rPr>
                <w:rFonts w:ascii="Times New Roman" w:hAnsi="Times New Roman"/>
                <w:b/>
                <w:bCs/>
                <w:sz w:val="20"/>
                <w:szCs w:val="20"/>
                <w:u w:val="single"/>
                <w:lang w:val="en-GB"/>
              </w:rPr>
              <w:t xml:space="preserve">Frailty measured </w:t>
            </w:r>
            <w:proofErr w:type="gramStart"/>
            <w:r w:rsidRPr="00E21250">
              <w:rPr>
                <w:rFonts w:ascii="Times New Roman" w:hAnsi="Times New Roman"/>
                <w:b/>
                <w:bCs/>
                <w:sz w:val="20"/>
                <w:szCs w:val="20"/>
                <w:u w:val="single"/>
                <w:lang w:val="en-GB"/>
              </w:rPr>
              <w:t xml:space="preserve">with </w:t>
            </w:r>
            <w:r w:rsidRPr="00E21250">
              <w:rPr>
                <w:rFonts w:ascii="Times New Roman" w:hAnsi="Times New Roman"/>
                <w:b/>
                <w:bCs/>
                <w:sz w:val="20"/>
                <w:szCs w:val="20"/>
                <w:lang w:val="en-GB"/>
              </w:rPr>
              <w:t xml:space="preserve"> the</w:t>
            </w:r>
            <w:proofErr w:type="gramEnd"/>
            <w:r w:rsidRPr="00E21250">
              <w:rPr>
                <w:rFonts w:ascii="Times New Roman" w:hAnsi="Times New Roman"/>
                <w:b/>
                <w:bCs/>
                <w:sz w:val="20"/>
                <w:szCs w:val="20"/>
                <w:lang w:val="en-GB"/>
              </w:rPr>
              <w:t xml:space="preserve"> FTS5</w:t>
            </w:r>
          </w:p>
        </w:tc>
      </w:tr>
      <w:tr w:rsidR="00E21250" w:rsidRPr="00E21250" w14:paraId="00757768" w14:textId="77777777" w:rsidTr="008E083E">
        <w:tc>
          <w:tcPr>
            <w:tcW w:w="2798" w:type="dxa"/>
            <w:shd w:val="clear" w:color="auto" w:fill="auto"/>
          </w:tcPr>
          <w:p w14:paraId="03F9936F" w14:textId="77777777" w:rsidR="007C4C75" w:rsidRPr="00E21250" w:rsidRDefault="007C4C75" w:rsidP="006C0463">
            <w:pPr>
              <w:spacing w:after="0" w:line="240" w:lineRule="auto"/>
              <w:jc w:val="both"/>
              <w:rPr>
                <w:rFonts w:ascii="Times New Roman" w:hAnsi="Times New Roman"/>
                <w:b/>
                <w:bCs/>
                <w:sz w:val="20"/>
                <w:szCs w:val="20"/>
                <w:lang w:val="en-GB"/>
              </w:rPr>
            </w:pPr>
            <w:r w:rsidRPr="00E21250">
              <w:rPr>
                <w:rFonts w:ascii="Times New Roman" w:hAnsi="Times New Roman"/>
                <w:b/>
                <w:bCs/>
                <w:sz w:val="20"/>
                <w:szCs w:val="20"/>
                <w:lang w:val="en-GB"/>
              </w:rPr>
              <w:t>Model 1</w:t>
            </w:r>
          </w:p>
        </w:tc>
        <w:tc>
          <w:tcPr>
            <w:tcW w:w="2798" w:type="dxa"/>
            <w:shd w:val="clear" w:color="auto" w:fill="auto"/>
          </w:tcPr>
          <w:p w14:paraId="1899C053" w14:textId="77777777" w:rsidR="007C4C75" w:rsidRPr="00E21250" w:rsidRDefault="007C4C75" w:rsidP="006C0463">
            <w:pPr>
              <w:spacing w:after="0" w:line="240" w:lineRule="auto"/>
              <w:jc w:val="center"/>
              <w:rPr>
                <w:rFonts w:ascii="Times New Roman" w:hAnsi="Times New Roman"/>
                <w:sz w:val="20"/>
                <w:szCs w:val="20"/>
                <w:lang w:val="en-GB"/>
              </w:rPr>
            </w:pPr>
          </w:p>
        </w:tc>
        <w:tc>
          <w:tcPr>
            <w:tcW w:w="2798" w:type="dxa"/>
            <w:shd w:val="clear" w:color="auto" w:fill="auto"/>
          </w:tcPr>
          <w:p w14:paraId="5D73F011" w14:textId="77777777" w:rsidR="007C4C75" w:rsidRPr="00E21250" w:rsidRDefault="007C4C75" w:rsidP="006C0463">
            <w:pPr>
              <w:spacing w:after="0" w:line="240" w:lineRule="auto"/>
              <w:jc w:val="center"/>
              <w:rPr>
                <w:rFonts w:ascii="Times New Roman" w:hAnsi="Times New Roman"/>
                <w:sz w:val="20"/>
                <w:szCs w:val="20"/>
                <w:lang w:val="en-GB"/>
              </w:rPr>
            </w:pPr>
          </w:p>
        </w:tc>
        <w:tc>
          <w:tcPr>
            <w:tcW w:w="2799" w:type="dxa"/>
            <w:shd w:val="clear" w:color="auto" w:fill="auto"/>
          </w:tcPr>
          <w:p w14:paraId="43CD93B1" w14:textId="77777777" w:rsidR="007C4C75" w:rsidRPr="00E21250" w:rsidRDefault="007C4C75" w:rsidP="006C0463">
            <w:pPr>
              <w:spacing w:after="0" w:line="240" w:lineRule="auto"/>
              <w:jc w:val="center"/>
              <w:rPr>
                <w:rFonts w:ascii="Times New Roman" w:hAnsi="Times New Roman"/>
                <w:sz w:val="20"/>
                <w:szCs w:val="20"/>
                <w:lang w:val="en-GB"/>
              </w:rPr>
            </w:pPr>
          </w:p>
        </w:tc>
        <w:tc>
          <w:tcPr>
            <w:tcW w:w="2799" w:type="dxa"/>
            <w:shd w:val="clear" w:color="auto" w:fill="auto"/>
          </w:tcPr>
          <w:p w14:paraId="40A7CD22" w14:textId="77777777" w:rsidR="007C4C75" w:rsidRPr="00E21250" w:rsidRDefault="007C4C75" w:rsidP="006C0463">
            <w:pPr>
              <w:spacing w:after="0" w:line="240" w:lineRule="auto"/>
              <w:jc w:val="center"/>
              <w:rPr>
                <w:rFonts w:ascii="Times New Roman" w:hAnsi="Times New Roman"/>
                <w:sz w:val="20"/>
                <w:szCs w:val="20"/>
                <w:lang w:val="en-GB"/>
              </w:rPr>
            </w:pPr>
          </w:p>
        </w:tc>
      </w:tr>
      <w:tr w:rsidR="00E21250" w:rsidRPr="00E21250" w14:paraId="7FB3CA2B" w14:textId="77777777" w:rsidTr="008E083E">
        <w:tc>
          <w:tcPr>
            <w:tcW w:w="2798" w:type="dxa"/>
            <w:shd w:val="clear" w:color="auto" w:fill="auto"/>
          </w:tcPr>
          <w:p w14:paraId="35729365" w14:textId="77777777" w:rsidR="007C4C75" w:rsidRPr="00E21250" w:rsidRDefault="007C4C75" w:rsidP="006C0463">
            <w:pPr>
              <w:spacing w:after="0" w:line="240" w:lineRule="auto"/>
              <w:jc w:val="both"/>
              <w:rPr>
                <w:rFonts w:ascii="Times New Roman" w:hAnsi="Times New Roman"/>
                <w:sz w:val="20"/>
                <w:szCs w:val="20"/>
                <w:lang w:val="en-GB"/>
              </w:rPr>
            </w:pPr>
            <w:r w:rsidRPr="00E21250">
              <w:rPr>
                <w:rFonts w:ascii="Times New Roman" w:hAnsi="Times New Roman"/>
                <w:sz w:val="20"/>
                <w:szCs w:val="20"/>
                <w:lang w:val="en-GB"/>
              </w:rPr>
              <w:t>OR on the probability of being admitted to hospital</w:t>
            </w:r>
          </w:p>
        </w:tc>
        <w:tc>
          <w:tcPr>
            <w:tcW w:w="2798" w:type="dxa"/>
            <w:shd w:val="clear" w:color="auto" w:fill="auto"/>
          </w:tcPr>
          <w:p w14:paraId="078D4F88" w14:textId="150D8EA1" w:rsidR="007C4C75" w:rsidRPr="00F358E1" w:rsidRDefault="007C4C75" w:rsidP="006C046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2.</w:t>
            </w:r>
            <w:r w:rsidR="001D4BC5" w:rsidRPr="00F358E1">
              <w:rPr>
                <w:rFonts w:ascii="Times New Roman" w:hAnsi="Times New Roman"/>
                <w:sz w:val="20"/>
                <w:szCs w:val="20"/>
                <w:lang w:val="en-GB"/>
              </w:rPr>
              <w:t>651</w:t>
            </w:r>
            <w:r w:rsidRPr="00F358E1">
              <w:rPr>
                <w:rFonts w:ascii="Times New Roman" w:hAnsi="Times New Roman"/>
                <w:sz w:val="20"/>
                <w:szCs w:val="20"/>
                <w:lang w:val="en-GB"/>
              </w:rPr>
              <w:t>**</w:t>
            </w:r>
          </w:p>
          <w:p w14:paraId="5330B812" w14:textId="1849FC7A" w:rsidR="007C4C75" w:rsidRPr="00F358E1" w:rsidRDefault="007C4C75" w:rsidP="006C046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w:t>
            </w:r>
            <w:r w:rsidR="001D4BC5" w:rsidRPr="00F358E1">
              <w:rPr>
                <w:rFonts w:ascii="Times New Roman" w:hAnsi="Times New Roman"/>
                <w:sz w:val="20"/>
                <w:szCs w:val="20"/>
                <w:lang w:val="en-GB"/>
              </w:rPr>
              <w:t>1.408 – 4.991</w:t>
            </w:r>
            <w:r w:rsidRPr="00F358E1">
              <w:rPr>
                <w:rFonts w:ascii="Times New Roman" w:hAnsi="Times New Roman"/>
                <w:sz w:val="20"/>
                <w:szCs w:val="20"/>
                <w:lang w:val="en-GB"/>
              </w:rPr>
              <w:t>)</w:t>
            </w:r>
          </w:p>
        </w:tc>
        <w:tc>
          <w:tcPr>
            <w:tcW w:w="2798" w:type="dxa"/>
            <w:shd w:val="clear" w:color="auto" w:fill="auto"/>
          </w:tcPr>
          <w:p w14:paraId="0F127611" w14:textId="3ED84A48" w:rsidR="007C4C75" w:rsidRPr="00F358E1" w:rsidRDefault="007C4C75" w:rsidP="006C046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1.</w:t>
            </w:r>
            <w:r w:rsidR="001D4BC5" w:rsidRPr="00F358E1">
              <w:rPr>
                <w:rFonts w:ascii="Times New Roman" w:hAnsi="Times New Roman"/>
                <w:sz w:val="20"/>
                <w:szCs w:val="20"/>
                <w:lang w:val="en-GB"/>
              </w:rPr>
              <w:t>334</w:t>
            </w:r>
          </w:p>
          <w:p w14:paraId="52481063" w14:textId="3F56A246" w:rsidR="007C4C75" w:rsidRPr="00F358E1" w:rsidRDefault="007C4C75" w:rsidP="006C046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w:t>
            </w:r>
            <w:r w:rsidR="001D4BC5" w:rsidRPr="00F358E1">
              <w:rPr>
                <w:rFonts w:ascii="Times New Roman" w:hAnsi="Times New Roman"/>
                <w:sz w:val="20"/>
                <w:szCs w:val="20"/>
                <w:lang w:val="en-GB"/>
              </w:rPr>
              <w:t>782 – 2.277</w:t>
            </w:r>
            <w:r w:rsidRPr="00F358E1">
              <w:rPr>
                <w:rFonts w:ascii="Times New Roman" w:hAnsi="Times New Roman"/>
                <w:sz w:val="20"/>
                <w:szCs w:val="20"/>
                <w:lang w:val="en-GB"/>
              </w:rPr>
              <w:t>)</w:t>
            </w:r>
          </w:p>
        </w:tc>
        <w:tc>
          <w:tcPr>
            <w:tcW w:w="2799" w:type="dxa"/>
            <w:shd w:val="clear" w:color="auto" w:fill="auto"/>
          </w:tcPr>
          <w:p w14:paraId="31A9983B" w14:textId="00D10AEF" w:rsidR="007C4C75" w:rsidRPr="00F358E1" w:rsidRDefault="007C4C75" w:rsidP="006C046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1.</w:t>
            </w:r>
            <w:r w:rsidR="00733E73" w:rsidRPr="00F358E1">
              <w:rPr>
                <w:rFonts w:ascii="Times New Roman" w:hAnsi="Times New Roman"/>
                <w:sz w:val="20"/>
                <w:szCs w:val="20"/>
                <w:lang w:val="en-GB"/>
              </w:rPr>
              <w:t>870</w:t>
            </w:r>
            <w:r w:rsidRPr="00F358E1">
              <w:rPr>
                <w:rFonts w:ascii="Times New Roman" w:hAnsi="Times New Roman"/>
                <w:sz w:val="20"/>
                <w:szCs w:val="20"/>
                <w:lang w:val="en-GB"/>
              </w:rPr>
              <w:t>*</w:t>
            </w:r>
          </w:p>
          <w:p w14:paraId="5241E959" w14:textId="38E9307B" w:rsidR="007C4C75" w:rsidRPr="00F358E1" w:rsidRDefault="007C4C75" w:rsidP="006C046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w:t>
            </w:r>
            <w:r w:rsidR="00733E73" w:rsidRPr="00F358E1">
              <w:rPr>
                <w:rFonts w:ascii="Times New Roman" w:hAnsi="Times New Roman"/>
                <w:sz w:val="20"/>
                <w:szCs w:val="20"/>
                <w:lang w:val="en-GB"/>
              </w:rPr>
              <w:t>1.013 – 3.454</w:t>
            </w:r>
            <w:r w:rsidRPr="00F358E1">
              <w:rPr>
                <w:rFonts w:ascii="Times New Roman" w:hAnsi="Times New Roman"/>
                <w:sz w:val="20"/>
                <w:szCs w:val="20"/>
                <w:lang w:val="en-GB"/>
              </w:rPr>
              <w:t>)</w:t>
            </w:r>
          </w:p>
        </w:tc>
        <w:tc>
          <w:tcPr>
            <w:tcW w:w="2799" w:type="dxa"/>
            <w:shd w:val="clear" w:color="auto" w:fill="auto"/>
          </w:tcPr>
          <w:p w14:paraId="45A1D3F9" w14:textId="4DF5B4C7" w:rsidR="007C4C75" w:rsidRPr="00F358E1" w:rsidRDefault="007C4C75" w:rsidP="006C046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1.56</w:t>
            </w:r>
            <w:r w:rsidR="00733E73" w:rsidRPr="00F358E1">
              <w:rPr>
                <w:rFonts w:ascii="Times New Roman" w:hAnsi="Times New Roman"/>
                <w:sz w:val="20"/>
                <w:szCs w:val="20"/>
                <w:lang w:val="en-GB"/>
              </w:rPr>
              <w:t>1</w:t>
            </w:r>
          </w:p>
          <w:p w14:paraId="6C4DCCB9" w14:textId="43D82E29" w:rsidR="007C4C75" w:rsidRPr="00F358E1" w:rsidRDefault="007C4C75" w:rsidP="006C046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w:t>
            </w:r>
            <w:r w:rsidR="00733E73" w:rsidRPr="00F358E1">
              <w:rPr>
                <w:rFonts w:ascii="Times New Roman" w:hAnsi="Times New Roman"/>
                <w:sz w:val="20"/>
                <w:szCs w:val="20"/>
                <w:lang w:val="en-GB"/>
              </w:rPr>
              <w:t>951 – 2.560</w:t>
            </w:r>
            <w:r w:rsidRPr="00F358E1">
              <w:rPr>
                <w:rFonts w:ascii="Times New Roman" w:hAnsi="Times New Roman"/>
                <w:sz w:val="20"/>
                <w:szCs w:val="20"/>
                <w:lang w:val="en-GB"/>
              </w:rPr>
              <w:t>)</w:t>
            </w:r>
          </w:p>
        </w:tc>
      </w:tr>
      <w:tr w:rsidR="00E21250" w:rsidRPr="00FB677A" w14:paraId="6C05C359" w14:textId="77777777" w:rsidTr="00DC2A5C">
        <w:tc>
          <w:tcPr>
            <w:tcW w:w="2798" w:type="dxa"/>
            <w:shd w:val="clear" w:color="auto" w:fill="auto"/>
          </w:tcPr>
          <w:p w14:paraId="2F5FC24B" w14:textId="77777777" w:rsidR="007C4C75" w:rsidRPr="00E21250" w:rsidRDefault="007C4C75" w:rsidP="006C0463">
            <w:pPr>
              <w:spacing w:after="0" w:line="240" w:lineRule="auto"/>
              <w:jc w:val="both"/>
              <w:rPr>
                <w:rFonts w:ascii="Times New Roman" w:hAnsi="Times New Roman"/>
                <w:sz w:val="20"/>
                <w:szCs w:val="20"/>
                <w:lang w:val="en-GB"/>
              </w:rPr>
            </w:pPr>
            <w:r w:rsidRPr="00E21250">
              <w:rPr>
                <w:rFonts w:ascii="Times New Roman" w:hAnsi="Times New Roman"/>
                <w:sz w:val="20"/>
                <w:szCs w:val="20"/>
                <w:lang w:val="en-GB"/>
              </w:rPr>
              <w:t>Coeff on number of hospital admissions</w:t>
            </w:r>
          </w:p>
        </w:tc>
        <w:tc>
          <w:tcPr>
            <w:tcW w:w="2798" w:type="dxa"/>
            <w:shd w:val="clear" w:color="auto" w:fill="auto"/>
            <w:vAlign w:val="center"/>
          </w:tcPr>
          <w:p w14:paraId="38F4542A" w14:textId="77777777" w:rsidR="000F2562" w:rsidRPr="00F358E1" w:rsidRDefault="00AA1FA9"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-0.026</w:t>
            </w:r>
          </w:p>
          <w:p w14:paraId="2487BA00" w14:textId="775173DD" w:rsidR="00AA1FA9" w:rsidRPr="00F358E1" w:rsidRDefault="00AA1FA9"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(-1.002 – 0.950)</w:t>
            </w:r>
          </w:p>
        </w:tc>
        <w:tc>
          <w:tcPr>
            <w:tcW w:w="2798" w:type="dxa"/>
            <w:shd w:val="clear" w:color="auto" w:fill="auto"/>
            <w:vAlign w:val="center"/>
          </w:tcPr>
          <w:p w14:paraId="61C72A62" w14:textId="77777777" w:rsidR="000F2562" w:rsidRPr="00F358E1" w:rsidRDefault="00AA1FA9"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0.305</w:t>
            </w:r>
          </w:p>
          <w:p w14:paraId="7BF196D0" w14:textId="36000A66" w:rsidR="00AA1FA9" w:rsidRPr="00F358E1" w:rsidRDefault="00AA1FA9"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(-0.692 – 1.302)</w:t>
            </w:r>
          </w:p>
        </w:tc>
        <w:tc>
          <w:tcPr>
            <w:tcW w:w="2799" w:type="dxa"/>
            <w:shd w:val="clear" w:color="auto" w:fill="auto"/>
            <w:vAlign w:val="center"/>
          </w:tcPr>
          <w:p w14:paraId="594D506D" w14:textId="77777777" w:rsidR="00F10C25" w:rsidRPr="00F358E1" w:rsidRDefault="002E327E"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0.538</w:t>
            </w:r>
          </w:p>
          <w:p w14:paraId="2057C6B1" w14:textId="5829FB80" w:rsidR="002E327E" w:rsidRPr="00F358E1" w:rsidRDefault="002E327E"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(-0.072 – 1.147)</w:t>
            </w:r>
          </w:p>
        </w:tc>
        <w:tc>
          <w:tcPr>
            <w:tcW w:w="2799" w:type="dxa"/>
            <w:shd w:val="clear" w:color="auto" w:fill="auto"/>
            <w:vAlign w:val="center"/>
          </w:tcPr>
          <w:p w14:paraId="01643D67" w14:textId="134FAB12" w:rsidR="00F10C25" w:rsidRPr="00F358E1" w:rsidRDefault="002E327E"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0.641*</w:t>
            </w:r>
          </w:p>
          <w:p w14:paraId="39D2EE1E" w14:textId="113DEDC5" w:rsidR="002E327E" w:rsidRPr="00F358E1" w:rsidRDefault="002E327E"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(0.048 – 1.234)</w:t>
            </w:r>
          </w:p>
        </w:tc>
      </w:tr>
      <w:tr w:rsidR="00E21250" w:rsidRPr="00FB677A" w14:paraId="56820828" w14:textId="77777777" w:rsidTr="00DC2A5C">
        <w:tc>
          <w:tcPr>
            <w:tcW w:w="2798" w:type="dxa"/>
            <w:shd w:val="clear" w:color="auto" w:fill="auto"/>
          </w:tcPr>
          <w:p w14:paraId="34240DFE" w14:textId="77777777" w:rsidR="007C4C75" w:rsidRPr="00E21250" w:rsidRDefault="007C4C75" w:rsidP="006C0463">
            <w:pPr>
              <w:spacing w:after="0" w:line="240" w:lineRule="auto"/>
              <w:jc w:val="both"/>
              <w:rPr>
                <w:rFonts w:ascii="Times New Roman" w:hAnsi="Times New Roman"/>
                <w:sz w:val="20"/>
                <w:szCs w:val="20"/>
                <w:lang w:val="en-GB"/>
              </w:rPr>
            </w:pPr>
            <w:r w:rsidRPr="00E21250">
              <w:rPr>
                <w:rFonts w:ascii="Times New Roman" w:hAnsi="Times New Roman"/>
                <w:sz w:val="20"/>
                <w:szCs w:val="20"/>
                <w:lang w:val="en-GB"/>
              </w:rPr>
              <w:t>Coeff on length of hospitalization</w:t>
            </w:r>
          </w:p>
        </w:tc>
        <w:tc>
          <w:tcPr>
            <w:tcW w:w="2798" w:type="dxa"/>
            <w:shd w:val="clear" w:color="auto" w:fill="auto"/>
            <w:vAlign w:val="center"/>
          </w:tcPr>
          <w:p w14:paraId="39DF0349" w14:textId="77777777" w:rsidR="00F10C25" w:rsidRPr="00F358E1" w:rsidRDefault="002E327E"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0.160</w:t>
            </w:r>
          </w:p>
          <w:p w14:paraId="484B0E36" w14:textId="1F728B39" w:rsidR="002E327E" w:rsidRPr="00F358E1" w:rsidRDefault="002E327E"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(-0.483 – 0.802)</w:t>
            </w:r>
          </w:p>
        </w:tc>
        <w:tc>
          <w:tcPr>
            <w:tcW w:w="2798" w:type="dxa"/>
            <w:shd w:val="clear" w:color="auto" w:fill="auto"/>
            <w:vAlign w:val="center"/>
          </w:tcPr>
          <w:p w14:paraId="482875B2" w14:textId="77777777" w:rsidR="00F10C25" w:rsidRPr="00F358E1" w:rsidRDefault="002E327E"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0.429</w:t>
            </w:r>
          </w:p>
          <w:p w14:paraId="2DE60C9B" w14:textId="7D43A9BF" w:rsidR="002E327E" w:rsidRPr="00F358E1" w:rsidRDefault="002E327E"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(-0.173 – 1.031)</w:t>
            </w:r>
          </w:p>
        </w:tc>
        <w:tc>
          <w:tcPr>
            <w:tcW w:w="2799" w:type="dxa"/>
            <w:shd w:val="clear" w:color="auto" w:fill="auto"/>
            <w:vAlign w:val="center"/>
          </w:tcPr>
          <w:p w14:paraId="34888AA9" w14:textId="77777777" w:rsidR="00F10C25" w:rsidRPr="00F358E1" w:rsidRDefault="001D4BC5"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0.583*</w:t>
            </w:r>
          </w:p>
          <w:p w14:paraId="2434666A" w14:textId="636972D1" w:rsidR="001D4BC5" w:rsidRPr="00F358E1" w:rsidRDefault="001D4BC5"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(0.083 – 1.082)</w:t>
            </w:r>
          </w:p>
        </w:tc>
        <w:tc>
          <w:tcPr>
            <w:tcW w:w="2799" w:type="dxa"/>
            <w:shd w:val="clear" w:color="auto" w:fill="auto"/>
            <w:vAlign w:val="center"/>
          </w:tcPr>
          <w:p w14:paraId="335A3988" w14:textId="77777777" w:rsidR="00F10C25" w:rsidRPr="00F358E1" w:rsidRDefault="001D4BC5"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0.223</w:t>
            </w:r>
          </w:p>
          <w:p w14:paraId="6EA54CD9" w14:textId="1557D0BA" w:rsidR="001D4BC5" w:rsidRPr="00F358E1" w:rsidRDefault="001D4BC5"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(-0.280 – 0.727)</w:t>
            </w:r>
          </w:p>
        </w:tc>
      </w:tr>
      <w:tr w:rsidR="00E21250" w:rsidRPr="00E21250" w14:paraId="36FAC0F7" w14:textId="77777777" w:rsidTr="00DC2A5C">
        <w:tc>
          <w:tcPr>
            <w:tcW w:w="2798" w:type="dxa"/>
            <w:shd w:val="clear" w:color="auto" w:fill="auto"/>
          </w:tcPr>
          <w:p w14:paraId="557FD2F4" w14:textId="77777777" w:rsidR="007C4C75" w:rsidRPr="00E21250" w:rsidRDefault="007C4C75" w:rsidP="006C0463">
            <w:pPr>
              <w:spacing w:after="0" w:line="240" w:lineRule="auto"/>
              <w:jc w:val="both"/>
              <w:rPr>
                <w:rFonts w:ascii="Times New Roman" w:hAnsi="Times New Roman"/>
                <w:sz w:val="20"/>
                <w:szCs w:val="20"/>
                <w:lang w:val="en-GB"/>
              </w:rPr>
            </w:pPr>
            <w:r w:rsidRPr="00E21250">
              <w:rPr>
                <w:rFonts w:ascii="Times New Roman" w:hAnsi="Times New Roman"/>
                <w:sz w:val="20"/>
                <w:szCs w:val="20"/>
                <w:lang w:val="en-GB"/>
              </w:rPr>
              <w:t>Coeff on hospitalization costs</w:t>
            </w:r>
          </w:p>
        </w:tc>
        <w:tc>
          <w:tcPr>
            <w:tcW w:w="2798" w:type="dxa"/>
            <w:shd w:val="clear" w:color="auto" w:fill="auto"/>
            <w:vAlign w:val="center"/>
          </w:tcPr>
          <w:p w14:paraId="510EBA6E" w14:textId="77777777" w:rsidR="00F10C25" w:rsidRPr="00F358E1" w:rsidRDefault="001D4BC5"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0.001</w:t>
            </w:r>
          </w:p>
          <w:p w14:paraId="7E404F58" w14:textId="0088BE69" w:rsidR="001D4BC5" w:rsidRPr="00F358E1" w:rsidRDefault="001D4BC5"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(-0.553 – 0.553)</w:t>
            </w:r>
          </w:p>
        </w:tc>
        <w:tc>
          <w:tcPr>
            <w:tcW w:w="2798" w:type="dxa"/>
            <w:shd w:val="clear" w:color="auto" w:fill="auto"/>
            <w:vAlign w:val="center"/>
          </w:tcPr>
          <w:p w14:paraId="02202F04" w14:textId="77777777" w:rsidR="00E24E0C" w:rsidRPr="00F358E1" w:rsidRDefault="001D4BC5"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-0.212</w:t>
            </w:r>
          </w:p>
          <w:p w14:paraId="633738C4" w14:textId="19DBC847" w:rsidR="001D4BC5" w:rsidRPr="00F358E1" w:rsidRDefault="001D4BC5"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(-0.656 – 0.231)</w:t>
            </w:r>
          </w:p>
        </w:tc>
        <w:tc>
          <w:tcPr>
            <w:tcW w:w="2799" w:type="dxa"/>
            <w:shd w:val="clear" w:color="auto" w:fill="auto"/>
            <w:vAlign w:val="center"/>
          </w:tcPr>
          <w:p w14:paraId="7EAA87CC" w14:textId="77777777" w:rsidR="00E24E0C" w:rsidRPr="00F358E1" w:rsidRDefault="00733E73"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0.189</w:t>
            </w:r>
          </w:p>
          <w:p w14:paraId="330F27D4" w14:textId="6869657D" w:rsidR="00733E73" w:rsidRPr="00F358E1" w:rsidRDefault="00733E73"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(-0.199 – 0.576)</w:t>
            </w:r>
          </w:p>
        </w:tc>
        <w:tc>
          <w:tcPr>
            <w:tcW w:w="2799" w:type="dxa"/>
            <w:shd w:val="clear" w:color="auto" w:fill="auto"/>
            <w:vAlign w:val="center"/>
          </w:tcPr>
          <w:p w14:paraId="6003F7F4" w14:textId="77777777" w:rsidR="00E24E0C" w:rsidRPr="00F358E1" w:rsidRDefault="00733E73"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0.234</w:t>
            </w:r>
          </w:p>
          <w:p w14:paraId="79B88607" w14:textId="67D75559" w:rsidR="00733E73" w:rsidRPr="00F358E1" w:rsidRDefault="00733E73"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(-0.170 – 0.638)</w:t>
            </w:r>
          </w:p>
        </w:tc>
      </w:tr>
      <w:tr w:rsidR="00E21250" w:rsidRPr="00E21250" w14:paraId="6212B16B" w14:textId="77777777" w:rsidTr="008E083E">
        <w:tc>
          <w:tcPr>
            <w:tcW w:w="2798" w:type="dxa"/>
            <w:shd w:val="clear" w:color="auto" w:fill="auto"/>
          </w:tcPr>
          <w:p w14:paraId="4CC99879" w14:textId="77777777" w:rsidR="007C4C75" w:rsidRPr="00E21250" w:rsidRDefault="007C4C75" w:rsidP="006C0463">
            <w:pPr>
              <w:spacing w:after="0" w:line="240" w:lineRule="auto"/>
              <w:jc w:val="both"/>
              <w:rPr>
                <w:rFonts w:ascii="Times New Roman" w:hAnsi="Times New Roman"/>
                <w:sz w:val="20"/>
                <w:szCs w:val="20"/>
                <w:lang w:val="en-GB"/>
              </w:rPr>
            </w:pPr>
            <w:r w:rsidRPr="00E21250">
              <w:rPr>
                <w:rFonts w:ascii="Times New Roman" w:hAnsi="Times New Roman"/>
                <w:b/>
                <w:bCs/>
                <w:sz w:val="20"/>
                <w:szCs w:val="20"/>
                <w:lang w:val="en-GB"/>
              </w:rPr>
              <w:t>Model 2</w:t>
            </w:r>
          </w:p>
        </w:tc>
        <w:tc>
          <w:tcPr>
            <w:tcW w:w="2798" w:type="dxa"/>
            <w:shd w:val="clear" w:color="auto" w:fill="auto"/>
          </w:tcPr>
          <w:p w14:paraId="6CEB4481" w14:textId="77777777" w:rsidR="007C4C75" w:rsidRPr="00F358E1" w:rsidRDefault="007C4C75" w:rsidP="006C0463">
            <w:pPr>
              <w:spacing w:after="0" w:line="240" w:lineRule="auto"/>
              <w:jc w:val="center"/>
              <w:rPr>
                <w:rFonts w:ascii="Times New Roman" w:hAnsi="Times New Roman"/>
                <w:sz w:val="20"/>
                <w:szCs w:val="20"/>
                <w:lang w:val="en-GB"/>
              </w:rPr>
            </w:pPr>
          </w:p>
        </w:tc>
        <w:tc>
          <w:tcPr>
            <w:tcW w:w="2798" w:type="dxa"/>
            <w:shd w:val="clear" w:color="auto" w:fill="auto"/>
          </w:tcPr>
          <w:p w14:paraId="18AFEDF2" w14:textId="77777777" w:rsidR="007C4C75" w:rsidRPr="00F358E1" w:rsidRDefault="007C4C75" w:rsidP="006C0463">
            <w:pPr>
              <w:spacing w:after="0" w:line="240" w:lineRule="auto"/>
              <w:jc w:val="center"/>
              <w:rPr>
                <w:rFonts w:ascii="Times New Roman" w:hAnsi="Times New Roman"/>
                <w:sz w:val="20"/>
                <w:szCs w:val="20"/>
                <w:lang w:val="en-GB"/>
              </w:rPr>
            </w:pPr>
          </w:p>
        </w:tc>
        <w:tc>
          <w:tcPr>
            <w:tcW w:w="2799" w:type="dxa"/>
            <w:shd w:val="clear" w:color="auto" w:fill="auto"/>
          </w:tcPr>
          <w:p w14:paraId="304811BD" w14:textId="77777777" w:rsidR="007C4C75" w:rsidRPr="00F358E1" w:rsidRDefault="007C4C75" w:rsidP="006C0463">
            <w:pPr>
              <w:spacing w:after="0" w:line="240" w:lineRule="auto"/>
              <w:jc w:val="center"/>
              <w:rPr>
                <w:rFonts w:ascii="Times New Roman" w:hAnsi="Times New Roman"/>
                <w:sz w:val="20"/>
                <w:szCs w:val="20"/>
                <w:lang w:val="en-GB"/>
              </w:rPr>
            </w:pPr>
          </w:p>
        </w:tc>
        <w:tc>
          <w:tcPr>
            <w:tcW w:w="2799" w:type="dxa"/>
            <w:shd w:val="clear" w:color="auto" w:fill="auto"/>
          </w:tcPr>
          <w:p w14:paraId="57DD5BAC" w14:textId="77777777" w:rsidR="007C4C75" w:rsidRPr="00F358E1" w:rsidRDefault="007C4C75" w:rsidP="006C0463">
            <w:pPr>
              <w:spacing w:after="0" w:line="240" w:lineRule="auto"/>
              <w:jc w:val="center"/>
              <w:rPr>
                <w:rFonts w:ascii="Times New Roman" w:hAnsi="Times New Roman"/>
                <w:sz w:val="20"/>
                <w:szCs w:val="20"/>
                <w:lang w:val="en-GB"/>
              </w:rPr>
            </w:pPr>
          </w:p>
        </w:tc>
      </w:tr>
      <w:tr w:rsidR="00E21250" w:rsidRPr="00E21250" w14:paraId="2481288C" w14:textId="77777777" w:rsidTr="008E083E">
        <w:tc>
          <w:tcPr>
            <w:tcW w:w="2798" w:type="dxa"/>
            <w:shd w:val="clear" w:color="auto" w:fill="auto"/>
          </w:tcPr>
          <w:p w14:paraId="022D5135" w14:textId="77777777" w:rsidR="007C4C75" w:rsidRPr="00E21250" w:rsidRDefault="007C4C75" w:rsidP="006C0463">
            <w:pPr>
              <w:spacing w:after="0" w:line="240" w:lineRule="auto"/>
              <w:jc w:val="both"/>
              <w:rPr>
                <w:rFonts w:ascii="Times New Roman" w:hAnsi="Times New Roman"/>
                <w:sz w:val="20"/>
                <w:szCs w:val="20"/>
                <w:lang w:val="en-GB"/>
              </w:rPr>
            </w:pPr>
            <w:r w:rsidRPr="00E21250">
              <w:rPr>
                <w:rFonts w:ascii="Times New Roman" w:hAnsi="Times New Roman"/>
                <w:sz w:val="20"/>
                <w:szCs w:val="20"/>
                <w:lang w:val="en-GB"/>
              </w:rPr>
              <w:t>OR on the probability of being admitted to hospital</w:t>
            </w:r>
          </w:p>
        </w:tc>
        <w:tc>
          <w:tcPr>
            <w:tcW w:w="2798" w:type="dxa"/>
            <w:shd w:val="clear" w:color="auto" w:fill="auto"/>
          </w:tcPr>
          <w:p w14:paraId="1F9110FC" w14:textId="33B52FFB" w:rsidR="007C4C75" w:rsidRPr="00F358E1" w:rsidRDefault="007C4C75" w:rsidP="006C046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2.314*</w:t>
            </w:r>
          </w:p>
          <w:p w14:paraId="1B4545E7" w14:textId="2E2BF6A3" w:rsidR="007C4C75" w:rsidRPr="00F358E1" w:rsidRDefault="007C4C75" w:rsidP="006C046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w:t>
            </w:r>
            <w:r w:rsidR="001D4BC5" w:rsidRPr="00F358E1">
              <w:rPr>
                <w:rFonts w:ascii="Times New Roman" w:hAnsi="Times New Roman"/>
                <w:sz w:val="20"/>
                <w:szCs w:val="20"/>
                <w:lang w:val="en-GB"/>
              </w:rPr>
              <w:t>1.175 – 4.559</w:t>
            </w:r>
            <w:r w:rsidRPr="00F358E1">
              <w:rPr>
                <w:rFonts w:ascii="Times New Roman" w:hAnsi="Times New Roman"/>
                <w:sz w:val="20"/>
                <w:szCs w:val="20"/>
                <w:lang w:val="en-GB"/>
              </w:rPr>
              <w:t>)</w:t>
            </w:r>
          </w:p>
        </w:tc>
        <w:tc>
          <w:tcPr>
            <w:tcW w:w="2798" w:type="dxa"/>
            <w:shd w:val="clear" w:color="auto" w:fill="auto"/>
          </w:tcPr>
          <w:p w14:paraId="4B977BCB" w14:textId="0AB2A842" w:rsidR="007C4C75" w:rsidRPr="00F358E1" w:rsidRDefault="007C4C75" w:rsidP="006C046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1.1</w:t>
            </w:r>
            <w:r w:rsidR="001D4BC5" w:rsidRPr="00F358E1">
              <w:rPr>
                <w:rFonts w:ascii="Times New Roman" w:hAnsi="Times New Roman"/>
                <w:sz w:val="20"/>
                <w:szCs w:val="20"/>
                <w:lang w:val="en-GB"/>
              </w:rPr>
              <w:t>81</w:t>
            </w:r>
          </w:p>
          <w:p w14:paraId="0D750286" w14:textId="696304CC" w:rsidR="007C4C75" w:rsidRPr="00F358E1" w:rsidRDefault="007C4C75" w:rsidP="006C046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w:t>
            </w:r>
            <w:r w:rsidR="001D4BC5" w:rsidRPr="00F358E1">
              <w:rPr>
                <w:rFonts w:ascii="Times New Roman" w:hAnsi="Times New Roman"/>
                <w:sz w:val="20"/>
                <w:szCs w:val="20"/>
                <w:lang w:val="en-GB"/>
              </w:rPr>
              <w:t>.682 – 2.045</w:t>
            </w:r>
            <w:r w:rsidRPr="00F358E1">
              <w:rPr>
                <w:rFonts w:ascii="Times New Roman" w:hAnsi="Times New Roman"/>
                <w:sz w:val="20"/>
                <w:szCs w:val="20"/>
                <w:lang w:val="en-GB"/>
              </w:rPr>
              <w:t>)</w:t>
            </w:r>
          </w:p>
        </w:tc>
        <w:tc>
          <w:tcPr>
            <w:tcW w:w="2799" w:type="dxa"/>
            <w:shd w:val="clear" w:color="auto" w:fill="auto"/>
          </w:tcPr>
          <w:p w14:paraId="5CEE981C" w14:textId="62EDDDE3" w:rsidR="007C4C75" w:rsidRPr="00F358E1" w:rsidRDefault="007C4C75" w:rsidP="006C046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1.</w:t>
            </w:r>
            <w:r w:rsidR="00733E73" w:rsidRPr="00F358E1">
              <w:rPr>
                <w:rFonts w:ascii="Times New Roman" w:hAnsi="Times New Roman"/>
                <w:sz w:val="20"/>
                <w:szCs w:val="20"/>
                <w:lang w:val="en-GB"/>
              </w:rPr>
              <w:t>583</w:t>
            </w:r>
          </w:p>
          <w:p w14:paraId="484E444F" w14:textId="49793E58" w:rsidR="007C4C75" w:rsidRPr="00F358E1" w:rsidRDefault="007C4C75" w:rsidP="006C046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w:t>
            </w:r>
            <w:r w:rsidR="00733E73" w:rsidRPr="00F358E1">
              <w:rPr>
                <w:rFonts w:ascii="Times New Roman" w:hAnsi="Times New Roman"/>
                <w:sz w:val="20"/>
                <w:szCs w:val="20"/>
                <w:lang w:val="en-GB"/>
              </w:rPr>
              <w:t>820 – 3.056</w:t>
            </w:r>
            <w:r w:rsidRPr="00F358E1">
              <w:rPr>
                <w:rFonts w:ascii="Times New Roman" w:hAnsi="Times New Roman"/>
                <w:sz w:val="20"/>
                <w:szCs w:val="20"/>
                <w:lang w:val="en-GB"/>
              </w:rPr>
              <w:t>)</w:t>
            </w:r>
          </w:p>
        </w:tc>
        <w:tc>
          <w:tcPr>
            <w:tcW w:w="2799" w:type="dxa"/>
            <w:shd w:val="clear" w:color="auto" w:fill="auto"/>
          </w:tcPr>
          <w:p w14:paraId="7D9F783E" w14:textId="3A08DC73" w:rsidR="007C4C75" w:rsidRPr="00F358E1" w:rsidRDefault="007C4C75" w:rsidP="006C046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1.4</w:t>
            </w:r>
            <w:r w:rsidR="0077539A" w:rsidRPr="00F358E1">
              <w:rPr>
                <w:rFonts w:ascii="Times New Roman" w:hAnsi="Times New Roman"/>
                <w:sz w:val="20"/>
                <w:szCs w:val="20"/>
                <w:lang w:val="en-GB"/>
              </w:rPr>
              <w:t>68</w:t>
            </w:r>
          </w:p>
          <w:p w14:paraId="69D4D1CA" w14:textId="6054107B" w:rsidR="007C4C75" w:rsidRPr="00F358E1" w:rsidRDefault="007C4C75" w:rsidP="006C046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w:t>
            </w:r>
            <w:r w:rsidR="0077539A" w:rsidRPr="00F358E1">
              <w:rPr>
                <w:rFonts w:ascii="Times New Roman" w:hAnsi="Times New Roman"/>
                <w:sz w:val="20"/>
                <w:szCs w:val="20"/>
                <w:lang w:val="en-GB"/>
              </w:rPr>
              <w:t>864 – 2.493</w:t>
            </w:r>
            <w:r w:rsidRPr="00F358E1">
              <w:rPr>
                <w:rFonts w:ascii="Times New Roman" w:hAnsi="Times New Roman"/>
                <w:sz w:val="20"/>
                <w:szCs w:val="20"/>
                <w:lang w:val="en-GB"/>
              </w:rPr>
              <w:t>)</w:t>
            </w:r>
          </w:p>
        </w:tc>
      </w:tr>
      <w:tr w:rsidR="00E21250" w:rsidRPr="00FB677A" w14:paraId="7F3B1871" w14:textId="77777777" w:rsidTr="00DC2A5C">
        <w:tc>
          <w:tcPr>
            <w:tcW w:w="2798" w:type="dxa"/>
            <w:shd w:val="clear" w:color="auto" w:fill="auto"/>
          </w:tcPr>
          <w:p w14:paraId="09FD477F" w14:textId="77777777" w:rsidR="007C4C75" w:rsidRPr="00E21250" w:rsidRDefault="007C4C75" w:rsidP="006C0463">
            <w:pPr>
              <w:spacing w:after="0" w:line="240" w:lineRule="auto"/>
              <w:jc w:val="both"/>
              <w:rPr>
                <w:rFonts w:ascii="Times New Roman" w:hAnsi="Times New Roman"/>
                <w:sz w:val="20"/>
                <w:szCs w:val="20"/>
                <w:lang w:val="en-GB"/>
              </w:rPr>
            </w:pPr>
            <w:r w:rsidRPr="00E21250">
              <w:rPr>
                <w:rFonts w:ascii="Times New Roman" w:hAnsi="Times New Roman"/>
                <w:sz w:val="20"/>
                <w:szCs w:val="20"/>
                <w:lang w:val="en-GB"/>
              </w:rPr>
              <w:t>Coeff on number of hospital admissions</w:t>
            </w:r>
          </w:p>
        </w:tc>
        <w:tc>
          <w:tcPr>
            <w:tcW w:w="2798" w:type="dxa"/>
            <w:shd w:val="clear" w:color="auto" w:fill="auto"/>
            <w:vAlign w:val="center"/>
          </w:tcPr>
          <w:p w14:paraId="219BC687" w14:textId="77777777" w:rsidR="000F2562" w:rsidRPr="00F358E1" w:rsidRDefault="002E327E"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-0.019</w:t>
            </w:r>
          </w:p>
          <w:p w14:paraId="7BE86D5B" w14:textId="364E43D2" w:rsidR="002E327E" w:rsidRPr="00F358E1" w:rsidRDefault="002E327E"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(-1.077 – 1.040)</w:t>
            </w:r>
          </w:p>
        </w:tc>
        <w:tc>
          <w:tcPr>
            <w:tcW w:w="2798" w:type="dxa"/>
            <w:shd w:val="clear" w:color="auto" w:fill="auto"/>
            <w:vAlign w:val="center"/>
          </w:tcPr>
          <w:p w14:paraId="1E51C2A7" w14:textId="77777777" w:rsidR="000F2562" w:rsidRPr="00F358E1" w:rsidRDefault="002E327E"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0.447</w:t>
            </w:r>
          </w:p>
          <w:p w14:paraId="1C8AEC7C" w14:textId="57C8340C" w:rsidR="002E327E" w:rsidRPr="00F358E1" w:rsidRDefault="002E327E"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(-0.462 – 1.356)</w:t>
            </w:r>
          </w:p>
        </w:tc>
        <w:tc>
          <w:tcPr>
            <w:tcW w:w="2799" w:type="dxa"/>
            <w:shd w:val="clear" w:color="auto" w:fill="auto"/>
            <w:vAlign w:val="center"/>
          </w:tcPr>
          <w:p w14:paraId="03BB1868" w14:textId="77777777" w:rsidR="00F10C25" w:rsidRPr="00F358E1" w:rsidRDefault="002E327E"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0.684</w:t>
            </w:r>
          </w:p>
          <w:p w14:paraId="2C3783E8" w14:textId="5E4D89B2" w:rsidR="002E327E" w:rsidRPr="00F358E1" w:rsidRDefault="002E327E"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(-0.004 – 1.371)</w:t>
            </w:r>
          </w:p>
        </w:tc>
        <w:tc>
          <w:tcPr>
            <w:tcW w:w="2799" w:type="dxa"/>
            <w:shd w:val="clear" w:color="auto" w:fill="auto"/>
            <w:vAlign w:val="center"/>
          </w:tcPr>
          <w:p w14:paraId="4CB18422" w14:textId="77777777" w:rsidR="00F10C25" w:rsidRPr="00F358E1" w:rsidRDefault="002E327E"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0.692*</w:t>
            </w:r>
          </w:p>
          <w:p w14:paraId="7BC2E794" w14:textId="5C28897C" w:rsidR="002E327E" w:rsidRPr="00F358E1" w:rsidRDefault="002E327E"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(0.145 – 1.240)</w:t>
            </w:r>
          </w:p>
        </w:tc>
      </w:tr>
      <w:tr w:rsidR="00E21250" w:rsidRPr="00FB677A" w14:paraId="45CC472E" w14:textId="77777777" w:rsidTr="00DC2A5C">
        <w:tc>
          <w:tcPr>
            <w:tcW w:w="2798" w:type="dxa"/>
            <w:shd w:val="clear" w:color="auto" w:fill="auto"/>
          </w:tcPr>
          <w:p w14:paraId="192594AC" w14:textId="77777777" w:rsidR="007C4C75" w:rsidRPr="00E21250" w:rsidRDefault="007C4C75" w:rsidP="006C0463">
            <w:pPr>
              <w:spacing w:after="0" w:line="240" w:lineRule="auto"/>
              <w:jc w:val="both"/>
              <w:rPr>
                <w:rFonts w:ascii="Times New Roman" w:hAnsi="Times New Roman"/>
                <w:sz w:val="20"/>
                <w:szCs w:val="20"/>
                <w:lang w:val="en-GB"/>
              </w:rPr>
            </w:pPr>
            <w:r w:rsidRPr="00E21250">
              <w:rPr>
                <w:rFonts w:ascii="Times New Roman" w:hAnsi="Times New Roman"/>
                <w:sz w:val="20"/>
                <w:szCs w:val="20"/>
                <w:lang w:val="en-GB"/>
              </w:rPr>
              <w:t>Coeff on length of hospitalization</w:t>
            </w:r>
          </w:p>
        </w:tc>
        <w:tc>
          <w:tcPr>
            <w:tcW w:w="2798" w:type="dxa"/>
            <w:shd w:val="clear" w:color="auto" w:fill="auto"/>
            <w:vAlign w:val="center"/>
          </w:tcPr>
          <w:p w14:paraId="168ADBC0" w14:textId="77777777" w:rsidR="00F10C25" w:rsidRPr="00F358E1" w:rsidRDefault="002E327E"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0.117</w:t>
            </w:r>
          </w:p>
          <w:p w14:paraId="1B2B26E6" w14:textId="5421F54F" w:rsidR="002E327E" w:rsidRPr="00F358E1" w:rsidRDefault="002E327E"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(-0.619 – 0.853)</w:t>
            </w:r>
          </w:p>
        </w:tc>
        <w:tc>
          <w:tcPr>
            <w:tcW w:w="2798" w:type="dxa"/>
            <w:shd w:val="clear" w:color="auto" w:fill="auto"/>
            <w:vAlign w:val="center"/>
          </w:tcPr>
          <w:p w14:paraId="41F7B479" w14:textId="77777777" w:rsidR="00F10C25" w:rsidRPr="00F358E1" w:rsidRDefault="002E327E"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0.416</w:t>
            </w:r>
          </w:p>
          <w:p w14:paraId="0678AE76" w14:textId="61AD723B" w:rsidR="002E327E" w:rsidRPr="00F358E1" w:rsidRDefault="002E327E"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(-0.151 – 0.983)</w:t>
            </w:r>
          </w:p>
        </w:tc>
        <w:tc>
          <w:tcPr>
            <w:tcW w:w="2799" w:type="dxa"/>
            <w:shd w:val="clear" w:color="auto" w:fill="auto"/>
            <w:vAlign w:val="center"/>
          </w:tcPr>
          <w:p w14:paraId="3D5EDA9F" w14:textId="77777777" w:rsidR="00F10C25" w:rsidRPr="00F358E1" w:rsidRDefault="001D4BC5"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0.637*</w:t>
            </w:r>
          </w:p>
          <w:p w14:paraId="75764A31" w14:textId="54878B85" w:rsidR="001D4BC5" w:rsidRPr="00F358E1" w:rsidRDefault="001D4BC5"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(0.104 – 1.170)</w:t>
            </w:r>
          </w:p>
        </w:tc>
        <w:tc>
          <w:tcPr>
            <w:tcW w:w="2799" w:type="dxa"/>
            <w:shd w:val="clear" w:color="auto" w:fill="auto"/>
            <w:vAlign w:val="center"/>
          </w:tcPr>
          <w:p w14:paraId="24926A08" w14:textId="77777777" w:rsidR="00F10C25" w:rsidRPr="00F358E1" w:rsidRDefault="001D4BC5"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0.237</w:t>
            </w:r>
          </w:p>
          <w:p w14:paraId="3981DB71" w14:textId="09D1BF2B" w:rsidR="001D4BC5" w:rsidRPr="00F358E1" w:rsidRDefault="001D4BC5"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(-0.231 – 0.705)</w:t>
            </w:r>
          </w:p>
        </w:tc>
      </w:tr>
      <w:tr w:rsidR="00E21250" w:rsidRPr="00E21250" w14:paraId="759AFB22" w14:textId="77777777" w:rsidTr="00DC2A5C">
        <w:tc>
          <w:tcPr>
            <w:tcW w:w="2798" w:type="dxa"/>
            <w:shd w:val="clear" w:color="auto" w:fill="auto"/>
          </w:tcPr>
          <w:p w14:paraId="48D39457" w14:textId="77777777" w:rsidR="007C4C75" w:rsidRPr="00E21250" w:rsidRDefault="007C4C75" w:rsidP="006C0463">
            <w:pPr>
              <w:spacing w:after="0" w:line="240" w:lineRule="auto"/>
              <w:jc w:val="both"/>
              <w:rPr>
                <w:rFonts w:ascii="Times New Roman" w:hAnsi="Times New Roman"/>
                <w:sz w:val="20"/>
                <w:szCs w:val="20"/>
                <w:lang w:val="en-GB"/>
              </w:rPr>
            </w:pPr>
            <w:r w:rsidRPr="00E21250">
              <w:rPr>
                <w:rFonts w:ascii="Times New Roman" w:hAnsi="Times New Roman"/>
                <w:sz w:val="20"/>
                <w:szCs w:val="20"/>
                <w:lang w:val="en-GB"/>
              </w:rPr>
              <w:t>Coeff on hospitalization costs</w:t>
            </w:r>
          </w:p>
        </w:tc>
        <w:tc>
          <w:tcPr>
            <w:tcW w:w="2798" w:type="dxa"/>
            <w:shd w:val="clear" w:color="auto" w:fill="auto"/>
            <w:vAlign w:val="center"/>
          </w:tcPr>
          <w:p w14:paraId="19B2AF6D" w14:textId="77777777" w:rsidR="00E24E0C" w:rsidRPr="00F358E1" w:rsidRDefault="001D4BC5"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0.126</w:t>
            </w:r>
          </w:p>
          <w:p w14:paraId="194735D7" w14:textId="6AE83FF3" w:rsidR="001D4BC5" w:rsidRPr="00F358E1" w:rsidRDefault="001D4BC5"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(-0.381 – 0.634)</w:t>
            </w:r>
          </w:p>
        </w:tc>
        <w:tc>
          <w:tcPr>
            <w:tcW w:w="2798" w:type="dxa"/>
            <w:shd w:val="clear" w:color="auto" w:fill="auto"/>
            <w:vAlign w:val="center"/>
          </w:tcPr>
          <w:p w14:paraId="4C9060DC" w14:textId="6F3C87EE" w:rsidR="00E24E0C" w:rsidRPr="00F358E1" w:rsidRDefault="001D4BC5"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0.123</w:t>
            </w:r>
            <w:r w:rsidR="00733E73" w:rsidRPr="00F358E1">
              <w:rPr>
                <w:rFonts w:ascii="Times New Roman" w:hAnsi="Times New Roman"/>
                <w:sz w:val="20"/>
                <w:szCs w:val="20"/>
                <w:lang w:val="en-GB"/>
              </w:rPr>
              <w:t>*</w:t>
            </w:r>
          </w:p>
          <w:p w14:paraId="1BFB5AD2" w14:textId="65EDCF74" w:rsidR="001D4BC5" w:rsidRPr="00F358E1" w:rsidRDefault="001D4BC5"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w:t>
            </w:r>
            <w:r w:rsidR="00733E73" w:rsidRPr="00F358E1">
              <w:rPr>
                <w:rFonts w:ascii="Times New Roman" w:hAnsi="Times New Roman"/>
                <w:sz w:val="20"/>
                <w:szCs w:val="20"/>
                <w:lang w:val="en-GB"/>
              </w:rPr>
              <w:t>013 – 0.233)</w:t>
            </w:r>
          </w:p>
        </w:tc>
        <w:tc>
          <w:tcPr>
            <w:tcW w:w="2799" w:type="dxa"/>
            <w:shd w:val="clear" w:color="auto" w:fill="auto"/>
            <w:vAlign w:val="center"/>
          </w:tcPr>
          <w:p w14:paraId="7B72733D" w14:textId="0C3A8D8D" w:rsidR="00E24E0C" w:rsidRPr="00F358E1" w:rsidRDefault="00733E73"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0.443</w:t>
            </w:r>
            <w:r w:rsidR="0077539A" w:rsidRPr="00F358E1">
              <w:rPr>
                <w:rFonts w:ascii="Times New Roman" w:hAnsi="Times New Roman"/>
                <w:sz w:val="20"/>
                <w:szCs w:val="20"/>
                <w:lang w:val="en-GB"/>
              </w:rPr>
              <w:t>*</w:t>
            </w:r>
          </w:p>
          <w:p w14:paraId="39776D76" w14:textId="167E7A0D" w:rsidR="00733E73" w:rsidRPr="00F358E1" w:rsidRDefault="00733E73"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w:t>
            </w:r>
            <w:r w:rsidR="0077539A" w:rsidRPr="00F358E1">
              <w:rPr>
                <w:rFonts w:ascii="Times New Roman" w:hAnsi="Times New Roman"/>
                <w:sz w:val="20"/>
                <w:szCs w:val="20"/>
                <w:lang w:val="en-GB"/>
              </w:rPr>
              <w:t>0.101 – 0.786)</w:t>
            </w:r>
          </w:p>
        </w:tc>
        <w:tc>
          <w:tcPr>
            <w:tcW w:w="2799" w:type="dxa"/>
            <w:shd w:val="clear" w:color="auto" w:fill="auto"/>
            <w:vAlign w:val="center"/>
          </w:tcPr>
          <w:p w14:paraId="507D814C" w14:textId="77777777" w:rsidR="00E24E0C" w:rsidRPr="00F358E1" w:rsidRDefault="0077539A"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0.352*</w:t>
            </w:r>
          </w:p>
          <w:p w14:paraId="18CFC3E6" w14:textId="4385764C" w:rsidR="0077539A" w:rsidRPr="00F358E1" w:rsidRDefault="0077539A"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(0.016 – 0.688)</w:t>
            </w:r>
          </w:p>
        </w:tc>
      </w:tr>
      <w:tr w:rsidR="00E21250" w:rsidRPr="00E21250" w14:paraId="59915B8E" w14:textId="77777777" w:rsidTr="008E083E">
        <w:tc>
          <w:tcPr>
            <w:tcW w:w="2798" w:type="dxa"/>
            <w:shd w:val="clear" w:color="auto" w:fill="auto"/>
          </w:tcPr>
          <w:p w14:paraId="55A14A7A" w14:textId="77777777" w:rsidR="007C4C75" w:rsidRPr="00E21250" w:rsidRDefault="007C4C75" w:rsidP="006C0463">
            <w:pPr>
              <w:spacing w:after="0" w:line="240" w:lineRule="auto"/>
              <w:jc w:val="both"/>
              <w:rPr>
                <w:rFonts w:ascii="Times New Roman" w:hAnsi="Times New Roman"/>
                <w:sz w:val="20"/>
                <w:szCs w:val="20"/>
                <w:lang w:val="en-GB"/>
              </w:rPr>
            </w:pPr>
            <w:r w:rsidRPr="00E21250">
              <w:rPr>
                <w:rFonts w:ascii="Times New Roman" w:hAnsi="Times New Roman"/>
                <w:b/>
                <w:bCs/>
                <w:sz w:val="20"/>
                <w:szCs w:val="20"/>
                <w:lang w:val="en-GB"/>
              </w:rPr>
              <w:t>Model 3</w:t>
            </w:r>
          </w:p>
        </w:tc>
        <w:tc>
          <w:tcPr>
            <w:tcW w:w="2798" w:type="dxa"/>
            <w:shd w:val="clear" w:color="auto" w:fill="auto"/>
          </w:tcPr>
          <w:p w14:paraId="27B2FF5E" w14:textId="77777777" w:rsidR="007C4C75" w:rsidRPr="00F358E1" w:rsidRDefault="007C4C75" w:rsidP="006C0463">
            <w:pPr>
              <w:spacing w:after="0" w:line="240" w:lineRule="auto"/>
              <w:jc w:val="center"/>
              <w:rPr>
                <w:rFonts w:ascii="Times New Roman" w:hAnsi="Times New Roman"/>
                <w:sz w:val="20"/>
                <w:szCs w:val="20"/>
                <w:lang w:val="en-GB"/>
              </w:rPr>
            </w:pPr>
          </w:p>
        </w:tc>
        <w:tc>
          <w:tcPr>
            <w:tcW w:w="2798" w:type="dxa"/>
            <w:shd w:val="clear" w:color="auto" w:fill="auto"/>
          </w:tcPr>
          <w:p w14:paraId="18FB72D9" w14:textId="77777777" w:rsidR="007C4C75" w:rsidRPr="00F358E1" w:rsidRDefault="007C4C75" w:rsidP="006C0463">
            <w:pPr>
              <w:spacing w:after="0" w:line="240" w:lineRule="auto"/>
              <w:jc w:val="center"/>
              <w:rPr>
                <w:rFonts w:ascii="Times New Roman" w:hAnsi="Times New Roman"/>
                <w:sz w:val="20"/>
                <w:szCs w:val="20"/>
                <w:lang w:val="en-GB"/>
              </w:rPr>
            </w:pPr>
          </w:p>
        </w:tc>
        <w:tc>
          <w:tcPr>
            <w:tcW w:w="2799" w:type="dxa"/>
            <w:shd w:val="clear" w:color="auto" w:fill="auto"/>
          </w:tcPr>
          <w:p w14:paraId="01719D11" w14:textId="77777777" w:rsidR="007C4C75" w:rsidRPr="00F358E1" w:rsidRDefault="007C4C75" w:rsidP="006C0463">
            <w:pPr>
              <w:spacing w:after="0" w:line="240" w:lineRule="auto"/>
              <w:jc w:val="center"/>
              <w:rPr>
                <w:rFonts w:ascii="Times New Roman" w:hAnsi="Times New Roman"/>
                <w:sz w:val="20"/>
                <w:szCs w:val="20"/>
                <w:lang w:val="en-GB"/>
              </w:rPr>
            </w:pPr>
          </w:p>
        </w:tc>
        <w:tc>
          <w:tcPr>
            <w:tcW w:w="2799" w:type="dxa"/>
            <w:shd w:val="clear" w:color="auto" w:fill="auto"/>
          </w:tcPr>
          <w:p w14:paraId="7EA34B6C" w14:textId="77777777" w:rsidR="007C4C75" w:rsidRPr="00F358E1" w:rsidRDefault="007C4C75" w:rsidP="006C0463">
            <w:pPr>
              <w:spacing w:after="0" w:line="240" w:lineRule="auto"/>
              <w:jc w:val="center"/>
              <w:rPr>
                <w:rFonts w:ascii="Times New Roman" w:hAnsi="Times New Roman"/>
                <w:sz w:val="20"/>
                <w:szCs w:val="20"/>
                <w:lang w:val="en-GB"/>
              </w:rPr>
            </w:pPr>
          </w:p>
        </w:tc>
      </w:tr>
      <w:tr w:rsidR="00E21250" w:rsidRPr="00E21250" w14:paraId="5FC89DC3" w14:textId="77777777" w:rsidTr="008E083E">
        <w:tc>
          <w:tcPr>
            <w:tcW w:w="2798" w:type="dxa"/>
            <w:shd w:val="clear" w:color="auto" w:fill="auto"/>
          </w:tcPr>
          <w:p w14:paraId="38723C90" w14:textId="77777777" w:rsidR="007C4C75" w:rsidRPr="00E21250" w:rsidRDefault="007C4C75" w:rsidP="006C0463">
            <w:pPr>
              <w:spacing w:after="0" w:line="240" w:lineRule="auto"/>
              <w:jc w:val="both"/>
              <w:rPr>
                <w:rFonts w:ascii="Times New Roman" w:hAnsi="Times New Roman"/>
                <w:sz w:val="20"/>
                <w:szCs w:val="20"/>
                <w:lang w:val="en-GB"/>
              </w:rPr>
            </w:pPr>
            <w:r w:rsidRPr="00E21250">
              <w:rPr>
                <w:rFonts w:ascii="Times New Roman" w:hAnsi="Times New Roman"/>
                <w:sz w:val="20"/>
                <w:szCs w:val="20"/>
                <w:lang w:val="en-GB"/>
              </w:rPr>
              <w:t>OR on the probability of being admitted to hospital</w:t>
            </w:r>
          </w:p>
        </w:tc>
        <w:tc>
          <w:tcPr>
            <w:tcW w:w="2798" w:type="dxa"/>
            <w:shd w:val="clear" w:color="auto" w:fill="auto"/>
          </w:tcPr>
          <w:p w14:paraId="118A4252" w14:textId="24BB0492" w:rsidR="007C4C75" w:rsidRPr="00F358E1" w:rsidRDefault="007C4C75" w:rsidP="006C046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2.</w:t>
            </w:r>
            <w:r w:rsidR="00733E73" w:rsidRPr="00F358E1">
              <w:rPr>
                <w:rFonts w:ascii="Times New Roman" w:hAnsi="Times New Roman"/>
                <w:sz w:val="20"/>
                <w:szCs w:val="20"/>
                <w:lang w:val="en-GB"/>
              </w:rPr>
              <w:t>261</w:t>
            </w:r>
            <w:r w:rsidRPr="00F358E1">
              <w:rPr>
                <w:rFonts w:ascii="Times New Roman" w:hAnsi="Times New Roman"/>
                <w:sz w:val="20"/>
                <w:szCs w:val="20"/>
                <w:lang w:val="en-GB"/>
              </w:rPr>
              <w:t>*</w:t>
            </w:r>
          </w:p>
          <w:p w14:paraId="001F0DBF" w14:textId="688D2556" w:rsidR="007C4C75" w:rsidRPr="00F358E1" w:rsidRDefault="007C4C75" w:rsidP="006C046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w:t>
            </w:r>
            <w:r w:rsidR="00733E73" w:rsidRPr="00F358E1">
              <w:rPr>
                <w:rFonts w:ascii="Times New Roman" w:hAnsi="Times New Roman"/>
                <w:sz w:val="20"/>
                <w:szCs w:val="20"/>
                <w:lang w:val="en-GB"/>
              </w:rPr>
              <w:t>1.129 – 4.526</w:t>
            </w:r>
            <w:r w:rsidRPr="00F358E1">
              <w:rPr>
                <w:rFonts w:ascii="Times New Roman" w:hAnsi="Times New Roman"/>
                <w:sz w:val="20"/>
                <w:szCs w:val="20"/>
                <w:lang w:val="en-GB"/>
              </w:rPr>
              <w:t>)</w:t>
            </w:r>
          </w:p>
        </w:tc>
        <w:tc>
          <w:tcPr>
            <w:tcW w:w="2798" w:type="dxa"/>
            <w:shd w:val="clear" w:color="auto" w:fill="auto"/>
          </w:tcPr>
          <w:p w14:paraId="425F1694" w14:textId="4A71B124" w:rsidR="007C4C75" w:rsidRPr="00F358E1" w:rsidRDefault="007C4C75" w:rsidP="006C046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1.1</w:t>
            </w:r>
            <w:r w:rsidR="00733E73" w:rsidRPr="00F358E1">
              <w:rPr>
                <w:rFonts w:ascii="Times New Roman" w:hAnsi="Times New Roman"/>
                <w:sz w:val="20"/>
                <w:szCs w:val="20"/>
                <w:lang w:val="en-GB"/>
              </w:rPr>
              <w:t>67</w:t>
            </w:r>
          </w:p>
          <w:p w14:paraId="54F1FC77" w14:textId="78755CB7" w:rsidR="007C4C75" w:rsidRPr="00F358E1" w:rsidRDefault="007C4C75" w:rsidP="006C046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w:t>
            </w:r>
            <w:r w:rsidR="00733E73" w:rsidRPr="00F358E1">
              <w:rPr>
                <w:rFonts w:ascii="Times New Roman" w:hAnsi="Times New Roman"/>
                <w:sz w:val="20"/>
                <w:szCs w:val="20"/>
                <w:lang w:val="en-GB"/>
              </w:rPr>
              <w:t>659 – 2.065</w:t>
            </w:r>
            <w:r w:rsidRPr="00F358E1">
              <w:rPr>
                <w:rFonts w:ascii="Times New Roman" w:hAnsi="Times New Roman"/>
                <w:sz w:val="20"/>
                <w:szCs w:val="20"/>
                <w:lang w:val="en-GB"/>
              </w:rPr>
              <w:t>)</w:t>
            </w:r>
          </w:p>
        </w:tc>
        <w:tc>
          <w:tcPr>
            <w:tcW w:w="2799" w:type="dxa"/>
            <w:shd w:val="clear" w:color="auto" w:fill="auto"/>
          </w:tcPr>
          <w:p w14:paraId="626F3B25" w14:textId="57CA2521" w:rsidR="007C4C75" w:rsidRPr="00F358E1" w:rsidRDefault="007C4C75" w:rsidP="006C046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1.</w:t>
            </w:r>
            <w:r w:rsidR="0077539A" w:rsidRPr="00F358E1">
              <w:rPr>
                <w:rFonts w:ascii="Times New Roman" w:hAnsi="Times New Roman"/>
                <w:sz w:val="20"/>
                <w:szCs w:val="20"/>
                <w:lang w:val="en-GB"/>
              </w:rPr>
              <w:t>348</w:t>
            </w:r>
          </w:p>
          <w:p w14:paraId="603CD314" w14:textId="45DDD0C2" w:rsidR="007C4C75" w:rsidRPr="00F358E1" w:rsidRDefault="007C4C75" w:rsidP="006C046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w:t>
            </w:r>
            <w:r w:rsidR="0077539A" w:rsidRPr="00F358E1">
              <w:rPr>
                <w:rFonts w:ascii="Times New Roman" w:hAnsi="Times New Roman"/>
                <w:sz w:val="20"/>
                <w:szCs w:val="20"/>
                <w:lang w:val="en-GB"/>
              </w:rPr>
              <w:t>688 – 2.642</w:t>
            </w:r>
            <w:r w:rsidRPr="00F358E1">
              <w:rPr>
                <w:rFonts w:ascii="Times New Roman" w:hAnsi="Times New Roman"/>
                <w:sz w:val="20"/>
                <w:szCs w:val="20"/>
                <w:lang w:val="en-GB"/>
              </w:rPr>
              <w:t>)</w:t>
            </w:r>
          </w:p>
        </w:tc>
        <w:tc>
          <w:tcPr>
            <w:tcW w:w="2799" w:type="dxa"/>
            <w:shd w:val="clear" w:color="auto" w:fill="auto"/>
          </w:tcPr>
          <w:p w14:paraId="187AA1E6" w14:textId="300781D4" w:rsidR="007C4C75" w:rsidRPr="00F358E1" w:rsidRDefault="007C4C75" w:rsidP="006C046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1.</w:t>
            </w:r>
            <w:r w:rsidR="0077539A" w:rsidRPr="00F358E1">
              <w:rPr>
                <w:rFonts w:ascii="Times New Roman" w:hAnsi="Times New Roman"/>
                <w:sz w:val="20"/>
                <w:szCs w:val="20"/>
                <w:lang w:val="en-GB"/>
              </w:rPr>
              <w:t>296</w:t>
            </w:r>
          </w:p>
          <w:p w14:paraId="33A1C328" w14:textId="084C0352" w:rsidR="007C4C75" w:rsidRPr="00F358E1" w:rsidRDefault="007C4C75" w:rsidP="006C0463">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w:t>
            </w:r>
            <w:r w:rsidR="0077539A" w:rsidRPr="00F358E1">
              <w:rPr>
                <w:rFonts w:ascii="Times New Roman" w:hAnsi="Times New Roman"/>
                <w:sz w:val="20"/>
                <w:szCs w:val="20"/>
                <w:lang w:val="en-GB"/>
              </w:rPr>
              <w:t>743 – 2.261</w:t>
            </w:r>
            <w:r w:rsidRPr="00F358E1">
              <w:rPr>
                <w:rFonts w:ascii="Times New Roman" w:hAnsi="Times New Roman"/>
                <w:sz w:val="20"/>
                <w:szCs w:val="20"/>
                <w:lang w:val="en-GB"/>
              </w:rPr>
              <w:t>)</w:t>
            </w:r>
          </w:p>
        </w:tc>
      </w:tr>
      <w:tr w:rsidR="00E21250" w:rsidRPr="00FB677A" w14:paraId="385088BA" w14:textId="77777777" w:rsidTr="00DC2A5C">
        <w:tc>
          <w:tcPr>
            <w:tcW w:w="2798" w:type="dxa"/>
            <w:shd w:val="clear" w:color="auto" w:fill="auto"/>
          </w:tcPr>
          <w:p w14:paraId="2E591F94" w14:textId="77777777" w:rsidR="007C4C75" w:rsidRPr="00E21250" w:rsidRDefault="007C4C75" w:rsidP="006C0463">
            <w:pPr>
              <w:spacing w:after="0" w:line="240" w:lineRule="auto"/>
              <w:jc w:val="both"/>
              <w:rPr>
                <w:rFonts w:ascii="Times New Roman" w:hAnsi="Times New Roman"/>
                <w:sz w:val="20"/>
                <w:szCs w:val="20"/>
                <w:lang w:val="en-GB"/>
              </w:rPr>
            </w:pPr>
            <w:r w:rsidRPr="00E21250">
              <w:rPr>
                <w:rFonts w:ascii="Times New Roman" w:hAnsi="Times New Roman"/>
                <w:sz w:val="20"/>
                <w:szCs w:val="20"/>
                <w:lang w:val="en-GB"/>
              </w:rPr>
              <w:t>Coeff on number of hospital admissions</w:t>
            </w:r>
          </w:p>
        </w:tc>
        <w:tc>
          <w:tcPr>
            <w:tcW w:w="2798" w:type="dxa"/>
            <w:shd w:val="clear" w:color="auto" w:fill="auto"/>
            <w:vAlign w:val="center"/>
          </w:tcPr>
          <w:p w14:paraId="3E72E4FF" w14:textId="77777777" w:rsidR="000F2562" w:rsidRPr="00F358E1" w:rsidRDefault="002E327E"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-0.131</w:t>
            </w:r>
          </w:p>
          <w:p w14:paraId="765A40CD" w14:textId="14623F1A" w:rsidR="002E327E" w:rsidRPr="00F358E1" w:rsidRDefault="002E327E"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(-1.047 – 0.785)</w:t>
            </w:r>
          </w:p>
        </w:tc>
        <w:tc>
          <w:tcPr>
            <w:tcW w:w="2798" w:type="dxa"/>
            <w:shd w:val="clear" w:color="auto" w:fill="auto"/>
            <w:vAlign w:val="center"/>
          </w:tcPr>
          <w:p w14:paraId="3C51AF19" w14:textId="77777777" w:rsidR="000F2562" w:rsidRPr="00F358E1" w:rsidRDefault="002E327E"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0.474</w:t>
            </w:r>
          </w:p>
          <w:p w14:paraId="46A2A8F1" w14:textId="0502BDAA" w:rsidR="002E327E" w:rsidRPr="00F358E1" w:rsidRDefault="002E327E"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(-0.498 – 1.446)</w:t>
            </w:r>
          </w:p>
        </w:tc>
        <w:tc>
          <w:tcPr>
            <w:tcW w:w="2799" w:type="dxa"/>
            <w:shd w:val="clear" w:color="auto" w:fill="auto"/>
            <w:vAlign w:val="center"/>
          </w:tcPr>
          <w:p w14:paraId="14E08855" w14:textId="77777777" w:rsidR="00F10C25" w:rsidRPr="00F358E1" w:rsidRDefault="002E327E"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0.600</w:t>
            </w:r>
          </w:p>
          <w:p w14:paraId="22A40424" w14:textId="4D9EF7AC" w:rsidR="002E327E" w:rsidRPr="00F358E1" w:rsidRDefault="002E327E"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(-0.144 – 1.344)</w:t>
            </w:r>
          </w:p>
        </w:tc>
        <w:tc>
          <w:tcPr>
            <w:tcW w:w="2799" w:type="dxa"/>
            <w:shd w:val="clear" w:color="auto" w:fill="auto"/>
            <w:vAlign w:val="center"/>
          </w:tcPr>
          <w:p w14:paraId="04D49E17" w14:textId="77777777" w:rsidR="00F10C25" w:rsidRPr="00F358E1" w:rsidRDefault="002E327E"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0.756**</w:t>
            </w:r>
          </w:p>
          <w:p w14:paraId="6B18FA8B" w14:textId="003E4CEF" w:rsidR="002E327E" w:rsidRPr="00F358E1" w:rsidRDefault="002E327E"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(0.224 – 1.289)</w:t>
            </w:r>
          </w:p>
        </w:tc>
      </w:tr>
      <w:tr w:rsidR="00E21250" w:rsidRPr="00FB677A" w14:paraId="49BE93B4" w14:textId="77777777" w:rsidTr="00DC2A5C">
        <w:tc>
          <w:tcPr>
            <w:tcW w:w="2798" w:type="dxa"/>
            <w:shd w:val="clear" w:color="auto" w:fill="auto"/>
          </w:tcPr>
          <w:p w14:paraId="049A2682" w14:textId="77777777" w:rsidR="007C4C75" w:rsidRPr="00E21250" w:rsidRDefault="007C4C75" w:rsidP="006C0463">
            <w:pPr>
              <w:spacing w:after="0" w:line="240" w:lineRule="auto"/>
              <w:jc w:val="both"/>
              <w:rPr>
                <w:rFonts w:ascii="Times New Roman" w:hAnsi="Times New Roman"/>
                <w:sz w:val="20"/>
                <w:szCs w:val="20"/>
                <w:lang w:val="en-GB"/>
              </w:rPr>
            </w:pPr>
            <w:r w:rsidRPr="00E21250">
              <w:rPr>
                <w:rFonts w:ascii="Times New Roman" w:hAnsi="Times New Roman"/>
                <w:sz w:val="20"/>
                <w:szCs w:val="20"/>
                <w:lang w:val="en-GB"/>
              </w:rPr>
              <w:t>Coeff on length of hospitalization</w:t>
            </w:r>
          </w:p>
        </w:tc>
        <w:tc>
          <w:tcPr>
            <w:tcW w:w="2798" w:type="dxa"/>
            <w:shd w:val="clear" w:color="auto" w:fill="auto"/>
            <w:vAlign w:val="center"/>
          </w:tcPr>
          <w:p w14:paraId="27CD11AF" w14:textId="77777777" w:rsidR="00F10C25" w:rsidRPr="00F358E1" w:rsidRDefault="002E327E"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0.112</w:t>
            </w:r>
          </w:p>
          <w:p w14:paraId="028E6DE2" w14:textId="64B0C8A1" w:rsidR="002E327E" w:rsidRPr="00F358E1" w:rsidRDefault="002E327E"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(-0.570 – 0.795)</w:t>
            </w:r>
          </w:p>
        </w:tc>
        <w:tc>
          <w:tcPr>
            <w:tcW w:w="2798" w:type="dxa"/>
            <w:shd w:val="clear" w:color="auto" w:fill="auto"/>
            <w:vAlign w:val="center"/>
          </w:tcPr>
          <w:p w14:paraId="2ECB6E2E" w14:textId="77777777" w:rsidR="00F10C25" w:rsidRPr="00F358E1" w:rsidRDefault="002E327E"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0.322</w:t>
            </w:r>
          </w:p>
          <w:p w14:paraId="61F40983" w14:textId="6A569A84" w:rsidR="002E327E" w:rsidRPr="00F358E1" w:rsidRDefault="002E327E"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(-0.251 – 0.896)</w:t>
            </w:r>
          </w:p>
        </w:tc>
        <w:tc>
          <w:tcPr>
            <w:tcW w:w="2799" w:type="dxa"/>
            <w:shd w:val="clear" w:color="auto" w:fill="auto"/>
            <w:vAlign w:val="center"/>
          </w:tcPr>
          <w:p w14:paraId="626E17A9" w14:textId="77777777" w:rsidR="00F10C25" w:rsidRPr="00F358E1" w:rsidRDefault="001D4BC5"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0.587*</w:t>
            </w:r>
          </w:p>
          <w:p w14:paraId="16881E4D" w14:textId="52D55101" w:rsidR="001D4BC5" w:rsidRPr="00F358E1" w:rsidRDefault="001D4BC5"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(0.082 – 1.091)</w:t>
            </w:r>
          </w:p>
        </w:tc>
        <w:tc>
          <w:tcPr>
            <w:tcW w:w="2799" w:type="dxa"/>
            <w:shd w:val="clear" w:color="auto" w:fill="auto"/>
            <w:vAlign w:val="center"/>
          </w:tcPr>
          <w:p w14:paraId="357C2F8E" w14:textId="77777777" w:rsidR="00F10C25" w:rsidRPr="00F358E1" w:rsidRDefault="001D4BC5"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0.274</w:t>
            </w:r>
          </w:p>
          <w:p w14:paraId="20DC97F7" w14:textId="4C864618" w:rsidR="001D4BC5" w:rsidRPr="00F358E1" w:rsidRDefault="001D4BC5"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(-0.202 – 0.751)</w:t>
            </w:r>
          </w:p>
        </w:tc>
      </w:tr>
      <w:tr w:rsidR="00E21250" w:rsidRPr="00E21250" w14:paraId="431085B3" w14:textId="77777777" w:rsidTr="00DC2A5C">
        <w:tc>
          <w:tcPr>
            <w:tcW w:w="2798" w:type="dxa"/>
            <w:shd w:val="clear" w:color="auto" w:fill="auto"/>
          </w:tcPr>
          <w:p w14:paraId="2F354A57" w14:textId="77777777" w:rsidR="007C4C75" w:rsidRPr="00E21250" w:rsidRDefault="007C4C75" w:rsidP="006C0463">
            <w:pPr>
              <w:spacing w:after="0" w:line="240" w:lineRule="auto"/>
              <w:jc w:val="both"/>
              <w:rPr>
                <w:rFonts w:ascii="Times New Roman" w:hAnsi="Times New Roman"/>
                <w:sz w:val="20"/>
                <w:szCs w:val="20"/>
                <w:lang w:val="en-GB"/>
              </w:rPr>
            </w:pPr>
            <w:r w:rsidRPr="00E21250">
              <w:rPr>
                <w:rFonts w:ascii="Times New Roman" w:hAnsi="Times New Roman"/>
                <w:sz w:val="20"/>
                <w:szCs w:val="20"/>
                <w:lang w:val="en-GB"/>
              </w:rPr>
              <w:t>Coeff on hospitalization costs</w:t>
            </w:r>
          </w:p>
        </w:tc>
        <w:tc>
          <w:tcPr>
            <w:tcW w:w="2798" w:type="dxa"/>
            <w:shd w:val="clear" w:color="auto" w:fill="auto"/>
            <w:vAlign w:val="center"/>
          </w:tcPr>
          <w:p w14:paraId="13696F8F" w14:textId="77777777" w:rsidR="00E24E0C" w:rsidRPr="00F358E1" w:rsidRDefault="00733E73"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0.051</w:t>
            </w:r>
          </w:p>
          <w:p w14:paraId="68C4C2B0" w14:textId="23D42F4D" w:rsidR="00733E73" w:rsidRPr="00F358E1" w:rsidRDefault="00733E73"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(-0.423 – 0.526)</w:t>
            </w:r>
          </w:p>
        </w:tc>
        <w:tc>
          <w:tcPr>
            <w:tcW w:w="2798" w:type="dxa"/>
            <w:shd w:val="clear" w:color="auto" w:fill="auto"/>
            <w:vAlign w:val="center"/>
          </w:tcPr>
          <w:p w14:paraId="547D81AD" w14:textId="77777777" w:rsidR="00E24E0C" w:rsidRPr="00F358E1" w:rsidRDefault="00733E73"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0.046</w:t>
            </w:r>
          </w:p>
          <w:p w14:paraId="132B7634" w14:textId="3E62D1C1" w:rsidR="00733E73" w:rsidRPr="00F358E1" w:rsidRDefault="00733E73"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(-0.431 – 0.531)</w:t>
            </w:r>
          </w:p>
        </w:tc>
        <w:tc>
          <w:tcPr>
            <w:tcW w:w="2799" w:type="dxa"/>
            <w:shd w:val="clear" w:color="auto" w:fill="auto"/>
            <w:vAlign w:val="center"/>
          </w:tcPr>
          <w:p w14:paraId="18D15D6E" w14:textId="77777777" w:rsidR="00E24E0C" w:rsidRPr="00F358E1" w:rsidRDefault="0077539A"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0.442*</w:t>
            </w:r>
          </w:p>
          <w:p w14:paraId="2A6A0938" w14:textId="6050CD24" w:rsidR="0077539A" w:rsidRPr="00F358E1" w:rsidRDefault="0077539A"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(0.091 – 0.794)</w:t>
            </w:r>
          </w:p>
        </w:tc>
        <w:tc>
          <w:tcPr>
            <w:tcW w:w="2799" w:type="dxa"/>
            <w:shd w:val="clear" w:color="auto" w:fill="auto"/>
            <w:vAlign w:val="center"/>
          </w:tcPr>
          <w:p w14:paraId="69BD5AB0" w14:textId="77777777" w:rsidR="00E24E0C" w:rsidRPr="00F358E1" w:rsidRDefault="0077539A"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0.375*</w:t>
            </w:r>
          </w:p>
          <w:p w14:paraId="612E2A10" w14:textId="1FF4CDFF" w:rsidR="0077539A" w:rsidRPr="00F358E1" w:rsidRDefault="0077539A" w:rsidP="00DC2A5C">
            <w:pPr>
              <w:spacing w:after="0" w:line="240" w:lineRule="auto"/>
              <w:jc w:val="center"/>
              <w:rPr>
                <w:rFonts w:ascii="Times New Roman" w:hAnsi="Times New Roman"/>
                <w:sz w:val="20"/>
                <w:szCs w:val="20"/>
                <w:lang w:val="en-GB"/>
              </w:rPr>
            </w:pPr>
            <w:r w:rsidRPr="00F358E1">
              <w:rPr>
                <w:rFonts w:ascii="Times New Roman" w:hAnsi="Times New Roman"/>
                <w:sz w:val="20"/>
                <w:szCs w:val="20"/>
                <w:lang w:val="en-GB"/>
              </w:rPr>
              <w:t>(0.039 – 0.711)</w:t>
            </w:r>
          </w:p>
        </w:tc>
      </w:tr>
    </w:tbl>
    <w:p w14:paraId="6BE5EE5B" w14:textId="2C794EC2" w:rsidR="007C4C75" w:rsidRPr="00857F85" w:rsidRDefault="0077539A" w:rsidP="006C0463">
      <w:pPr>
        <w:widowControl w:val="0"/>
        <w:autoSpaceDE w:val="0"/>
        <w:autoSpaceDN w:val="0"/>
        <w:adjustRightInd w:val="0"/>
        <w:spacing w:after="0" w:line="240" w:lineRule="auto"/>
        <w:ind w:right="-315"/>
        <w:jc w:val="both"/>
        <w:rPr>
          <w:rFonts w:ascii="Times New Roman" w:hAnsi="Times New Roman"/>
          <w:sz w:val="20"/>
          <w:szCs w:val="20"/>
          <w:lang w:val="en-GB"/>
        </w:rPr>
      </w:pPr>
      <w:r w:rsidRPr="00F358E1">
        <w:rPr>
          <w:rFonts w:ascii="Times New Roman" w:hAnsi="Times New Roman"/>
          <w:sz w:val="20"/>
          <w:szCs w:val="20"/>
          <w:lang w:val="en-GB"/>
        </w:rPr>
        <w:t>95% confidence intervals</w:t>
      </w:r>
      <w:r w:rsidR="007C4C75" w:rsidRPr="0077539A">
        <w:rPr>
          <w:rFonts w:ascii="Times New Roman" w:hAnsi="Times New Roman"/>
          <w:color w:val="FF0000"/>
          <w:sz w:val="20"/>
          <w:szCs w:val="20"/>
          <w:lang w:val="en-GB"/>
        </w:rPr>
        <w:t xml:space="preserve"> </w:t>
      </w:r>
      <w:r w:rsidR="007C4C75" w:rsidRPr="00857F85">
        <w:rPr>
          <w:rFonts w:ascii="Times New Roman" w:hAnsi="Times New Roman"/>
          <w:sz w:val="20"/>
          <w:szCs w:val="20"/>
          <w:lang w:val="en-GB"/>
        </w:rPr>
        <w:t xml:space="preserve">in parentheses. </w:t>
      </w:r>
      <w:r w:rsidR="00965143" w:rsidRPr="00E21250">
        <w:rPr>
          <w:rFonts w:ascii="Times New Roman" w:hAnsi="Times New Roman"/>
          <w:sz w:val="20"/>
          <w:szCs w:val="20"/>
          <w:lang w:val="en-GB"/>
        </w:rPr>
        <w:t>*** p&lt;0.001, ** p&lt;0.01, * p&lt;0.05</w:t>
      </w:r>
    </w:p>
    <w:p w14:paraId="798083DB" w14:textId="2BCDDA07" w:rsidR="003E6263" w:rsidRDefault="007C4C75" w:rsidP="006C0463">
      <w:pPr>
        <w:spacing w:line="240" w:lineRule="auto"/>
        <w:jc w:val="both"/>
        <w:rPr>
          <w:rFonts w:ascii="Times New Roman" w:hAnsi="Times New Roman"/>
          <w:sz w:val="20"/>
          <w:szCs w:val="20"/>
          <w:lang w:val="en-GB"/>
        </w:rPr>
      </w:pPr>
      <w:r w:rsidRPr="00857F85">
        <w:rPr>
          <w:rFonts w:ascii="Times New Roman" w:hAnsi="Times New Roman"/>
          <w:sz w:val="20"/>
          <w:szCs w:val="20"/>
          <w:lang w:val="en-GB"/>
        </w:rPr>
        <w:t>Model 1 includes frailty status, measured by the Frailty Index or the Frailty Trait Score, as the only independent variable. Model 2 enters sociodemographic characteristics (age and its square and gender) in addition to frailty. Model 3 adds to Model 2 the comorbidity severity of individual according to the Charlson Index, which is medium-low if the Charlson Index score is 1 or 2; and high if the Charlson Index score is three or higher. Moreover, polypharmacy is also included if the daily number of drugs the subject is taking is 5 or more.</w:t>
      </w:r>
      <w:bookmarkEnd w:id="0"/>
    </w:p>
    <w:p w14:paraId="13320AC0" w14:textId="77777777" w:rsidR="003E6263" w:rsidRDefault="003E6263">
      <w:pPr>
        <w:spacing w:after="0" w:line="240" w:lineRule="auto"/>
        <w:rPr>
          <w:rFonts w:ascii="Times New Roman" w:hAnsi="Times New Roman"/>
          <w:sz w:val="20"/>
          <w:szCs w:val="20"/>
          <w:lang w:val="en-GB"/>
        </w:rPr>
      </w:pPr>
      <w:r>
        <w:rPr>
          <w:rFonts w:ascii="Times New Roman" w:hAnsi="Times New Roman"/>
          <w:sz w:val="20"/>
          <w:szCs w:val="20"/>
          <w:lang w:val="en-GB"/>
        </w:rPr>
        <w:br w:type="page"/>
      </w:r>
    </w:p>
    <w:p w14:paraId="67EA318E" w14:textId="756FE662" w:rsidR="003E6263" w:rsidRPr="00F6262C" w:rsidRDefault="003E6263" w:rsidP="003E6263">
      <w:pPr>
        <w:spacing w:line="276" w:lineRule="auto"/>
        <w:jc w:val="both"/>
        <w:rPr>
          <w:rFonts w:ascii="Times New Roman" w:hAnsi="Times New Roman"/>
          <w:sz w:val="20"/>
          <w:szCs w:val="20"/>
          <w:u w:val="single"/>
          <w:lang w:val="en-GB"/>
        </w:rPr>
      </w:pPr>
      <w:r w:rsidRPr="00F6262C">
        <w:rPr>
          <w:rFonts w:ascii="Times New Roman" w:hAnsi="Times New Roman"/>
          <w:sz w:val="20"/>
          <w:szCs w:val="20"/>
          <w:u w:val="single"/>
          <w:lang w:val="en-GB"/>
        </w:rPr>
        <w:lastRenderedPageBreak/>
        <w:t>Table S</w:t>
      </w:r>
      <w:r w:rsidR="00876292">
        <w:rPr>
          <w:rFonts w:ascii="Times New Roman" w:hAnsi="Times New Roman"/>
          <w:sz w:val="20"/>
          <w:szCs w:val="20"/>
          <w:u w:val="single"/>
          <w:lang w:val="en-GB"/>
        </w:rPr>
        <w:t>6</w:t>
      </w:r>
      <w:r w:rsidRPr="00F6262C">
        <w:rPr>
          <w:rFonts w:ascii="Times New Roman" w:hAnsi="Times New Roman"/>
          <w:sz w:val="20"/>
          <w:szCs w:val="20"/>
          <w:u w:val="single"/>
          <w:lang w:val="en-GB"/>
        </w:rPr>
        <w:t>. Cross-tabulations of sarcopenia and frailty according to the FTS5 and the FI.</w:t>
      </w:r>
    </w:p>
    <w:tbl>
      <w:tblPr>
        <w:tblStyle w:val="Tablaconcuadrcula"/>
        <w:tblW w:w="6000" w:type="dxa"/>
        <w:tblLook w:val="04A0" w:firstRow="1" w:lastRow="0" w:firstColumn="1" w:lastColumn="0" w:noHBand="0" w:noVBand="1"/>
      </w:tblPr>
      <w:tblGrid>
        <w:gridCol w:w="1184"/>
        <w:gridCol w:w="1238"/>
        <w:gridCol w:w="1238"/>
        <w:gridCol w:w="1238"/>
        <w:gridCol w:w="1102"/>
      </w:tblGrid>
      <w:tr w:rsidR="00E21250" w:rsidRPr="00F6262C" w14:paraId="6A7AB086" w14:textId="77777777" w:rsidTr="00043CA2">
        <w:trPr>
          <w:trHeight w:val="600"/>
        </w:trPr>
        <w:tc>
          <w:tcPr>
            <w:tcW w:w="2422" w:type="dxa"/>
            <w:gridSpan w:val="2"/>
            <w:vMerge w:val="restart"/>
            <w:vAlign w:val="center"/>
          </w:tcPr>
          <w:p w14:paraId="147671C3" w14:textId="24F93F53" w:rsidR="00043CA2" w:rsidRPr="00F6262C" w:rsidRDefault="00043CA2" w:rsidP="00043CA2">
            <w:pPr>
              <w:spacing w:after="0" w:line="276" w:lineRule="auto"/>
              <w:jc w:val="center"/>
              <w:rPr>
                <w:rFonts w:ascii="Times New Roman" w:hAnsi="Times New Roman"/>
                <w:sz w:val="20"/>
                <w:szCs w:val="20"/>
                <w:lang w:val="en-GB"/>
              </w:rPr>
            </w:pPr>
          </w:p>
        </w:tc>
        <w:tc>
          <w:tcPr>
            <w:tcW w:w="2476" w:type="dxa"/>
            <w:gridSpan w:val="2"/>
            <w:vAlign w:val="center"/>
          </w:tcPr>
          <w:p w14:paraId="1EF709BA" w14:textId="77777777" w:rsidR="00043CA2" w:rsidRPr="00F6262C" w:rsidRDefault="00043CA2" w:rsidP="00043CA2">
            <w:pPr>
              <w:spacing w:after="0" w:line="276" w:lineRule="auto"/>
              <w:jc w:val="center"/>
              <w:rPr>
                <w:rFonts w:ascii="Times New Roman" w:hAnsi="Times New Roman"/>
                <w:sz w:val="20"/>
                <w:szCs w:val="20"/>
                <w:lang w:val="en-GB"/>
              </w:rPr>
            </w:pPr>
            <w:r w:rsidRPr="00F6262C">
              <w:rPr>
                <w:rFonts w:ascii="Times New Roman" w:hAnsi="Times New Roman"/>
                <w:sz w:val="20"/>
                <w:szCs w:val="20"/>
                <w:lang w:val="en-GB"/>
              </w:rPr>
              <w:t>Sarcopenia</w:t>
            </w:r>
          </w:p>
        </w:tc>
        <w:tc>
          <w:tcPr>
            <w:tcW w:w="1102" w:type="dxa"/>
            <w:vMerge w:val="restart"/>
            <w:vAlign w:val="center"/>
          </w:tcPr>
          <w:p w14:paraId="063CEDC7" w14:textId="0322C445" w:rsidR="00043CA2" w:rsidRPr="00F6262C" w:rsidRDefault="00043CA2" w:rsidP="00043CA2">
            <w:pPr>
              <w:spacing w:after="0" w:line="276" w:lineRule="auto"/>
              <w:jc w:val="center"/>
              <w:rPr>
                <w:rFonts w:ascii="Times New Roman" w:hAnsi="Times New Roman"/>
                <w:sz w:val="20"/>
                <w:szCs w:val="20"/>
                <w:lang w:val="en-GB"/>
              </w:rPr>
            </w:pPr>
            <w:r w:rsidRPr="00F6262C">
              <w:rPr>
                <w:rFonts w:ascii="Times New Roman" w:hAnsi="Times New Roman"/>
                <w:sz w:val="20"/>
                <w:szCs w:val="20"/>
                <w:lang w:val="en-GB"/>
              </w:rPr>
              <w:t>Total</w:t>
            </w:r>
          </w:p>
        </w:tc>
      </w:tr>
      <w:tr w:rsidR="00E21250" w:rsidRPr="00F6262C" w14:paraId="4F9861FE" w14:textId="77777777" w:rsidTr="00043CA2">
        <w:trPr>
          <w:trHeight w:val="600"/>
        </w:trPr>
        <w:tc>
          <w:tcPr>
            <w:tcW w:w="2422" w:type="dxa"/>
            <w:gridSpan w:val="2"/>
            <w:vMerge/>
            <w:vAlign w:val="center"/>
            <w:hideMark/>
          </w:tcPr>
          <w:p w14:paraId="7FD2FE96" w14:textId="77777777" w:rsidR="00043CA2" w:rsidRPr="00F6262C" w:rsidRDefault="00043CA2" w:rsidP="00043CA2">
            <w:pPr>
              <w:spacing w:after="0" w:line="276" w:lineRule="auto"/>
              <w:jc w:val="center"/>
              <w:rPr>
                <w:rFonts w:ascii="Times New Roman" w:hAnsi="Times New Roman"/>
                <w:sz w:val="20"/>
                <w:szCs w:val="20"/>
                <w:lang w:val="en-GB"/>
              </w:rPr>
            </w:pPr>
          </w:p>
        </w:tc>
        <w:tc>
          <w:tcPr>
            <w:tcW w:w="1238" w:type="dxa"/>
            <w:vAlign w:val="center"/>
            <w:hideMark/>
          </w:tcPr>
          <w:p w14:paraId="5C7DAEA3" w14:textId="77777777" w:rsidR="00043CA2" w:rsidRPr="00F6262C" w:rsidRDefault="00043CA2" w:rsidP="00043CA2">
            <w:pPr>
              <w:spacing w:after="0" w:line="276" w:lineRule="auto"/>
              <w:jc w:val="center"/>
              <w:rPr>
                <w:rFonts w:ascii="Times New Roman" w:hAnsi="Times New Roman"/>
                <w:sz w:val="20"/>
                <w:szCs w:val="20"/>
                <w:lang w:val="en-GB"/>
              </w:rPr>
            </w:pPr>
            <w:r w:rsidRPr="00F6262C">
              <w:rPr>
                <w:rFonts w:ascii="Times New Roman" w:hAnsi="Times New Roman"/>
                <w:sz w:val="20"/>
                <w:szCs w:val="20"/>
                <w:lang w:val="en-GB"/>
              </w:rPr>
              <w:t>Without Sarcopenia</w:t>
            </w:r>
          </w:p>
        </w:tc>
        <w:tc>
          <w:tcPr>
            <w:tcW w:w="1238" w:type="dxa"/>
            <w:vAlign w:val="center"/>
            <w:hideMark/>
          </w:tcPr>
          <w:p w14:paraId="5CA17DA7" w14:textId="77777777" w:rsidR="00043CA2" w:rsidRPr="00F6262C" w:rsidRDefault="00043CA2" w:rsidP="00043CA2">
            <w:pPr>
              <w:spacing w:after="0" w:line="276" w:lineRule="auto"/>
              <w:jc w:val="center"/>
              <w:rPr>
                <w:rFonts w:ascii="Times New Roman" w:hAnsi="Times New Roman"/>
                <w:sz w:val="20"/>
                <w:szCs w:val="20"/>
                <w:lang w:val="en-GB"/>
              </w:rPr>
            </w:pPr>
            <w:r w:rsidRPr="00F6262C">
              <w:rPr>
                <w:rFonts w:ascii="Times New Roman" w:hAnsi="Times New Roman"/>
                <w:sz w:val="20"/>
                <w:szCs w:val="20"/>
                <w:lang w:val="en-GB"/>
              </w:rPr>
              <w:t>With Sarcopenia</w:t>
            </w:r>
          </w:p>
        </w:tc>
        <w:tc>
          <w:tcPr>
            <w:tcW w:w="1102" w:type="dxa"/>
            <w:vMerge/>
            <w:vAlign w:val="center"/>
            <w:hideMark/>
          </w:tcPr>
          <w:p w14:paraId="3A5E52B9" w14:textId="0744780C" w:rsidR="00043CA2" w:rsidRPr="00F6262C" w:rsidRDefault="00043CA2" w:rsidP="00043CA2">
            <w:pPr>
              <w:spacing w:after="0" w:line="276" w:lineRule="auto"/>
              <w:jc w:val="center"/>
              <w:rPr>
                <w:rFonts w:ascii="Times New Roman" w:hAnsi="Times New Roman"/>
                <w:sz w:val="20"/>
                <w:szCs w:val="20"/>
                <w:lang w:val="en-GB"/>
              </w:rPr>
            </w:pPr>
          </w:p>
        </w:tc>
      </w:tr>
      <w:tr w:rsidR="00E21250" w:rsidRPr="00F6262C" w14:paraId="5FE3689C" w14:textId="77777777" w:rsidTr="00043CA2">
        <w:trPr>
          <w:trHeight w:val="310"/>
        </w:trPr>
        <w:tc>
          <w:tcPr>
            <w:tcW w:w="1184" w:type="dxa"/>
            <w:vMerge w:val="restart"/>
            <w:vAlign w:val="center"/>
            <w:hideMark/>
          </w:tcPr>
          <w:p w14:paraId="23F41E7F" w14:textId="77777777" w:rsidR="003E6263" w:rsidRPr="00F6262C" w:rsidRDefault="003E6263" w:rsidP="00043CA2">
            <w:pPr>
              <w:spacing w:after="0" w:line="276" w:lineRule="auto"/>
              <w:jc w:val="center"/>
              <w:rPr>
                <w:rFonts w:ascii="Times New Roman" w:hAnsi="Times New Roman"/>
                <w:sz w:val="20"/>
                <w:szCs w:val="20"/>
                <w:lang w:val="en-GB"/>
              </w:rPr>
            </w:pPr>
            <w:r w:rsidRPr="00F6262C">
              <w:rPr>
                <w:rFonts w:ascii="Times New Roman" w:hAnsi="Times New Roman"/>
                <w:sz w:val="20"/>
                <w:szCs w:val="20"/>
                <w:lang w:val="en-GB"/>
              </w:rPr>
              <w:t>Frailty, according to the FTS5</w:t>
            </w:r>
          </w:p>
        </w:tc>
        <w:tc>
          <w:tcPr>
            <w:tcW w:w="1238" w:type="dxa"/>
            <w:vAlign w:val="center"/>
            <w:hideMark/>
          </w:tcPr>
          <w:p w14:paraId="6742C414" w14:textId="77777777" w:rsidR="003E6263" w:rsidRPr="00F6262C" w:rsidRDefault="003E6263" w:rsidP="00043CA2">
            <w:pPr>
              <w:spacing w:after="0" w:line="276" w:lineRule="auto"/>
              <w:jc w:val="center"/>
              <w:rPr>
                <w:rFonts w:ascii="Times New Roman" w:hAnsi="Times New Roman"/>
                <w:sz w:val="20"/>
                <w:szCs w:val="20"/>
                <w:lang w:val="en-GB"/>
              </w:rPr>
            </w:pPr>
            <w:r w:rsidRPr="00F6262C">
              <w:rPr>
                <w:rFonts w:ascii="Times New Roman" w:hAnsi="Times New Roman"/>
                <w:sz w:val="20"/>
                <w:szCs w:val="20"/>
                <w:lang w:val="en-GB"/>
              </w:rPr>
              <w:t>No frail</w:t>
            </w:r>
          </w:p>
        </w:tc>
        <w:tc>
          <w:tcPr>
            <w:tcW w:w="1238" w:type="dxa"/>
            <w:vAlign w:val="center"/>
            <w:hideMark/>
          </w:tcPr>
          <w:p w14:paraId="07691A39" w14:textId="77777777" w:rsidR="003E6263" w:rsidRPr="00F6262C" w:rsidRDefault="003E6263" w:rsidP="00043CA2">
            <w:pPr>
              <w:spacing w:after="0" w:line="276" w:lineRule="auto"/>
              <w:jc w:val="center"/>
              <w:rPr>
                <w:rFonts w:ascii="Times New Roman" w:hAnsi="Times New Roman"/>
                <w:sz w:val="20"/>
                <w:szCs w:val="20"/>
                <w:lang w:val="en-GB"/>
              </w:rPr>
            </w:pPr>
            <w:r w:rsidRPr="00F6262C">
              <w:rPr>
                <w:rFonts w:ascii="Times New Roman" w:hAnsi="Times New Roman"/>
                <w:sz w:val="20"/>
                <w:szCs w:val="20"/>
                <w:lang w:val="en-GB"/>
              </w:rPr>
              <w:t>1,027</w:t>
            </w:r>
          </w:p>
        </w:tc>
        <w:tc>
          <w:tcPr>
            <w:tcW w:w="1238" w:type="dxa"/>
            <w:vAlign w:val="center"/>
            <w:hideMark/>
          </w:tcPr>
          <w:p w14:paraId="661F9FD9" w14:textId="77777777" w:rsidR="003E6263" w:rsidRPr="00F6262C" w:rsidRDefault="003E6263" w:rsidP="00043CA2">
            <w:pPr>
              <w:spacing w:after="0" w:line="276" w:lineRule="auto"/>
              <w:jc w:val="center"/>
              <w:rPr>
                <w:rFonts w:ascii="Times New Roman" w:hAnsi="Times New Roman"/>
                <w:sz w:val="20"/>
                <w:szCs w:val="20"/>
                <w:lang w:val="en-GB"/>
              </w:rPr>
            </w:pPr>
            <w:r w:rsidRPr="00F6262C">
              <w:rPr>
                <w:rFonts w:ascii="Times New Roman" w:hAnsi="Times New Roman"/>
                <w:sz w:val="20"/>
                <w:szCs w:val="20"/>
                <w:lang w:val="en-GB"/>
              </w:rPr>
              <w:t>190</w:t>
            </w:r>
          </w:p>
        </w:tc>
        <w:tc>
          <w:tcPr>
            <w:tcW w:w="1102" w:type="dxa"/>
            <w:vAlign w:val="center"/>
            <w:hideMark/>
          </w:tcPr>
          <w:p w14:paraId="664428F0" w14:textId="77777777" w:rsidR="003E6263" w:rsidRPr="00F6262C" w:rsidRDefault="003E6263" w:rsidP="00043CA2">
            <w:pPr>
              <w:spacing w:after="0" w:line="276" w:lineRule="auto"/>
              <w:jc w:val="center"/>
              <w:rPr>
                <w:rFonts w:ascii="Times New Roman" w:hAnsi="Times New Roman"/>
                <w:sz w:val="20"/>
                <w:szCs w:val="20"/>
                <w:lang w:val="en-GB"/>
              </w:rPr>
            </w:pPr>
            <w:r w:rsidRPr="00F6262C">
              <w:rPr>
                <w:rFonts w:ascii="Times New Roman" w:hAnsi="Times New Roman"/>
                <w:sz w:val="20"/>
                <w:szCs w:val="20"/>
                <w:lang w:val="en-GB"/>
              </w:rPr>
              <w:t>1,217</w:t>
            </w:r>
          </w:p>
        </w:tc>
      </w:tr>
      <w:tr w:rsidR="00E21250" w:rsidRPr="00F6262C" w14:paraId="16DB8A0F" w14:textId="77777777" w:rsidTr="00043CA2">
        <w:trPr>
          <w:trHeight w:val="610"/>
        </w:trPr>
        <w:tc>
          <w:tcPr>
            <w:tcW w:w="1184" w:type="dxa"/>
            <w:vMerge/>
            <w:vAlign w:val="center"/>
            <w:hideMark/>
          </w:tcPr>
          <w:p w14:paraId="32311851" w14:textId="77777777" w:rsidR="003E6263" w:rsidRPr="00F6262C" w:rsidRDefault="003E6263" w:rsidP="00043CA2">
            <w:pPr>
              <w:spacing w:after="0" w:line="276" w:lineRule="auto"/>
              <w:jc w:val="center"/>
              <w:rPr>
                <w:rFonts w:ascii="Times New Roman" w:hAnsi="Times New Roman"/>
                <w:sz w:val="20"/>
                <w:szCs w:val="20"/>
                <w:lang w:val="en-GB"/>
              </w:rPr>
            </w:pPr>
          </w:p>
        </w:tc>
        <w:tc>
          <w:tcPr>
            <w:tcW w:w="1238" w:type="dxa"/>
            <w:vAlign w:val="center"/>
            <w:hideMark/>
          </w:tcPr>
          <w:p w14:paraId="207EA7A1" w14:textId="77777777" w:rsidR="003E6263" w:rsidRPr="00F6262C" w:rsidRDefault="003E6263" w:rsidP="00043CA2">
            <w:pPr>
              <w:spacing w:after="0" w:line="276" w:lineRule="auto"/>
              <w:jc w:val="center"/>
              <w:rPr>
                <w:rFonts w:ascii="Times New Roman" w:hAnsi="Times New Roman"/>
                <w:sz w:val="20"/>
                <w:szCs w:val="20"/>
                <w:lang w:val="en-GB"/>
              </w:rPr>
            </w:pPr>
            <w:r w:rsidRPr="00F6262C">
              <w:rPr>
                <w:rFonts w:ascii="Times New Roman" w:hAnsi="Times New Roman"/>
                <w:sz w:val="20"/>
                <w:szCs w:val="20"/>
                <w:lang w:val="en-GB"/>
              </w:rPr>
              <w:t>Frail</w:t>
            </w:r>
          </w:p>
        </w:tc>
        <w:tc>
          <w:tcPr>
            <w:tcW w:w="1238" w:type="dxa"/>
            <w:vAlign w:val="center"/>
            <w:hideMark/>
          </w:tcPr>
          <w:p w14:paraId="35F19AEA" w14:textId="77777777" w:rsidR="003E6263" w:rsidRPr="00F6262C" w:rsidRDefault="003E6263" w:rsidP="00043CA2">
            <w:pPr>
              <w:spacing w:after="0" w:line="276" w:lineRule="auto"/>
              <w:jc w:val="center"/>
              <w:rPr>
                <w:rFonts w:ascii="Times New Roman" w:hAnsi="Times New Roman"/>
                <w:sz w:val="20"/>
                <w:szCs w:val="20"/>
                <w:lang w:val="en-GB"/>
              </w:rPr>
            </w:pPr>
            <w:r w:rsidRPr="00F6262C">
              <w:rPr>
                <w:rFonts w:ascii="Times New Roman" w:hAnsi="Times New Roman"/>
                <w:sz w:val="20"/>
                <w:szCs w:val="20"/>
                <w:lang w:val="en-GB"/>
              </w:rPr>
              <w:t>28</w:t>
            </w:r>
          </w:p>
        </w:tc>
        <w:tc>
          <w:tcPr>
            <w:tcW w:w="1238" w:type="dxa"/>
            <w:vAlign w:val="center"/>
            <w:hideMark/>
          </w:tcPr>
          <w:p w14:paraId="10D0CB2B" w14:textId="77777777" w:rsidR="003E6263" w:rsidRPr="00F6262C" w:rsidRDefault="003E6263" w:rsidP="00043CA2">
            <w:pPr>
              <w:spacing w:after="0" w:line="276" w:lineRule="auto"/>
              <w:jc w:val="center"/>
              <w:rPr>
                <w:rFonts w:ascii="Times New Roman" w:hAnsi="Times New Roman"/>
                <w:sz w:val="20"/>
                <w:szCs w:val="20"/>
                <w:lang w:val="en-GB"/>
              </w:rPr>
            </w:pPr>
            <w:r w:rsidRPr="00F6262C">
              <w:rPr>
                <w:rFonts w:ascii="Times New Roman" w:hAnsi="Times New Roman"/>
                <w:sz w:val="20"/>
                <w:szCs w:val="20"/>
                <w:lang w:val="en-GB"/>
              </w:rPr>
              <w:t>114</w:t>
            </w:r>
          </w:p>
        </w:tc>
        <w:tc>
          <w:tcPr>
            <w:tcW w:w="1102" w:type="dxa"/>
            <w:vAlign w:val="center"/>
            <w:hideMark/>
          </w:tcPr>
          <w:p w14:paraId="350EE107" w14:textId="77777777" w:rsidR="003E6263" w:rsidRPr="00F6262C" w:rsidRDefault="003E6263" w:rsidP="00043CA2">
            <w:pPr>
              <w:spacing w:after="0" w:line="276" w:lineRule="auto"/>
              <w:jc w:val="center"/>
              <w:rPr>
                <w:rFonts w:ascii="Times New Roman" w:hAnsi="Times New Roman"/>
                <w:sz w:val="20"/>
                <w:szCs w:val="20"/>
                <w:lang w:val="en-GB"/>
              </w:rPr>
            </w:pPr>
            <w:r w:rsidRPr="00F6262C">
              <w:rPr>
                <w:rFonts w:ascii="Times New Roman" w:hAnsi="Times New Roman"/>
                <w:sz w:val="20"/>
                <w:szCs w:val="20"/>
                <w:lang w:val="en-GB"/>
              </w:rPr>
              <w:t>142</w:t>
            </w:r>
          </w:p>
        </w:tc>
      </w:tr>
      <w:tr w:rsidR="00E21250" w:rsidRPr="00F6262C" w14:paraId="57D638D0" w14:textId="77777777" w:rsidTr="00043CA2">
        <w:trPr>
          <w:trHeight w:val="600"/>
        </w:trPr>
        <w:tc>
          <w:tcPr>
            <w:tcW w:w="1184" w:type="dxa"/>
            <w:vMerge w:val="restart"/>
            <w:vAlign w:val="center"/>
            <w:hideMark/>
          </w:tcPr>
          <w:p w14:paraId="7F4C23FB" w14:textId="77777777" w:rsidR="003E6263" w:rsidRPr="00F6262C" w:rsidRDefault="003E6263" w:rsidP="00043CA2">
            <w:pPr>
              <w:spacing w:after="0" w:line="276" w:lineRule="auto"/>
              <w:jc w:val="center"/>
              <w:rPr>
                <w:rFonts w:ascii="Times New Roman" w:hAnsi="Times New Roman"/>
                <w:sz w:val="20"/>
                <w:szCs w:val="20"/>
                <w:lang w:val="en-GB"/>
              </w:rPr>
            </w:pPr>
            <w:r w:rsidRPr="00F6262C">
              <w:rPr>
                <w:rFonts w:ascii="Times New Roman" w:hAnsi="Times New Roman"/>
                <w:sz w:val="20"/>
                <w:szCs w:val="20"/>
                <w:lang w:val="en-GB"/>
              </w:rPr>
              <w:t>Frailty, according to the FI</w:t>
            </w:r>
          </w:p>
        </w:tc>
        <w:tc>
          <w:tcPr>
            <w:tcW w:w="1238" w:type="dxa"/>
            <w:vAlign w:val="center"/>
            <w:hideMark/>
          </w:tcPr>
          <w:p w14:paraId="270D5FC7" w14:textId="77777777" w:rsidR="003E6263" w:rsidRPr="00F6262C" w:rsidRDefault="003E6263" w:rsidP="00043CA2">
            <w:pPr>
              <w:spacing w:after="0" w:line="276" w:lineRule="auto"/>
              <w:jc w:val="center"/>
              <w:rPr>
                <w:rFonts w:ascii="Times New Roman" w:hAnsi="Times New Roman"/>
                <w:sz w:val="20"/>
                <w:szCs w:val="20"/>
                <w:lang w:val="en-GB"/>
              </w:rPr>
            </w:pPr>
            <w:r w:rsidRPr="00F6262C">
              <w:rPr>
                <w:rFonts w:ascii="Times New Roman" w:hAnsi="Times New Roman"/>
                <w:sz w:val="20"/>
                <w:szCs w:val="20"/>
                <w:lang w:val="en-GB"/>
              </w:rPr>
              <w:t>No frail</w:t>
            </w:r>
          </w:p>
        </w:tc>
        <w:tc>
          <w:tcPr>
            <w:tcW w:w="1238" w:type="dxa"/>
            <w:vAlign w:val="center"/>
            <w:hideMark/>
          </w:tcPr>
          <w:p w14:paraId="4720180E" w14:textId="77777777" w:rsidR="003E6263" w:rsidRPr="00F6262C" w:rsidRDefault="003E6263" w:rsidP="00043CA2">
            <w:pPr>
              <w:spacing w:after="0" w:line="276" w:lineRule="auto"/>
              <w:jc w:val="center"/>
              <w:rPr>
                <w:rFonts w:ascii="Times New Roman" w:hAnsi="Times New Roman"/>
                <w:sz w:val="20"/>
                <w:szCs w:val="20"/>
                <w:lang w:val="en-GB"/>
              </w:rPr>
            </w:pPr>
            <w:r w:rsidRPr="00F6262C">
              <w:rPr>
                <w:rFonts w:ascii="Times New Roman" w:hAnsi="Times New Roman"/>
                <w:sz w:val="20"/>
                <w:szCs w:val="20"/>
                <w:lang w:val="en-GB"/>
              </w:rPr>
              <w:t>1,025</w:t>
            </w:r>
          </w:p>
        </w:tc>
        <w:tc>
          <w:tcPr>
            <w:tcW w:w="1238" w:type="dxa"/>
            <w:vAlign w:val="center"/>
            <w:hideMark/>
          </w:tcPr>
          <w:p w14:paraId="3547A4DB" w14:textId="77777777" w:rsidR="003E6263" w:rsidRPr="00F6262C" w:rsidRDefault="003E6263" w:rsidP="00043CA2">
            <w:pPr>
              <w:spacing w:after="0" w:line="276" w:lineRule="auto"/>
              <w:jc w:val="center"/>
              <w:rPr>
                <w:rFonts w:ascii="Times New Roman" w:hAnsi="Times New Roman"/>
                <w:sz w:val="20"/>
                <w:szCs w:val="20"/>
                <w:lang w:val="en-GB"/>
              </w:rPr>
            </w:pPr>
            <w:r w:rsidRPr="00F6262C">
              <w:rPr>
                <w:rFonts w:ascii="Times New Roman" w:hAnsi="Times New Roman"/>
                <w:sz w:val="20"/>
                <w:szCs w:val="20"/>
                <w:lang w:val="en-GB"/>
              </w:rPr>
              <w:t>251</w:t>
            </w:r>
          </w:p>
        </w:tc>
        <w:tc>
          <w:tcPr>
            <w:tcW w:w="1102" w:type="dxa"/>
            <w:vAlign w:val="center"/>
            <w:hideMark/>
          </w:tcPr>
          <w:p w14:paraId="188C423F" w14:textId="77777777" w:rsidR="003E6263" w:rsidRPr="00F6262C" w:rsidRDefault="003E6263" w:rsidP="00043CA2">
            <w:pPr>
              <w:spacing w:after="0" w:line="276" w:lineRule="auto"/>
              <w:jc w:val="center"/>
              <w:rPr>
                <w:rFonts w:ascii="Times New Roman" w:hAnsi="Times New Roman"/>
                <w:sz w:val="20"/>
                <w:szCs w:val="20"/>
                <w:lang w:val="en-GB"/>
              </w:rPr>
            </w:pPr>
            <w:r w:rsidRPr="00F6262C">
              <w:rPr>
                <w:rFonts w:ascii="Times New Roman" w:hAnsi="Times New Roman"/>
                <w:sz w:val="20"/>
                <w:szCs w:val="20"/>
                <w:lang w:val="en-GB"/>
              </w:rPr>
              <w:t>1,276</w:t>
            </w:r>
          </w:p>
        </w:tc>
      </w:tr>
      <w:tr w:rsidR="00E21250" w:rsidRPr="00F6262C" w14:paraId="525585DA" w14:textId="77777777" w:rsidTr="00043CA2">
        <w:trPr>
          <w:trHeight w:val="310"/>
        </w:trPr>
        <w:tc>
          <w:tcPr>
            <w:tcW w:w="1184" w:type="dxa"/>
            <w:vMerge/>
            <w:vAlign w:val="center"/>
            <w:hideMark/>
          </w:tcPr>
          <w:p w14:paraId="504E59CE" w14:textId="77777777" w:rsidR="003E6263" w:rsidRPr="00F6262C" w:rsidRDefault="003E6263" w:rsidP="00043CA2">
            <w:pPr>
              <w:spacing w:after="0" w:line="276" w:lineRule="auto"/>
              <w:jc w:val="center"/>
              <w:rPr>
                <w:rFonts w:ascii="Times New Roman" w:hAnsi="Times New Roman"/>
                <w:sz w:val="20"/>
                <w:szCs w:val="20"/>
                <w:lang w:val="en-GB"/>
              </w:rPr>
            </w:pPr>
          </w:p>
        </w:tc>
        <w:tc>
          <w:tcPr>
            <w:tcW w:w="1238" w:type="dxa"/>
            <w:vAlign w:val="center"/>
            <w:hideMark/>
          </w:tcPr>
          <w:p w14:paraId="68D8104C" w14:textId="77777777" w:rsidR="003E6263" w:rsidRPr="00F6262C" w:rsidRDefault="003E6263" w:rsidP="00043CA2">
            <w:pPr>
              <w:spacing w:after="0" w:line="276" w:lineRule="auto"/>
              <w:jc w:val="center"/>
              <w:rPr>
                <w:rFonts w:ascii="Times New Roman" w:hAnsi="Times New Roman"/>
                <w:sz w:val="20"/>
                <w:szCs w:val="20"/>
                <w:lang w:val="en-GB"/>
              </w:rPr>
            </w:pPr>
            <w:r w:rsidRPr="00F6262C">
              <w:rPr>
                <w:rFonts w:ascii="Times New Roman" w:hAnsi="Times New Roman"/>
                <w:sz w:val="20"/>
                <w:szCs w:val="20"/>
                <w:lang w:val="en-GB"/>
              </w:rPr>
              <w:t>Frail</w:t>
            </w:r>
          </w:p>
        </w:tc>
        <w:tc>
          <w:tcPr>
            <w:tcW w:w="1238" w:type="dxa"/>
            <w:vAlign w:val="center"/>
            <w:hideMark/>
          </w:tcPr>
          <w:p w14:paraId="43F612FE" w14:textId="77777777" w:rsidR="003E6263" w:rsidRPr="00F6262C" w:rsidRDefault="003E6263" w:rsidP="00043CA2">
            <w:pPr>
              <w:spacing w:after="0" w:line="276" w:lineRule="auto"/>
              <w:jc w:val="center"/>
              <w:rPr>
                <w:rFonts w:ascii="Times New Roman" w:hAnsi="Times New Roman"/>
                <w:sz w:val="20"/>
                <w:szCs w:val="20"/>
                <w:lang w:val="en-GB"/>
              </w:rPr>
            </w:pPr>
            <w:r w:rsidRPr="00F6262C">
              <w:rPr>
                <w:rFonts w:ascii="Times New Roman" w:hAnsi="Times New Roman"/>
                <w:sz w:val="20"/>
                <w:szCs w:val="20"/>
                <w:lang w:val="en-GB"/>
              </w:rPr>
              <w:t>30</w:t>
            </w:r>
          </w:p>
        </w:tc>
        <w:tc>
          <w:tcPr>
            <w:tcW w:w="1238" w:type="dxa"/>
            <w:vAlign w:val="center"/>
            <w:hideMark/>
          </w:tcPr>
          <w:p w14:paraId="52437CE1" w14:textId="77777777" w:rsidR="003E6263" w:rsidRPr="00F6262C" w:rsidRDefault="003E6263" w:rsidP="00043CA2">
            <w:pPr>
              <w:spacing w:after="0" w:line="276" w:lineRule="auto"/>
              <w:jc w:val="center"/>
              <w:rPr>
                <w:rFonts w:ascii="Times New Roman" w:hAnsi="Times New Roman"/>
                <w:sz w:val="20"/>
                <w:szCs w:val="20"/>
                <w:lang w:val="en-GB"/>
              </w:rPr>
            </w:pPr>
            <w:r w:rsidRPr="00F6262C">
              <w:rPr>
                <w:rFonts w:ascii="Times New Roman" w:hAnsi="Times New Roman"/>
                <w:sz w:val="20"/>
                <w:szCs w:val="20"/>
                <w:lang w:val="en-GB"/>
              </w:rPr>
              <w:t>53</w:t>
            </w:r>
          </w:p>
        </w:tc>
        <w:tc>
          <w:tcPr>
            <w:tcW w:w="1102" w:type="dxa"/>
            <w:vAlign w:val="center"/>
            <w:hideMark/>
          </w:tcPr>
          <w:p w14:paraId="021A9F14" w14:textId="77777777" w:rsidR="003E6263" w:rsidRPr="00F6262C" w:rsidRDefault="003E6263" w:rsidP="00043CA2">
            <w:pPr>
              <w:spacing w:after="0" w:line="276" w:lineRule="auto"/>
              <w:jc w:val="center"/>
              <w:rPr>
                <w:rFonts w:ascii="Times New Roman" w:hAnsi="Times New Roman"/>
                <w:sz w:val="20"/>
                <w:szCs w:val="20"/>
                <w:lang w:val="en-GB"/>
              </w:rPr>
            </w:pPr>
            <w:r w:rsidRPr="00F6262C">
              <w:rPr>
                <w:rFonts w:ascii="Times New Roman" w:hAnsi="Times New Roman"/>
                <w:sz w:val="20"/>
                <w:szCs w:val="20"/>
                <w:lang w:val="en-GB"/>
              </w:rPr>
              <w:t>83</w:t>
            </w:r>
          </w:p>
        </w:tc>
      </w:tr>
      <w:tr w:rsidR="00E21250" w:rsidRPr="00F6262C" w14:paraId="607BDD1C" w14:textId="77777777" w:rsidTr="00043CA2">
        <w:trPr>
          <w:trHeight w:val="610"/>
        </w:trPr>
        <w:tc>
          <w:tcPr>
            <w:tcW w:w="2422" w:type="dxa"/>
            <w:gridSpan w:val="2"/>
            <w:vAlign w:val="center"/>
            <w:hideMark/>
          </w:tcPr>
          <w:p w14:paraId="35FCCFE5" w14:textId="77777777" w:rsidR="003E6263" w:rsidRPr="00F6262C" w:rsidRDefault="003E6263" w:rsidP="00043CA2">
            <w:pPr>
              <w:spacing w:after="0" w:line="276" w:lineRule="auto"/>
              <w:jc w:val="center"/>
              <w:rPr>
                <w:rFonts w:ascii="Times New Roman" w:hAnsi="Times New Roman"/>
                <w:sz w:val="20"/>
                <w:szCs w:val="20"/>
                <w:lang w:val="en-GB"/>
              </w:rPr>
            </w:pPr>
            <w:r w:rsidRPr="00F6262C">
              <w:rPr>
                <w:rFonts w:ascii="Times New Roman" w:hAnsi="Times New Roman"/>
                <w:sz w:val="20"/>
                <w:szCs w:val="20"/>
                <w:lang w:val="en-GB"/>
              </w:rPr>
              <w:t>Total</w:t>
            </w:r>
          </w:p>
        </w:tc>
        <w:tc>
          <w:tcPr>
            <w:tcW w:w="1238" w:type="dxa"/>
            <w:vAlign w:val="center"/>
            <w:hideMark/>
          </w:tcPr>
          <w:p w14:paraId="3EC04A8D" w14:textId="77777777" w:rsidR="003E6263" w:rsidRPr="00F6262C" w:rsidRDefault="003E6263" w:rsidP="00043CA2">
            <w:pPr>
              <w:spacing w:after="0" w:line="276" w:lineRule="auto"/>
              <w:jc w:val="center"/>
              <w:rPr>
                <w:rFonts w:ascii="Times New Roman" w:hAnsi="Times New Roman"/>
                <w:sz w:val="20"/>
                <w:szCs w:val="20"/>
                <w:lang w:val="en-GB"/>
              </w:rPr>
            </w:pPr>
            <w:r w:rsidRPr="00F6262C">
              <w:rPr>
                <w:rFonts w:ascii="Times New Roman" w:hAnsi="Times New Roman"/>
                <w:sz w:val="20"/>
                <w:szCs w:val="20"/>
                <w:lang w:val="en-GB"/>
              </w:rPr>
              <w:t>1,055</w:t>
            </w:r>
          </w:p>
        </w:tc>
        <w:tc>
          <w:tcPr>
            <w:tcW w:w="1238" w:type="dxa"/>
            <w:vAlign w:val="center"/>
            <w:hideMark/>
          </w:tcPr>
          <w:p w14:paraId="71F8CC33" w14:textId="77777777" w:rsidR="003E6263" w:rsidRPr="00F6262C" w:rsidRDefault="003E6263" w:rsidP="00043CA2">
            <w:pPr>
              <w:spacing w:after="0" w:line="276" w:lineRule="auto"/>
              <w:jc w:val="center"/>
              <w:rPr>
                <w:rFonts w:ascii="Times New Roman" w:hAnsi="Times New Roman"/>
                <w:sz w:val="20"/>
                <w:szCs w:val="20"/>
                <w:lang w:val="en-GB"/>
              </w:rPr>
            </w:pPr>
            <w:r w:rsidRPr="00F6262C">
              <w:rPr>
                <w:rFonts w:ascii="Times New Roman" w:hAnsi="Times New Roman"/>
                <w:sz w:val="20"/>
                <w:szCs w:val="20"/>
                <w:lang w:val="en-GB"/>
              </w:rPr>
              <w:t>304</w:t>
            </w:r>
          </w:p>
        </w:tc>
        <w:tc>
          <w:tcPr>
            <w:tcW w:w="1102" w:type="dxa"/>
            <w:vAlign w:val="center"/>
            <w:hideMark/>
          </w:tcPr>
          <w:p w14:paraId="70BEBD94" w14:textId="77777777" w:rsidR="003E6263" w:rsidRPr="00F6262C" w:rsidRDefault="003E6263" w:rsidP="00043CA2">
            <w:pPr>
              <w:spacing w:after="0" w:line="276" w:lineRule="auto"/>
              <w:jc w:val="center"/>
              <w:rPr>
                <w:rFonts w:ascii="Times New Roman" w:hAnsi="Times New Roman"/>
                <w:sz w:val="20"/>
                <w:szCs w:val="20"/>
                <w:lang w:val="en-GB"/>
              </w:rPr>
            </w:pPr>
            <w:r w:rsidRPr="00F6262C">
              <w:rPr>
                <w:rFonts w:ascii="Times New Roman" w:hAnsi="Times New Roman"/>
                <w:sz w:val="20"/>
                <w:szCs w:val="20"/>
                <w:lang w:val="en-GB"/>
              </w:rPr>
              <w:t>1,359</w:t>
            </w:r>
          </w:p>
        </w:tc>
      </w:tr>
    </w:tbl>
    <w:p w14:paraId="5918E9CA" w14:textId="529DCA7F" w:rsidR="007C4C75" w:rsidRPr="00F6262C" w:rsidRDefault="00C0084C" w:rsidP="006C0463">
      <w:pPr>
        <w:spacing w:line="240" w:lineRule="auto"/>
        <w:jc w:val="both"/>
        <w:rPr>
          <w:rFonts w:ascii="Times New Roman" w:hAnsi="Times New Roman"/>
          <w:sz w:val="20"/>
          <w:szCs w:val="20"/>
          <w:lang w:val="en-GB"/>
        </w:rPr>
      </w:pPr>
      <w:r w:rsidRPr="00F6262C">
        <w:rPr>
          <w:rFonts w:ascii="Times New Roman" w:hAnsi="Times New Roman"/>
          <w:sz w:val="20"/>
          <w:szCs w:val="20"/>
          <w:lang w:val="en-GB"/>
        </w:rPr>
        <w:t xml:space="preserve">FTS5: Frailty Trait Scale 5. FI: Frailty Index. </w:t>
      </w:r>
    </w:p>
    <w:sectPr w:rsidR="007C4C75" w:rsidRPr="00F6262C" w:rsidSect="00693844">
      <w:footerReference w:type="default" r:id="rId8"/>
      <w:pgSz w:w="11906" w:h="16838"/>
      <w:pgMar w:top="1418" w:right="1701" w:bottom="1418" w:left="1701" w:header="709" w:footer="709"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64B0A4" w14:textId="77777777" w:rsidR="008A58DA" w:rsidRDefault="008A58DA" w:rsidP="00C83CC8">
      <w:pPr>
        <w:spacing w:after="0" w:line="240" w:lineRule="auto"/>
      </w:pPr>
      <w:r>
        <w:separator/>
      </w:r>
    </w:p>
  </w:endnote>
  <w:endnote w:type="continuationSeparator" w:id="0">
    <w:p w14:paraId="4D09082F" w14:textId="77777777" w:rsidR="008A58DA" w:rsidRDefault="008A58DA" w:rsidP="00C83C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dvTT378de93d">
    <w:altName w:val="Cambri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EB124" w14:textId="77777777" w:rsidR="00C83CC8" w:rsidRDefault="00C83CC8">
    <w:pPr>
      <w:pStyle w:val="Piedepgina"/>
      <w:jc w:val="center"/>
    </w:pPr>
    <w:r>
      <w:fldChar w:fldCharType="begin"/>
    </w:r>
    <w:r>
      <w:instrText>PAGE   \* MERGEFORMAT</w:instrText>
    </w:r>
    <w:r>
      <w:fldChar w:fldCharType="separate"/>
    </w:r>
    <w:r>
      <w:t>2</w:t>
    </w:r>
    <w:r>
      <w:fldChar w:fldCharType="end"/>
    </w:r>
  </w:p>
  <w:p w14:paraId="22BE7F8E" w14:textId="77777777" w:rsidR="00C83CC8" w:rsidRDefault="00C83CC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5CEA7B" w14:textId="77777777" w:rsidR="008A58DA" w:rsidRDefault="008A58DA" w:rsidP="00C83CC8">
      <w:pPr>
        <w:spacing w:after="0" w:line="240" w:lineRule="auto"/>
      </w:pPr>
      <w:r>
        <w:separator/>
      </w:r>
    </w:p>
  </w:footnote>
  <w:footnote w:type="continuationSeparator" w:id="0">
    <w:p w14:paraId="7272FF5A" w14:textId="77777777" w:rsidR="008A58DA" w:rsidRDefault="008A58DA" w:rsidP="00C83CC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83D83"/>
    <w:multiLevelType w:val="hybridMultilevel"/>
    <w:tmpl w:val="B0FC5E1C"/>
    <w:lvl w:ilvl="0" w:tplc="4342A926">
      <w:start w:val="2"/>
      <w:numFmt w:val="bullet"/>
      <w:lvlText w:val="-"/>
      <w:lvlJc w:val="left"/>
      <w:rPr>
        <w:rFonts w:ascii="Times New Roman" w:eastAsia="Calibr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39A4774B"/>
    <w:multiLevelType w:val="multilevel"/>
    <w:tmpl w:val="8FA67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050C4C"/>
    <w:multiLevelType w:val="multilevel"/>
    <w:tmpl w:val="E5CC8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80647AB"/>
    <w:multiLevelType w:val="hybridMultilevel"/>
    <w:tmpl w:val="C9EC067C"/>
    <w:lvl w:ilvl="0" w:tplc="32DA6366">
      <w:numFmt w:val="bullet"/>
      <w:lvlText w:val="-"/>
      <w:lvlJc w:val="left"/>
      <w:rPr>
        <w:rFonts w:ascii="Calibri" w:eastAsia="Calibri" w:hAnsi="Calibri"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4" w15:restartNumberingAfterBreak="0">
    <w:nsid w:val="7582412C"/>
    <w:multiLevelType w:val="hybridMultilevel"/>
    <w:tmpl w:val="853263FC"/>
    <w:lvl w:ilvl="0" w:tplc="081A41F4">
      <w:numFmt w:val="bullet"/>
      <w:lvlText w:val="-"/>
      <w:lvlJc w:val="left"/>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770F56B9"/>
    <w:multiLevelType w:val="hybridMultilevel"/>
    <w:tmpl w:val="CC7C2C16"/>
    <w:lvl w:ilvl="0" w:tplc="AE988E98">
      <w:start w:val="1"/>
      <w:numFmt w:val="low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78A239D0"/>
    <w:multiLevelType w:val="multilevel"/>
    <w:tmpl w:val="254AF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98774D9"/>
    <w:multiLevelType w:val="hybridMultilevel"/>
    <w:tmpl w:val="ECE6EF54"/>
    <w:lvl w:ilvl="0" w:tplc="8682B18C">
      <w:start w:val="2"/>
      <w:numFmt w:val="bullet"/>
      <w:lvlText w:val="-"/>
      <w:lvlJc w:val="left"/>
      <w:rPr>
        <w:rFonts w:ascii="AdvTT378de93d" w:eastAsia="Calibri" w:hAnsi="AdvTT378de93d" w:cs="AdvTT378de93d" w:hint="default"/>
        <w:color w:val="000000"/>
        <w:sz w:val="21"/>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8895901">
    <w:abstractNumId w:val="6"/>
  </w:num>
  <w:num w:numId="2" w16cid:durableId="383605201">
    <w:abstractNumId w:val="0"/>
  </w:num>
  <w:num w:numId="3" w16cid:durableId="157817528">
    <w:abstractNumId w:val="7"/>
  </w:num>
  <w:num w:numId="4" w16cid:durableId="1249342697">
    <w:abstractNumId w:val="3"/>
  </w:num>
  <w:num w:numId="5" w16cid:durableId="994458437">
    <w:abstractNumId w:val="1"/>
  </w:num>
  <w:num w:numId="6" w16cid:durableId="623198841">
    <w:abstractNumId w:val="4"/>
  </w:num>
  <w:num w:numId="7" w16cid:durableId="1073697996">
    <w:abstractNumId w:val="5"/>
  </w:num>
  <w:num w:numId="8" w16cid:durableId="17955558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3DB"/>
    <w:rsid w:val="00002E5D"/>
    <w:rsid w:val="0000557A"/>
    <w:rsid w:val="00005AA5"/>
    <w:rsid w:val="0000601E"/>
    <w:rsid w:val="00006740"/>
    <w:rsid w:val="00006CF9"/>
    <w:rsid w:val="00012973"/>
    <w:rsid w:val="00015D98"/>
    <w:rsid w:val="0001693B"/>
    <w:rsid w:val="000300A4"/>
    <w:rsid w:val="000302F1"/>
    <w:rsid w:val="00030DCB"/>
    <w:rsid w:val="000314AE"/>
    <w:rsid w:val="00034984"/>
    <w:rsid w:val="000354C8"/>
    <w:rsid w:val="00037108"/>
    <w:rsid w:val="000439D2"/>
    <w:rsid w:val="00043C83"/>
    <w:rsid w:val="00043CA2"/>
    <w:rsid w:val="00043E6E"/>
    <w:rsid w:val="0004421A"/>
    <w:rsid w:val="000458A2"/>
    <w:rsid w:val="00046BCA"/>
    <w:rsid w:val="00050079"/>
    <w:rsid w:val="000540A7"/>
    <w:rsid w:val="00054C43"/>
    <w:rsid w:val="000550C5"/>
    <w:rsid w:val="00056082"/>
    <w:rsid w:val="00056689"/>
    <w:rsid w:val="00056E7F"/>
    <w:rsid w:val="00060CE1"/>
    <w:rsid w:val="000618F9"/>
    <w:rsid w:val="00062422"/>
    <w:rsid w:val="00063ECD"/>
    <w:rsid w:val="000640FA"/>
    <w:rsid w:val="000653F6"/>
    <w:rsid w:val="0006573F"/>
    <w:rsid w:val="00065921"/>
    <w:rsid w:val="000720B9"/>
    <w:rsid w:val="0007633C"/>
    <w:rsid w:val="00081282"/>
    <w:rsid w:val="000822EC"/>
    <w:rsid w:val="00091E46"/>
    <w:rsid w:val="00091FE1"/>
    <w:rsid w:val="00092DF7"/>
    <w:rsid w:val="00096BE3"/>
    <w:rsid w:val="0009703C"/>
    <w:rsid w:val="00097FAC"/>
    <w:rsid w:val="000A060C"/>
    <w:rsid w:val="000A1168"/>
    <w:rsid w:val="000A1DC3"/>
    <w:rsid w:val="000A1F91"/>
    <w:rsid w:val="000A449F"/>
    <w:rsid w:val="000A512E"/>
    <w:rsid w:val="000B3FF3"/>
    <w:rsid w:val="000B40E1"/>
    <w:rsid w:val="000B5321"/>
    <w:rsid w:val="000B6317"/>
    <w:rsid w:val="000B66A2"/>
    <w:rsid w:val="000C05C2"/>
    <w:rsid w:val="000C0F7E"/>
    <w:rsid w:val="000C113C"/>
    <w:rsid w:val="000C543E"/>
    <w:rsid w:val="000D0E74"/>
    <w:rsid w:val="000D6B66"/>
    <w:rsid w:val="000E5E26"/>
    <w:rsid w:val="000E7D13"/>
    <w:rsid w:val="000F0757"/>
    <w:rsid w:val="000F2562"/>
    <w:rsid w:val="000F4FFA"/>
    <w:rsid w:val="00102592"/>
    <w:rsid w:val="00107BC2"/>
    <w:rsid w:val="00107FC8"/>
    <w:rsid w:val="0011551A"/>
    <w:rsid w:val="0011624D"/>
    <w:rsid w:val="00123917"/>
    <w:rsid w:val="00124ED5"/>
    <w:rsid w:val="00126FF9"/>
    <w:rsid w:val="00127BF3"/>
    <w:rsid w:val="00130DA0"/>
    <w:rsid w:val="00132318"/>
    <w:rsid w:val="00133197"/>
    <w:rsid w:val="001342B9"/>
    <w:rsid w:val="00145E84"/>
    <w:rsid w:val="0015441C"/>
    <w:rsid w:val="001615B3"/>
    <w:rsid w:val="00161FF4"/>
    <w:rsid w:val="001631C5"/>
    <w:rsid w:val="001633CF"/>
    <w:rsid w:val="00164CC6"/>
    <w:rsid w:val="00164EB4"/>
    <w:rsid w:val="00164FA7"/>
    <w:rsid w:val="001833E1"/>
    <w:rsid w:val="001844C3"/>
    <w:rsid w:val="001871ED"/>
    <w:rsid w:val="00191BE1"/>
    <w:rsid w:val="001936F4"/>
    <w:rsid w:val="00196F0D"/>
    <w:rsid w:val="001A2E68"/>
    <w:rsid w:val="001A3057"/>
    <w:rsid w:val="001A3600"/>
    <w:rsid w:val="001A4D8C"/>
    <w:rsid w:val="001B5510"/>
    <w:rsid w:val="001B60C8"/>
    <w:rsid w:val="001B6ECA"/>
    <w:rsid w:val="001C09EE"/>
    <w:rsid w:val="001C2004"/>
    <w:rsid w:val="001C5FF8"/>
    <w:rsid w:val="001C6EB9"/>
    <w:rsid w:val="001D4BC5"/>
    <w:rsid w:val="001D4E12"/>
    <w:rsid w:val="001D55CC"/>
    <w:rsid w:val="001D6A75"/>
    <w:rsid w:val="001D78FF"/>
    <w:rsid w:val="001E03A7"/>
    <w:rsid w:val="001E0BA5"/>
    <w:rsid w:val="001E1CAB"/>
    <w:rsid w:val="001E29B0"/>
    <w:rsid w:val="001E3B2A"/>
    <w:rsid w:val="001E6B46"/>
    <w:rsid w:val="001F0984"/>
    <w:rsid w:val="001F37AD"/>
    <w:rsid w:val="001F4941"/>
    <w:rsid w:val="0020302F"/>
    <w:rsid w:val="00212737"/>
    <w:rsid w:val="00212BE0"/>
    <w:rsid w:val="00221082"/>
    <w:rsid w:val="00224292"/>
    <w:rsid w:val="0022553E"/>
    <w:rsid w:val="0022578B"/>
    <w:rsid w:val="00230B60"/>
    <w:rsid w:val="00231854"/>
    <w:rsid w:val="00231ADE"/>
    <w:rsid w:val="002334DC"/>
    <w:rsid w:val="00234F40"/>
    <w:rsid w:val="00236A7E"/>
    <w:rsid w:val="002373EF"/>
    <w:rsid w:val="00240C28"/>
    <w:rsid w:val="00240F3B"/>
    <w:rsid w:val="002423BE"/>
    <w:rsid w:val="002424DD"/>
    <w:rsid w:val="00242675"/>
    <w:rsid w:val="00247BB3"/>
    <w:rsid w:val="00252D6F"/>
    <w:rsid w:val="00260CAD"/>
    <w:rsid w:val="00266BED"/>
    <w:rsid w:val="002675D5"/>
    <w:rsid w:val="00272F4E"/>
    <w:rsid w:val="002773FD"/>
    <w:rsid w:val="00280D93"/>
    <w:rsid w:val="00281537"/>
    <w:rsid w:val="002864BD"/>
    <w:rsid w:val="00290CD1"/>
    <w:rsid w:val="00290FE0"/>
    <w:rsid w:val="00292E8D"/>
    <w:rsid w:val="0029772B"/>
    <w:rsid w:val="002A047E"/>
    <w:rsid w:val="002A709E"/>
    <w:rsid w:val="002B0E01"/>
    <w:rsid w:val="002B23FB"/>
    <w:rsid w:val="002B343B"/>
    <w:rsid w:val="002B52BB"/>
    <w:rsid w:val="002B6595"/>
    <w:rsid w:val="002C5BB7"/>
    <w:rsid w:val="002D0FFA"/>
    <w:rsid w:val="002D399A"/>
    <w:rsid w:val="002D469F"/>
    <w:rsid w:val="002D69A5"/>
    <w:rsid w:val="002D71BC"/>
    <w:rsid w:val="002D7B8B"/>
    <w:rsid w:val="002E002D"/>
    <w:rsid w:val="002E04F8"/>
    <w:rsid w:val="002E327E"/>
    <w:rsid w:val="002E3F4D"/>
    <w:rsid w:val="002E438C"/>
    <w:rsid w:val="002E51FC"/>
    <w:rsid w:val="002E7F80"/>
    <w:rsid w:val="002F10C6"/>
    <w:rsid w:val="002F11CA"/>
    <w:rsid w:val="00307D33"/>
    <w:rsid w:val="00316C15"/>
    <w:rsid w:val="00320461"/>
    <w:rsid w:val="0032379E"/>
    <w:rsid w:val="00324336"/>
    <w:rsid w:val="003310B3"/>
    <w:rsid w:val="00331867"/>
    <w:rsid w:val="00332647"/>
    <w:rsid w:val="00333BFB"/>
    <w:rsid w:val="00335E53"/>
    <w:rsid w:val="0033618E"/>
    <w:rsid w:val="003371A5"/>
    <w:rsid w:val="00340DEA"/>
    <w:rsid w:val="00341264"/>
    <w:rsid w:val="00342162"/>
    <w:rsid w:val="00344757"/>
    <w:rsid w:val="00345CE0"/>
    <w:rsid w:val="00353096"/>
    <w:rsid w:val="00356244"/>
    <w:rsid w:val="0036404F"/>
    <w:rsid w:val="00364DFD"/>
    <w:rsid w:val="00365BBC"/>
    <w:rsid w:val="00365E31"/>
    <w:rsid w:val="003664C9"/>
    <w:rsid w:val="003720A2"/>
    <w:rsid w:val="00373BCD"/>
    <w:rsid w:val="00374485"/>
    <w:rsid w:val="00374704"/>
    <w:rsid w:val="00377F95"/>
    <w:rsid w:val="00381BBF"/>
    <w:rsid w:val="00386BB0"/>
    <w:rsid w:val="00387EB8"/>
    <w:rsid w:val="0039078B"/>
    <w:rsid w:val="00392A70"/>
    <w:rsid w:val="00395B1C"/>
    <w:rsid w:val="0039759B"/>
    <w:rsid w:val="003A7918"/>
    <w:rsid w:val="003B5498"/>
    <w:rsid w:val="003C452D"/>
    <w:rsid w:val="003C6B9A"/>
    <w:rsid w:val="003C75A4"/>
    <w:rsid w:val="003D05DD"/>
    <w:rsid w:val="003D1124"/>
    <w:rsid w:val="003D1C14"/>
    <w:rsid w:val="003D3EA4"/>
    <w:rsid w:val="003D414C"/>
    <w:rsid w:val="003D7E13"/>
    <w:rsid w:val="003E2988"/>
    <w:rsid w:val="003E2F1B"/>
    <w:rsid w:val="003E6263"/>
    <w:rsid w:val="003E7456"/>
    <w:rsid w:val="003F7110"/>
    <w:rsid w:val="00402375"/>
    <w:rsid w:val="00403EEA"/>
    <w:rsid w:val="0040420E"/>
    <w:rsid w:val="00411587"/>
    <w:rsid w:val="00411F51"/>
    <w:rsid w:val="00414688"/>
    <w:rsid w:val="00415FC2"/>
    <w:rsid w:val="00421FE2"/>
    <w:rsid w:val="00423904"/>
    <w:rsid w:val="004273C3"/>
    <w:rsid w:val="004278D6"/>
    <w:rsid w:val="004279B6"/>
    <w:rsid w:val="00440DDF"/>
    <w:rsid w:val="00442F91"/>
    <w:rsid w:val="0044368F"/>
    <w:rsid w:val="00446C65"/>
    <w:rsid w:val="00447BBF"/>
    <w:rsid w:val="00453443"/>
    <w:rsid w:val="004564C3"/>
    <w:rsid w:val="00456FF4"/>
    <w:rsid w:val="0045718F"/>
    <w:rsid w:val="00461110"/>
    <w:rsid w:val="00463759"/>
    <w:rsid w:val="00465D66"/>
    <w:rsid w:val="004702F7"/>
    <w:rsid w:val="00471BD9"/>
    <w:rsid w:val="00477A97"/>
    <w:rsid w:val="00477B04"/>
    <w:rsid w:val="004824F6"/>
    <w:rsid w:val="00484275"/>
    <w:rsid w:val="00485DB9"/>
    <w:rsid w:val="00486C9B"/>
    <w:rsid w:val="00495044"/>
    <w:rsid w:val="00495514"/>
    <w:rsid w:val="00496810"/>
    <w:rsid w:val="0049700D"/>
    <w:rsid w:val="004A1373"/>
    <w:rsid w:val="004A276A"/>
    <w:rsid w:val="004A4934"/>
    <w:rsid w:val="004A591C"/>
    <w:rsid w:val="004B109B"/>
    <w:rsid w:val="004B6A50"/>
    <w:rsid w:val="004C3965"/>
    <w:rsid w:val="004D0267"/>
    <w:rsid w:val="004D461A"/>
    <w:rsid w:val="004D643C"/>
    <w:rsid w:val="004D7433"/>
    <w:rsid w:val="004E18AD"/>
    <w:rsid w:val="004E3270"/>
    <w:rsid w:val="004E3B73"/>
    <w:rsid w:val="004E3D22"/>
    <w:rsid w:val="004E408A"/>
    <w:rsid w:val="004E4191"/>
    <w:rsid w:val="004F2C2D"/>
    <w:rsid w:val="0050611F"/>
    <w:rsid w:val="0051001B"/>
    <w:rsid w:val="00510555"/>
    <w:rsid w:val="005149B0"/>
    <w:rsid w:val="005154FB"/>
    <w:rsid w:val="0051625D"/>
    <w:rsid w:val="00516DCD"/>
    <w:rsid w:val="00517357"/>
    <w:rsid w:val="00520E79"/>
    <w:rsid w:val="0052544B"/>
    <w:rsid w:val="00525632"/>
    <w:rsid w:val="00525CB2"/>
    <w:rsid w:val="00527607"/>
    <w:rsid w:val="00527EC3"/>
    <w:rsid w:val="00531B9F"/>
    <w:rsid w:val="00531C1F"/>
    <w:rsid w:val="005328B4"/>
    <w:rsid w:val="00533A08"/>
    <w:rsid w:val="00536357"/>
    <w:rsid w:val="00536A81"/>
    <w:rsid w:val="00537F96"/>
    <w:rsid w:val="005400BA"/>
    <w:rsid w:val="00540D18"/>
    <w:rsid w:val="00541C39"/>
    <w:rsid w:val="005434A9"/>
    <w:rsid w:val="005533B3"/>
    <w:rsid w:val="0055408A"/>
    <w:rsid w:val="00555434"/>
    <w:rsid w:val="00560B32"/>
    <w:rsid w:val="00560BFC"/>
    <w:rsid w:val="00560E9E"/>
    <w:rsid w:val="00564D8A"/>
    <w:rsid w:val="005659F9"/>
    <w:rsid w:val="00566C0C"/>
    <w:rsid w:val="00577197"/>
    <w:rsid w:val="00580281"/>
    <w:rsid w:val="00584DB0"/>
    <w:rsid w:val="005877B3"/>
    <w:rsid w:val="00590FA9"/>
    <w:rsid w:val="005919F9"/>
    <w:rsid w:val="005968A9"/>
    <w:rsid w:val="005A0B8B"/>
    <w:rsid w:val="005A0D68"/>
    <w:rsid w:val="005A3F83"/>
    <w:rsid w:val="005A68CC"/>
    <w:rsid w:val="005A78A4"/>
    <w:rsid w:val="005B0574"/>
    <w:rsid w:val="005B3CC6"/>
    <w:rsid w:val="005B6394"/>
    <w:rsid w:val="005C07AD"/>
    <w:rsid w:val="005C14ED"/>
    <w:rsid w:val="005C25A9"/>
    <w:rsid w:val="005C343D"/>
    <w:rsid w:val="005C5485"/>
    <w:rsid w:val="005C6D24"/>
    <w:rsid w:val="005C6D29"/>
    <w:rsid w:val="005C7369"/>
    <w:rsid w:val="005E0E24"/>
    <w:rsid w:val="005E3664"/>
    <w:rsid w:val="005E5C12"/>
    <w:rsid w:val="005E75C6"/>
    <w:rsid w:val="005E7B45"/>
    <w:rsid w:val="005E7B9B"/>
    <w:rsid w:val="005E7D45"/>
    <w:rsid w:val="005F2AC4"/>
    <w:rsid w:val="005F6ECB"/>
    <w:rsid w:val="005F72D0"/>
    <w:rsid w:val="00604820"/>
    <w:rsid w:val="00607AB4"/>
    <w:rsid w:val="00611888"/>
    <w:rsid w:val="00611E33"/>
    <w:rsid w:val="00612063"/>
    <w:rsid w:val="0062283E"/>
    <w:rsid w:val="006231F0"/>
    <w:rsid w:val="00623F3A"/>
    <w:rsid w:val="00634BAB"/>
    <w:rsid w:val="00635B28"/>
    <w:rsid w:val="00636015"/>
    <w:rsid w:val="00637C05"/>
    <w:rsid w:val="006411AA"/>
    <w:rsid w:val="006411B5"/>
    <w:rsid w:val="00645CC0"/>
    <w:rsid w:val="00646270"/>
    <w:rsid w:val="00651E2E"/>
    <w:rsid w:val="00655432"/>
    <w:rsid w:val="0065546D"/>
    <w:rsid w:val="00655863"/>
    <w:rsid w:val="0065604B"/>
    <w:rsid w:val="006614F6"/>
    <w:rsid w:val="006633DB"/>
    <w:rsid w:val="00665EC8"/>
    <w:rsid w:val="00666786"/>
    <w:rsid w:val="00671657"/>
    <w:rsid w:val="006736C5"/>
    <w:rsid w:val="006758B3"/>
    <w:rsid w:val="00675CCA"/>
    <w:rsid w:val="006763FF"/>
    <w:rsid w:val="006801C6"/>
    <w:rsid w:val="00682156"/>
    <w:rsid w:val="00682F30"/>
    <w:rsid w:val="00683D4F"/>
    <w:rsid w:val="00684C53"/>
    <w:rsid w:val="00685973"/>
    <w:rsid w:val="00690670"/>
    <w:rsid w:val="00693844"/>
    <w:rsid w:val="00693AD8"/>
    <w:rsid w:val="00693DD6"/>
    <w:rsid w:val="0069453B"/>
    <w:rsid w:val="006A1880"/>
    <w:rsid w:val="006A259F"/>
    <w:rsid w:val="006B0096"/>
    <w:rsid w:val="006B24A8"/>
    <w:rsid w:val="006B26CA"/>
    <w:rsid w:val="006B2F51"/>
    <w:rsid w:val="006B4373"/>
    <w:rsid w:val="006C0463"/>
    <w:rsid w:val="006C2216"/>
    <w:rsid w:val="006C25A8"/>
    <w:rsid w:val="006C359C"/>
    <w:rsid w:val="006E0168"/>
    <w:rsid w:val="006E2450"/>
    <w:rsid w:val="006F10D2"/>
    <w:rsid w:val="006F1F9F"/>
    <w:rsid w:val="006F20CA"/>
    <w:rsid w:val="006F54D0"/>
    <w:rsid w:val="00702C38"/>
    <w:rsid w:val="007033F7"/>
    <w:rsid w:val="00705EBB"/>
    <w:rsid w:val="00712FD8"/>
    <w:rsid w:val="007141E5"/>
    <w:rsid w:val="00725699"/>
    <w:rsid w:val="007275A8"/>
    <w:rsid w:val="00730FB4"/>
    <w:rsid w:val="00732118"/>
    <w:rsid w:val="00733E73"/>
    <w:rsid w:val="0073798D"/>
    <w:rsid w:val="00737CDA"/>
    <w:rsid w:val="00740DCF"/>
    <w:rsid w:val="00747BFF"/>
    <w:rsid w:val="007529CE"/>
    <w:rsid w:val="00753AE1"/>
    <w:rsid w:val="00757143"/>
    <w:rsid w:val="00760AE8"/>
    <w:rsid w:val="007626CB"/>
    <w:rsid w:val="007670FF"/>
    <w:rsid w:val="0077539A"/>
    <w:rsid w:val="00777335"/>
    <w:rsid w:val="007814F1"/>
    <w:rsid w:val="00785C85"/>
    <w:rsid w:val="00785DB2"/>
    <w:rsid w:val="00785E38"/>
    <w:rsid w:val="00786680"/>
    <w:rsid w:val="007933C2"/>
    <w:rsid w:val="007956F0"/>
    <w:rsid w:val="00795A72"/>
    <w:rsid w:val="007A0930"/>
    <w:rsid w:val="007A2BB9"/>
    <w:rsid w:val="007A56B9"/>
    <w:rsid w:val="007B35EE"/>
    <w:rsid w:val="007B362F"/>
    <w:rsid w:val="007B5437"/>
    <w:rsid w:val="007B712B"/>
    <w:rsid w:val="007C4C75"/>
    <w:rsid w:val="007C5ADF"/>
    <w:rsid w:val="007C64D3"/>
    <w:rsid w:val="007C722B"/>
    <w:rsid w:val="007C7BCA"/>
    <w:rsid w:val="007D13B1"/>
    <w:rsid w:val="007D2425"/>
    <w:rsid w:val="007D3EFC"/>
    <w:rsid w:val="007D5A84"/>
    <w:rsid w:val="007D6F26"/>
    <w:rsid w:val="007D71B9"/>
    <w:rsid w:val="007D7AAF"/>
    <w:rsid w:val="007E0777"/>
    <w:rsid w:val="007E0E41"/>
    <w:rsid w:val="007E2C21"/>
    <w:rsid w:val="007E66CC"/>
    <w:rsid w:val="007E77C4"/>
    <w:rsid w:val="007F0ADA"/>
    <w:rsid w:val="007F0ECC"/>
    <w:rsid w:val="007F15D1"/>
    <w:rsid w:val="007F38B9"/>
    <w:rsid w:val="007F4810"/>
    <w:rsid w:val="007F4FC2"/>
    <w:rsid w:val="007F5221"/>
    <w:rsid w:val="007F7659"/>
    <w:rsid w:val="007F7D81"/>
    <w:rsid w:val="007F7FE6"/>
    <w:rsid w:val="00801D9C"/>
    <w:rsid w:val="00804C67"/>
    <w:rsid w:val="00806588"/>
    <w:rsid w:val="00810418"/>
    <w:rsid w:val="00811325"/>
    <w:rsid w:val="00813E55"/>
    <w:rsid w:val="00814D02"/>
    <w:rsid w:val="00814E96"/>
    <w:rsid w:val="00815345"/>
    <w:rsid w:val="008160CB"/>
    <w:rsid w:val="008203AE"/>
    <w:rsid w:val="008212A1"/>
    <w:rsid w:val="00822BCA"/>
    <w:rsid w:val="00823BAF"/>
    <w:rsid w:val="00825EAA"/>
    <w:rsid w:val="008325AE"/>
    <w:rsid w:val="00833683"/>
    <w:rsid w:val="00834481"/>
    <w:rsid w:val="00834935"/>
    <w:rsid w:val="00843243"/>
    <w:rsid w:val="008472CB"/>
    <w:rsid w:val="00847ED8"/>
    <w:rsid w:val="00850355"/>
    <w:rsid w:val="00850D91"/>
    <w:rsid w:val="00851BB5"/>
    <w:rsid w:val="00851F96"/>
    <w:rsid w:val="00853897"/>
    <w:rsid w:val="00854F6A"/>
    <w:rsid w:val="008566E3"/>
    <w:rsid w:val="00856E3E"/>
    <w:rsid w:val="00857639"/>
    <w:rsid w:val="00857982"/>
    <w:rsid w:val="00857F85"/>
    <w:rsid w:val="008615DA"/>
    <w:rsid w:val="00863AF7"/>
    <w:rsid w:val="00864B97"/>
    <w:rsid w:val="00866842"/>
    <w:rsid w:val="00866EA8"/>
    <w:rsid w:val="00870EAD"/>
    <w:rsid w:val="00873B2D"/>
    <w:rsid w:val="00874691"/>
    <w:rsid w:val="00875BA6"/>
    <w:rsid w:val="00876292"/>
    <w:rsid w:val="008822F8"/>
    <w:rsid w:val="008842C6"/>
    <w:rsid w:val="00884A7F"/>
    <w:rsid w:val="00886981"/>
    <w:rsid w:val="008872AB"/>
    <w:rsid w:val="00890646"/>
    <w:rsid w:val="00897478"/>
    <w:rsid w:val="008A0815"/>
    <w:rsid w:val="008A0A27"/>
    <w:rsid w:val="008A3297"/>
    <w:rsid w:val="008A4A89"/>
    <w:rsid w:val="008A53B0"/>
    <w:rsid w:val="008A58DA"/>
    <w:rsid w:val="008A6423"/>
    <w:rsid w:val="008A65E3"/>
    <w:rsid w:val="008B26E7"/>
    <w:rsid w:val="008B5D89"/>
    <w:rsid w:val="008B7D8C"/>
    <w:rsid w:val="008C787C"/>
    <w:rsid w:val="008D2604"/>
    <w:rsid w:val="008D348E"/>
    <w:rsid w:val="008D44F3"/>
    <w:rsid w:val="008E083E"/>
    <w:rsid w:val="008E30A3"/>
    <w:rsid w:val="008E4670"/>
    <w:rsid w:val="008E6425"/>
    <w:rsid w:val="008F2759"/>
    <w:rsid w:val="008F767B"/>
    <w:rsid w:val="00900E09"/>
    <w:rsid w:val="0090190D"/>
    <w:rsid w:val="00907D38"/>
    <w:rsid w:val="00914F38"/>
    <w:rsid w:val="009152D7"/>
    <w:rsid w:val="00917D3E"/>
    <w:rsid w:val="0092066B"/>
    <w:rsid w:val="009213F5"/>
    <w:rsid w:val="00921A47"/>
    <w:rsid w:val="0092296C"/>
    <w:rsid w:val="00923598"/>
    <w:rsid w:val="00923ABA"/>
    <w:rsid w:val="0092587F"/>
    <w:rsid w:val="00937086"/>
    <w:rsid w:val="0094523D"/>
    <w:rsid w:val="0094550A"/>
    <w:rsid w:val="009500EC"/>
    <w:rsid w:val="00955753"/>
    <w:rsid w:val="00965143"/>
    <w:rsid w:val="0096585C"/>
    <w:rsid w:val="009677E7"/>
    <w:rsid w:val="00974576"/>
    <w:rsid w:val="00975513"/>
    <w:rsid w:val="00981C52"/>
    <w:rsid w:val="00981E06"/>
    <w:rsid w:val="00986125"/>
    <w:rsid w:val="009871C3"/>
    <w:rsid w:val="00987B36"/>
    <w:rsid w:val="009935A4"/>
    <w:rsid w:val="009A1BAE"/>
    <w:rsid w:val="009A2051"/>
    <w:rsid w:val="009A4633"/>
    <w:rsid w:val="009B1E51"/>
    <w:rsid w:val="009B2B88"/>
    <w:rsid w:val="009B3BEE"/>
    <w:rsid w:val="009B55F3"/>
    <w:rsid w:val="009B6B90"/>
    <w:rsid w:val="009C145D"/>
    <w:rsid w:val="009C1693"/>
    <w:rsid w:val="009C22C5"/>
    <w:rsid w:val="009C360E"/>
    <w:rsid w:val="009C4CB0"/>
    <w:rsid w:val="009C4D25"/>
    <w:rsid w:val="009C5221"/>
    <w:rsid w:val="009D00BC"/>
    <w:rsid w:val="009D0A17"/>
    <w:rsid w:val="009D4509"/>
    <w:rsid w:val="009D67AE"/>
    <w:rsid w:val="009E0396"/>
    <w:rsid w:val="009E57C5"/>
    <w:rsid w:val="009F2475"/>
    <w:rsid w:val="009F376A"/>
    <w:rsid w:val="009F56FC"/>
    <w:rsid w:val="009F5C45"/>
    <w:rsid w:val="00A01352"/>
    <w:rsid w:val="00A03C2D"/>
    <w:rsid w:val="00A04A89"/>
    <w:rsid w:val="00A0579C"/>
    <w:rsid w:val="00A064FD"/>
    <w:rsid w:val="00A067ED"/>
    <w:rsid w:val="00A151E2"/>
    <w:rsid w:val="00A164C1"/>
    <w:rsid w:val="00A206EB"/>
    <w:rsid w:val="00A2137C"/>
    <w:rsid w:val="00A226B4"/>
    <w:rsid w:val="00A23524"/>
    <w:rsid w:val="00A26E36"/>
    <w:rsid w:val="00A31316"/>
    <w:rsid w:val="00A36ADF"/>
    <w:rsid w:val="00A3731D"/>
    <w:rsid w:val="00A40A16"/>
    <w:rsid w:val="00A41979"/>
    <w:rsid w:val="00A43DC1"/>
    <w:rsid w:val="00A4470B"/>
    <w:rsid w:val="00A44805"/>
    <w:rsid w:val="00A501CF"/>
    <w:rsid w:val="00A50844"/>
    <w:rsid w:val="00A51290"/>
    <w:rsid w:val="00A54648"/>
    <w:rsid w:val="00A65E6E"/>
    <w:rsid w:val="00A7188B"/>
    <w:rsid w:val="00A71969"/>
    <w:rsid w:val="00A72AC5"/>
    <w:rsid w:val="00A7374B"/>
    <w:rsid w:val="00A7629A"/>
    <w:rsid w:val="00A80011"/>
    <w:rsid w:val="00A845AB"/>
    <w:rsid w:val="00A84643"/>
    <w:rsid w:val="00A9110B"/>
    <w:rsid w:val="00A91D4C"/>
    <w:rsid w:val="00A91F36"/>
    <w:rsid w:val="00A93333"/>
    <w:rsid w:val="00A963AC"/>
    <w:rsid w:val="00AA168C"/>
    <w:rsid w:val="00AA1FA9"/>
    <w:rsid w:val="00AA2AEC"/>
    <w:rsid w:val="00AA3811"/>
    <w:rsid w:val="00AA5291"/>
    <w:rsid w:val="00AA52FA"/>
    <w:rsid w:val="00AA5318"/>
    <w:rsid w:val="00AA5AAF"/>
    <w:rsid w:val="00AA6F2E"/>
    <w:rsid w:val="00AA72E9"/>
    <w:rsid w:val="00AB016D"/>
    <w:rsid w:val="00AB09D1"/>
    <w:rsid w:val="00AB69D6"/>
    <w:rsid w:val="00AB6F4F"/>
    <w:rsid w:val="00AC1759"/>
    <w:rsid w:val="00AC3DC1"/>
    <w:rsid w:val="00AC71F3"/>
    <w:rsid w:val="00AD0D58"/>
    <w:rsid w:val="00AD4C55"/>
    <w:rsid w:val="00AE1326"/>
    <w:rsid w:val="00AE58A2"/>
    <w:rsid w:val="00AE72E8"/>
    <w:rsid w:val="00AE76EB"/>
    <w:rsid w:val="00AE7E56"/>
    <w:rsid w:val="00AF0558"/>
    <w:rsid w:val="00AF0E66"/>
    <w:rsid w:val="00AF0F85"/>
    <w:rsid w:val="00AF1BC1"/>
    <w:rsid w:val="00AF2947"/>
    <w:rsid w:val="00AF31C7"/>
    <w:rsid w:val="00AF7216"/>
    <w:rsid w:val="00B00233"/>
    <w:rsid w:val="00B01872"/>
    <w:rsid w:val="00B018A8"/>
    <w:rsid w:val="00B02B2B"/>
    <w:rsid w:val="00B05832"/>
    <w:rsid w:val="00B06306"/>
    <w:rsid w:val="00B06FAE"/>
    <w:rsid w:val="00B101DC"/>
    <w:rsid w:val="00B22251"/>
    <w:rsid w:val="00B248D6"/>
    <w:rsid w:val="00B2658F"/>
    <w:rsid w:val="00B35B7A"/>
    <w:rsid w:val="00B445BF"/>
    <w:rsid w:val="00B44E09"/>
    <w:rsid w:val="00B4592F"/>
    <w:rsid w:val="00B46A3F"/>
    <w:rsid w:val="00B47447"/>
    <w:rsid w:val="00B4764A"/>
    <w:rsid w:val="00B500A1"/>
    <w:rsid w:val="00B520C6"/>
    <w:rsid w:val="00B60EDA"/>
    <w:rsid w:val="00B616F2"/>
    <w:rsid w:val="00B630F2"/>
    <w:rsid w:val="00B65625"/>
    <w:rsid w:val="00B716FC"/>
    <w:rsid w:val="00B7237C"/>
    <w:rsid w:val="00B72EEB"/>
    <w:rsid w:val="00B772E5"/>
    <w:rsid w:val="00B801F6"/>
    <w:rsid w:val="00B8379A"/>
    <w:rsid w:val="00BA0A30"/>
    <w:rsid w:val="00BB3830"/>
    <w:rsid w:val="00BB521C"/>
    <w:rsid w:val="00BB7DCD"/>
    <w:rsid w:val="00BC23F5"/>
    <w:rsid w:val="00BC3644"/>
    <w:rsid w:val="00BC5BDD"/>
    <w:rsid w:val="00BD0DCB"/>
    <w:rsid w:val="00BD0E68"/>
    <w:rsid w:val="00BD28BA"/>
    <w:rsid w:val="00BD3470"/>
    <w:rsid w:val="00BD3865"/>
    <w:rsid w:val="00BE12E7"/>
    <w:rsid w:val="00BE28D3"/>
    <w:rsid w:val="00BF08AF"/>
    <w:rsid w:val="00BF411D"/>
    <w:rsid w:val="00BF7B9D"/>
    <w:rsid w:val="00C0084C"/>
    <w:rsid w:val="00C01064"/>
    <w:rsid w:val="00C022B3"/>
    <w:rsid w:val="00C02BA8"/>
    <w:rsid w:val="00C05B54"/>
    <w:rsid w:val="00C10D43"/>
    <w:rsid w:val="00C132F6"/>
    <w:rsid w:val="00C13804"/>
    <w:rsid w:val="00C1688E"/>
    <w:rsid w:val="00C2152C"/>
    <w:rsid w:val="00C215F0"/>
    <w:rsid w:val="00C21D01"/>
    <w:rsid w:val="00C21E22"/>
    <w:rsid w:val="00C23555"/>
    <w:rsid w:val="00C30F39"/>
    <w:rsid w:val="00C331F3"/>
    <w:rsid w:val="00C34540"/>
    <w:rsid w:val="00C40125"/>
    <w:rsid w:val="00C426AF"/>
    <w:rsid w:val="00C475CA"/>
    <w:rsid w:val="00C47C94"/>
    <w:rsid w:val="00C5376D"/>
    <w:rsid w:val="00C54277"/>
    <w:rsid w:val="00C5710C"/>
    <w:rsid w:val="00C5775B"/>
    <w:rsid w:val="00C66CED"/>
    <w:rsid w:val="00C75F75"/>
    <w:rsid w:val="00C81D77"/>
    <w:rsid w:val="00C81E1C"/>
    <w:rsid w:val="00C83CC8"/>
    <w:rsid w:val="00C84A8B"/>
    <w:rsid w:val="00CA11E5"/>
    <w:rsid w:val="00CA1732"/>
    <w:rsid w:val="00CA4C68"/>
    <w:rsid w:val="00CA4FB2"/>
    <w:rsid w:val="00CA50CB"/>
    <w:rsid w:val="00CB083E"/>
    <w:rsid w:val="00CB0D17"/>
    <w:rsid w:val="00CB1AC3"/>
    <w:rsid w:val="00CB3F82"/>
    <w:rsid w:val="00CC066C"/>
    <w:rsid w:val="00CC1C02"/>
    <w:rsid w:val="00CC2712"/>
    <w:rsid w:val="00CC7851"/>
    <w:rsid w:val="00CD1BFF"/>
    <w:rsid w:val="00CD4D59"/>
    <w:rsid w:val="00CD7321"/>
    <w:rsid w:val="00CE216D"/>
    <w:rsid w:val="00CE4A5C"/>
    <w:rsid w:val="00CE50A5"/>
    <w:rsid w:val="00D00A31"/>
    <w:rsid w:val="00D01C73"/>
    <w:rsid w:val="00D02ACA"/>
    <w:rsid w:val="00D062F8"/>
    <w:rsid w:val="00D1295F"/>
    <w:rsid w:val="00D1418C"/>
    <w:rsid w:val="00D20EC4"/>
    <w:rsid w:val="00D258AB"/>
    <w:rsid w:val="00D30D78"/>
    <w:rsid w:val="00D34CC5"/>
    <w:rsid w:val="00D35BEB"/>
    <w:rsid w:val="00D35F2F"/>
    <w:rsid w:val="00D36017"/>
    <w:rsid w:val="00D4020A"/>
    <w:rsid w:val="00D40649"/>
    <w:rsid w:val="00D40AD6"/>
    <w:rsid w:val="00D43AE8"/>
    <w:rsid w:val="00D53247"/>
    <w:rsid w:val="00D55D61"/>
    <w:rsid w:val="00D6517B"/>
    <w:rsid w:val="00D659BA"/>
    <w:rsid w:val="00D666A3"/>
    <w:rsid w:val="00D713B6"/>
    <w:rsid w:val="00D7151F"/>
    <w:rsid w:val="00D7688B"/>
    <w:rsid w:val="00D8034E"/>
    <w:rsid w:val="00D84977"/>
    <w:rsid w:val="00D85353"/>
    <w:rsid w:val="00D9281D"/>
    <w:rsid w:val="00D933CE"/>
    <w:rsid w:val="00D93487"/>
    <w:rsid w:val="00D95629"/>
    <w:rsid w:val="00D95F70"/>
    <w:rsid w:val="00D97D95"/>
    <w:rsid w:val="00DA0CD3"/>
    <w:rsid w:val="00DA0D0A"/>
    <w:rsid w:val="00DA4845"/>
    <w:rsid w:val="00DA53B6"/>
    <w:rsid w:val="00DA655F"/>
    <w:rsid w:val="00DA748B"/>
    <w:rsid w:val="00DA7497"/>
    <w:rsid w:val="00DB048C"/>
    <w:rsid w:val="00DB2DF0"/>
    <w:rsid w:val="00DB6B08"/>
    <w:rsid w:val="00DB6E2C"/>
    <w:rsid w:val="00DC2A5C"/>
    <w:rsid w:val="00DC3FD6"/>
    <w:rsid w:val="00DC6426"/>
    <w:rsid w:val="00DC6D54"/>
    <w:rsid w:val="00DD0504"/>
    <w:rsid w:val="00DD2C2C"/>
    <w:rsid w:val="00DD5232"/>
    <w:rsid w:val="00DD5363"/>
    <w:rsid w:val="00DE0C35"/>
    <w:rsid w:val="00DE121B"/>
    <w:rsid w:val="00DE1F7E"/>
    <w:rsid w:val="00DE221C"/>
    <w:rsid w:val="00DE469B"/>
    <w:rsid w:val="00DE73A1"/>
    <w:rsid w:val="00DF05B6"/>
    <w:rsid w:val="00DF0724"/>
    <w:rsid w:val="00DF0CBC"/>
    <w:rsid w:val="00DF21A6"/>
    <w:rsid w:val="00DF27A8"/>
    <w:rsid w:val="00DF5E34"/>
    <w:rsid w:val="00DF6DFF"/>
    <w:rsid w:val="00DF7025"/>
    <w:rsid w:val="00E07FEE"/>
    <w:rsid w:val="00E10CF2"/>
    <w:rsid w:val="00E1136F"/>
    <w:rsid w:val="00E12255"/>
    <w:rsid w:val="00E13FCA"/>
    <w:rsid w:val="00E14DA7"/>
    <w:rsid w:val="00E175D9"/>
    <w:rsid w:val="00E21250"/>
    <w:rsid w:val="00E24E0C"/>
    <w:rsid w:val="00E25B4F"/>
    <w:rsid w:val="00E263DE"/>
    <w:rsid w:val="00E27EB3"/>
    <w:rsid w:val="00E32CF4"/>
    <w:rsid w:val="00E36AD0"/>
    <w:rsid w:val="00E374EC"/>
    <w:rsid w:val="00E436C1"/>
    <w:rsid w:val="00E46EE1"/>
    <w:rsid w:val="00E529EE"/>
    <w:rsid w:val="00E56565"/>
    <w:rsid w:val="00E56C50"/>
    <w:rsid w:val="00E5795C"/>
    <w:rsid w:val="00E632BC"/>
    <w:rsid w:val="00E65FAB"/>
    <w:rsid w:val="00E71F9A"/>
    <w:rsid w:val="00E76B34"/>
    <w:rsid w:val="00E82F96"/>
    <w:rsid w:val="00E8630D"/>
    <w:rsid w:val="00E9010F"/>
    <w:rsid w:val="00E95882"/>
    <w:rsid w:val="00E96306"/>
    <w:rsid w:val="00EA13D7"/>
    <w:rsid w:val="00EA34F4"/>
    <w:rsid w:val="00EA4301"/>
    <w:rsid w:val="00EA7078"/>
    <w:rsid w:val="00EA7FF5"/>
    <w:rsid w:val="00EB19B6"/>
    <w:rsid w:val="00EB2047"/>
    <w:rsid w:val="00EB3D8A"/>
    <w:rsid w:val="00EB4EA7"/>
    <w:rsid w:val="00EC15C0"/>
    <w:rsid w:val="00EC1CB5"/>
    <w:rsid w:val="00EC2581"/>
    <w:rsid w:val="00EC2916"/>
    <w:rsid w:val="00EC499F"/>
    <w:rsid w:val="00ED3971"/>
    <w:rsid w:val="00EE57FD"/>
    <w:rsid w:val="00EF1B01"/>
    <w:rsid w:val="00EF3946"/>
    <w:rsid w:val="00F0023F"/>
    <w:rsid w:val="00F02373"/>
    <w:rsid w:val="00F036ED"/>
    <w:rsid w:val="00F05405"/>
    <w:rsid w:val="00F07E06"/>
    <w:rsid w:val="00F10C25"/>
    <w:rsid w:val="00F10C51"/>
    <w:rsid w:val="00F16244"/>
    <w:rsid w:val="00F17A6C"/>
    <w:rsid w:val="00F2103E"/>
    <w:rsid w:val="00F213B2"/>
    <w:rsid w:val="00F27761"/>
    <w:rsid w:val="00F277EF"/>
    <w:rsid w:val="00F34605"/>
    <w:rsid w:val="00F3579F"/>
    <w:rsid w:val="00F358E1"/>
    <w:rsid w:val="00F35B3A"/>
    <w:rsid w:val="00F40A58"/>
    <w:rsid w:val="00F44B6B"/>
    <w:rsid w:val="00F45A9F"/>
    <w:rsid w:val="00F46EEB"/>
    <w:rsid w:val="00F52C9B"/>
    <w:rsid w:val="00F52E1E"/>
    <w:rsid w:val="00F533A3"/>
    <w:rsid w:val="00F5636A"/>
    <w:rsid w:val="00F56466"/>
    <w:rsid w:val="00F568E5"/>
    <w:rsid w:val="00F57609"/>
    <w:rsid w:val="00F609B1"/>
    <w:rsid w:val="00F60B71"/>
    <w:rsid w:val="00F612AE"/>
    <w:rsid w:val="00F6262C"/>
    <w:rsid w:val="00F62A82"/>
    <w:rsid w:val="00F658F3"/>
    <w:rsid w:val="00F65EA1"/>
    <w:rsid w:val="00F661FB"/>
    <w:rsid w:val="00F72FB1"/>
    <w:rsid w:val="00F73099"/>
    <w:rsid w:val="00F74305"/>
    <w:rsid w:val="00F757F7"/>
    <w:rsid w:val="00F75AD8"/>
    <w:rsid w:val="00F76D0D"/>
    <w:rsid w:val="00F7753C"/>
    <w:rsid w:val="00F82568"/>
    <w:rsid w:val="00F83932"/>
    <w:rsid w:val="00F83971"/>
    <w:rsid w:val="00F846F9"/>
    <w:rsid w:val="00F84BD2"/>
    <w:rsid w:val="00F85449"/>
    <w:rsid w:val="00F917F5"/>
    <w:rsid w:val="00F92E05"/>
    <w:rsid w:val="00F94D9B"/>
    <w:rsid w:val="00F96C93"/>
    <w:rsid w:val="00F96FA2"/>
    <w:rsid w:val="00F97F37"/>
    <w:rsid w:val="00FA135C"/>
    <w:rsid w:val="00FA3222"/>
    <w:rsid w:val="00FA49A9"/>
    <w:rsid w:val="00FA7AC9"/>
    <w:rsid w:val="00FB47DF"/>
    <w:rsid w:val="00FB63E8"/>
    <w:rsid w:val="00FB677A"/>
    <w:rsid w:val="00FC1197"/>
    <w:rsid w:val="00FC1613"/>
    <w:rsid w:val="00FC1E2E"/>
    <w:rsid w:val="00FC26A1"/>
    <w:rsid w:val="00FC2BD9"/>
    <w:rsid w:val="00FC36EF"/>
    <w:rsid w:val="00FD0837"/>
    <w:rsid w:val="00FD1C6F"/>
    <w:rsid w:val="00FD627D"/>
    <w:rsid w:val="00FE047E"/>
    <w:rsid w:val="00FE12A5"/>
    <w:rsid w:val="00FE236C"/>
    <w:rsid w:val="00FE3BC3"/>
    <w:rsid w:val="00FE71A6"/>
    <w:rsid w:val="00FE72FC"/>
    <w:rsid w:val="00FF0AC5"/>
    <w:rsid w:val="00FF1CD4"/>
    <w:rsid w:val="00FF4ED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65522B"/>
  <w15:chartTrackingRefBased/>
  <w15:docId w15:val="{5929A4FD-9C2F-4250-ACB9-66979ACC9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33DB"/>
    <w:pPr>
      <w:spacing w:after="160" w:line="259" w:lineRule="auto"/>
    </w:pPr>
    <w:rPr>
      <w:sz w:val="22"/>
      <w:szCs w:val="22"/>
      <w:lang w:eastAsia="en-US"/>
    </w:rPr>
  </w:style>
  <w:style w:type="paragraph" w:styleId="Ttulo1">
    <w:name w:val="heading 1"/>
    <w:basedOn w:val="Normal"/>
    <w:next w:val="Normal"/>
    <w:link w:val="Ttulo1Car"/>
    <w:uiPriority w:val="9"/>
    <w:qFormat/>
    <w:rsid w:val="006633DB"/>
    <w:pPr>
      <w:keepNext/>
      <w:keepLines/>
      <w:spacing w:before="240" w:after="0"/>
      <w:outlineLvl w:val="0"/>
    </w:pPr>
    <w:rPr>
      <w:rFonts w:ascii="Calibri Light" w:eastAsia="Times New Roman" w:hAnsi="Calibri Light"/>
      <w:color w:val="2F5496"/>
      <w:sz w:val="32"/>
      <w:szCs w:val="32"/>
    </w:rPr>
  </w:style>
  <w:style w:type="paragraph" w:styleId="Ttulo2">
    <w:name w:val="heading 2"/>
    <w:basedOn w:val="Normal"/>
    <w:next w:val="Normal"/>
    <w:link w:val="Ttulo2Car"/>
    <w:uiPriority w:val="9"/>
    <w:unhideWhenUsed/>
    <w:qFormat/>
    <w:rsid w:val="006633DB"/>
    <w:pPr>
      <w:keepNext/>
      <w:keepLines/>
      <w:spacing w:before="40" w:after="0"/>
      <w:outlineLvl w:val="1"/>
    </w:pPr>
    <w:rPr>
      <w:rFonts w:ascii="Calibri Light" w:eastAsia="Times New Roman" w:hAnsi="Calibri Light"/>
      <w:color w:val="2F5496"/>
      <w:sz w:val="26"/>
      <w:szCs w:val="26"/>
    </w:rPr>
  </w:style>
  <w:style w:type="paragraph" w:styleId="Ttulo3">
    <w:name w:val="heading 3"/>
    <w:basedOn w:val="Normal"/>
    <w:next w:val="Normal"/>
    <w:link w:val="Ttulo3Car"/>
    <w:uiPriority w:val="9"/>
    <w:unhideWhenUsed/>
    <w:qFormat/>
    <w:rsid w:val="006633DB"/>
    <w:pPr>
      <w:keepNext/>
      <w:keepLines/>
      <w:spacing w:before="40" w:after="0"/>
      <w:outlineLvl w:val="2"/>
    </w:pPr>
    <w:rPr>
      <w:rFonts w:ascii="Calibri Light" w:eastAsia="Times New Roman" w:hAnsi="Calibri Light"/>
      <w:color w:val="1F3763"/>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6633DB"/>
    <w:pPr>
      <w:spacing w:after="0" w:line="240" w:lineRule="auto"/>
    </w:pPr>
    <w:rPr>
      <w:rFonts w:ascii="Segoe UI" w:hAnsi="Segoe UI" w:cs="Segoe UI"/>
      <w:sz w:val="18"/>
      <w:szCs w:val="18"/>
    </w:rPr>
  </w:style>
  <w:style w:type="character" w:customStyle="1" w:styleId="TextodegloboCar">
    <w:name w:val="Texto de globo Car"/>
    <w:link w:val="Textodeglobo"/>
    <w:uiPriority w:val="99"/>
    <w:semiHidden/>
    <w:rsid w:val="006633DB"/>
    <w:rPr>
      <w:rFonts w:ascii="Segoe UI" w:hAnsi="Segoe UI" w:cs="Segoe UI"/>
      <w:sz w:val="18"/>
      <w:szCs w:val="18"/>
    </w:rPr>
  </w:style>
  <w:style w:type="character" w:customStyle="1" w:styleId="Ttulo1Car">
    <w:name w:val="Título 1 Car"/>
    <w:link w:val="Ttulo1"/>
    <w:uiPriority w:val="9"/>
    <w:rsid w:val="006633DB"/>
    <w:rPr>
      <w:rFonts w:ascii="Calibri Light" w:eastAsia="Times New Roman" w:hAnsi="Calibri Light" w:cs="Times New Roman"/>
      <w:color w:val="2F5496"/>
      <w:sz w:val="32"/>
      <w:szCs w:val="32"/>
    </w:rPr>
  </w:style>
  <w:style w:type="character" w:customStyle="1" w:styleId="Ttulo2Car">
    <w:name w:val="Título 2 Car"/>
    <w:link w:val="Ttulo2"/>
    <w:uiPriority w:val="9"/>
    <w:rsid w:val="006633DB"/>
    <w:rPr>
      <w:rFonts w:ascii="Calibri Light" w:eastAsia="Times New Roman" w:hAnsi="Calibri Light" w:cs="Times New Roman"/>
      <w:color w:val="2F5496"/>
      <w:sz w:val="26"/>
      <w:szCs w:val="26"/>
    </w:rPr>
  </w:style>
  <w:style w:type="character" w:customStyle="1" w:styleId="Ttulo3Car">
    <w:name w:val="Título 3 Car"/>
    <w:link w:val="Ttulo3"/>
    <w:uiPriority w:val="9"/>
    <w:rsid w:val="006633DB"/>
    <w:rPr>
      <w:rFonts w:ascii="Calibri Light" w:eastAsia="Times New Roman" w:hAnsi="Calibri Light" w:cs="Times New Roman"/>
      <w:color w:val="1F3763"/>
      <w:sz w:val="24"/>
      <w:szCs w:val="24"/>
    </w:rPr>
  </w:style>
  <w:style w:type="paragraph" w:styleId="Textocomentario">
    <w:name w:val="annotation text"/>
    <w:basedOn w:val="Normal"/>
    <w:link w:val="TextocomentarioCar"/>
    <w:uiPriority w:val="99"/>
    <w:unhideWhenUsed/>
    <w:rsid w:val="006633DB"/>
    <w:pPr>
      <w:spacing w:line="240" w:lineRule="auto"/>
    </w:pPr>
    <w:rPr>
      <w:sz w:val="20"/>
      <w:szCs w:val="20"/>
    </w:rPr>
  </w:style>
  <w:style w:type="character" w:customStyle="1" w:styleId="TextocomentarioCar">
    <w:name w:val="Texto comentario Car"/>
    <w:link w:val="Textocomentario"/>
    <w:uiPriority w:val="99"/>
    <w:rsid w:val="006633DB"/>
    <w:rPr>
      <w:sz w:val="20"/>
      <w:szCs w:val="20"/>
    </w:rPr>
  </w:style>
  <w:style w:type="character" w:customStyle="1" w:styleId="bib-reference-label">
    <w:name w:val="bib-reference-label"/>
    <w:basedOn w:val="Fuentedeprrafopredeter"/>
    <w:rsid w:val="006633DB"/>
  </w:style>
  <w:style w:type="character" w:styleId="Hipervnculo">
    <w:name w:val="Hyperlink"/>
    <w:uiPriority w:val="99"/>
    <w:unhideWhenUsed/>
    <w:rsid w:val="006633DB"/>
    <w:rPr>
      <w:color w:val="0000FF"/>
      <w:u w:val="single"/>
    </w:rPr>
  </w:style>
  <w:style w:type="paragraph" w:styleId="Prrafodelista">
    <w:name w:val="List Paragraph"/>
    <w:basedOn w:val="Normal"/>
    <w:uiPriority w:val="34"/>
    <w:qFormat/>
    <w:rsid w:val="006633DB"/>
    <w:pPr>
      <w:ind w:left="720"/>
      <w:contextualSpacing/>
    </w:pPr>
  </w:style>
  <w:style w:type="character" w:styleId="Refdecomentario">
    <w:name w:val="annotation reference"/>
    <w:uiPriority w:val="99"/>
    <w:semiHidden/>
    <w:unhideWhenUsed/>
    <w:rsid w:val="006633DB"/>
    <w:rPr>
      <w:sz w:val="16"/>
      <w:szCs w:val="16"/>
    </w:rPr>
  </w:style>
  <w:style w:type="paragraph" w:styleId="Asuntodelcomentario">
    <w:name w:val="annotation subject"/>
    <w:basedOn w:val="Textocomentario"/>
    <w:next w:val="Textocomentario"/>
    <w:link w:val="AsuntodelcomentarioCar"/>
    <w:uiPriority w:val="99"/>
    <w:semiHidden/>
    <w:unhideWhenUsed/>
    <w:rsid w:val="006633DB"/>
    <w:rPr>
      <w:b/>
      <w:bCs/>
    </w:rPr>
  </w:style>
  <w:style w:type="character" w:customStyle="1" w:styleId="AsuntodelcomentarioCar">
    <w:name w:val="Asunto del comentario Car"/>
    <w:link w:val="Asuntodelcomentario"/>
    <w:uiPriority w:val="99"/>
    <w:semiHidden/>
    <w:rsid w:val="006633DB"/>
    <w:rPr>
      <w:b/>
      <w:bCs/>
      <w:sz w:val="20"/>
      <w:szCs w:val="20"/>
    </w:rPr>
  </w:style>
  <w:style w:type="table" w:styleId="Tablaconcuadrcula">
    <w:name w:val="Table Grid"/>
    <w:basedOn w:val="Tablanormal"/>
    <w:uiPriority w:val="39"/>
    <w:rsid w:val="006633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6633DB"/>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6633DB"/>
    <w:pPr>
      <w:widowControl w:val="0"/>
      <w:autoSpaceDE w:val="0"/>
      <w:autoSpaceDN w:val="0"/>
      <w:spacing w:after="0" w:line="240" w:lineRule="auto"/>
    </w:pPr>
    <w:rPr>
      <w:rFonts w:ascii="Times New Roman" w:eastAsia="Times New Roman" w:hAnsi="Times New Roman"/>
      <w:sz w:val="16"/>
      <w:szCs w:val="16"/>
      <w:lang w:val="en-US"/>
    </w:rPr>
  </w:style>
  <w:style w:type="character" w:customStyle="1" w:styleId="TextoindependienteCar">
    <w:name w:val="Texto independiente Car"/>
    <w:link w:val="Textoindependiente"/>
    <w:uiPriority w:val="1"/>
    <w:rsid w:val="006633DB"/>
    <w:rPr>
      <w:rFonts w:ascii="Times New Roman" w:eastAsia="Times New Roman" w:hAnsi="Times New Roman" w:cs="Times New Roman"/>
      <w:sz w:val="16"/>
      <w:szCs w:val="16"/>
      <w:lang w:val="en-US"/>
    </w:rPr>
  </w:style>
  <w:style w:type="paragraph" w:customStyle="1" w:styleId="TableParagraph">
    <w:name w:val="Table Paragraph"/>
    <w:basedOn w:val="Normal"/>
    <w:uiPriority w:val="1"/>
    <w:qFormat/>
    <w:rsid w:val="006633DB"/>
    <w:pPr>
      <w:widowControl w:val="0"/>
      <w:autoSpaceDE w:val="0"/>
      <w:autoSpaceDN w:val="0"/>
      <w:spacing w:after="0" w:line="240" w:lineRule="auto"/>
      <w:ind w:left="112"/>
    </w:pPr>
    <w:rPr>
      <w:rFonts w:ascii="Times New Roman" w:eastAsia="Times New Roman" w:hAnsi="Times New Roman"/>
      <w:lang w:val="en-US"/>
    </w:rPr>
  </w:style>
  <w:style w:type="paragraph" w:styleId="Encabezado">
    <w:name w:val="header"/>
    <w:basedOn w:val="Normal"/>
    <w:link w:val="EncabezadoCar"/>
    <w:uiPriority w:val="99"/>
    <w:unhideWhenUsed/>
    <w:rsid w:val="00091FE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91FE1"/>
  </w:style>
  <w:style w:type="paragraph" w:styleId="Piedepgina">
    <w:name w:val="footer"/>
    <w:basedOn w:val="Normal"/>
    <w:link w:val="PiedepginaCar"/>
    <w:uiPriority w:val="99"/>
    <w:unhideWhenUsed/>
    <w:rsid w:val="00091FE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91FE1"/>
  </w:style>
  <w:style w:type="character" w:styleId="Mencinsinresolver">
    <w:name w:val="Unresolved Mention"/>
    <w:uiPriority w:val="99"/>
    <w:semiHidden/>
    <w:unhideWhenUsed/>
    <w:rsid w:val="00B01872"/>
    <w:rPr>
      <w:color w:val="605E5C"/>
      <w:shd w:val="clear" w:color="auto" w:fill="E1DFDD"/>
    </w:rPr>
  </w:style>
  <w:style w:type="paragraph" w:styleId="Revisin">
    <w:name w:val="Revision"/>
    <w:hidden/>
    <w:uiPriority w:val="99"/>
    <w:semiHidden/>
    <w:rsid w:val="0092296C"/>
    <w:rPr>
      <w:sz w:val="22"/>
      <w:szCs w:val="22"/>
      <w:lang w:eastAsia="en-US"/>
    </w:rPr>
  </w:style>
  <w:style w:type="character" w:styleId="Textoennegrita">
    <w:name w:val="Strong"/>
    <w:uiPriority w:val="22"/>
    <w:qFormat/>
    <w:rsid w:val="00C022B3"/>
    <w:rPr>
      <w:b/>
      <w:bCs/>
    </w:rPr>
  </w:style>
  <w:style w:type="character" w:customStyle="1" w:styleId="underline">
    <w:name w:val="underline"/>
    <w:basedOn w:val="Fuentedeprrafopredeter"/>
    <w:rsid w:val="00C022B3"/>
  </w:style>
  <w:style w:type="paragraph" w:customStyle="1" w:styleId="ce-list--remove-bulletslist-item">
    <w:name w:val="ce-list--remove-bullets__list-item"/>
    <w:basedOn w:val="Normal"/>
    <w:rsid w:val="00B500A1"/>
    <w:pPr>
      <w:spacing w:before="100" w:beforeAutospacing="1" w:after="100" w:afterAutospacing="1" w:line="240" w:lineRule="auto"/>
    </w:pPr>
    <w:rPr>
      <w:rFonts w:ascii="Times New Roman" w:eastAsia="Times New Roman" w:hAnsi="Times New Roman"/>
      <w:sz w:val="24"/>
      <w:szCs w:val="24"/>
      <w:lang w:eastAsia="es-ES"/>
    </w:rPr>
  </w:style>
  <w:style w:type="character" w:customStyle="1" w:styleId="label">
    <w:name w:val="label"/>
    <w:basedOn w:val="Fuentedeprrafopredeter"/>
    <w:rsid w:val="00B500A1"/>
  </w:style>
  <w:style w:type="character" w:styleId="nfasis">
    <w:name w:val="Emphasis"/>
    <w:uiPriority w:val="20"/>
    <w:qFormat/>
    <w:rsid w:val="00B500A1"/>
    <w:rPr>
      <w:i/>
      <w:iCs/>
    </w:rPr>
  </w:style>
  <w:style w:type="paragraph" w:styleId="Textonotapie">
    <w:name w:val="footnote text"/>
    <w:basedOn w:val="Normal"/>
    <w:link w:val="TextonotapieCar"/>
    <w:uiPriority w:val="99"/>
    <w:semiHidden/>
    <w:unhideWhenUsed/>
    <w:rsid w:val="00C83CC8"/>
    <w:rPr>
      <w:sz w:val="20"/>
      <w:szCs w:val="20"/>
    </w:rPr>
  </w:style>
  <w:style w:type="character" w:customStyle="1" w:styleId="TextonotapieCar">
    <w:name w:val="Texto nota pie Car"/>
    <w:link w:val="Textonotapie"/>
    <w:uiPriority w:val="99"/>
    <w:semiHidden/>
    <w:rsid w:val="00C83CC8"/>
    <w:rPr>
      <w:lang w:eastAsia="en-US"/>
    </w:rPr>
  </w:style>
  <w:style w:type="character" w:styleId="Refdenotaalpie">
    <w:name w:val="footnote reference"/>
    <w:uiPriority w:val="99"/>
    <w:semiHidden/>
    <w:unhideWhenUsed/>
    <w:rsid w:val="00C83CC8"/>
    <w:rPr>
      <w:vertAlign w:val="superscript"/>
    </w:rPr>
  </w:style>
  <w:style w:type="character" w:styleId="Nmerodelnea">
    <w:name w:val="line number"/>
    <w:basedOn w:val="Fuentedeprrafopredeter"/>
    <w:uiPriority w:val="99"/>
    <w:semiHidden/>
    <w:unhideWhenUsed/>
    <w:rsid w:val="007529CE"/>
  </w:style>
  <w:style w:type="character" w:styleId="Textodelmarcadordeposicin">
    <w:name w:val="Placeholder Text"/>
    <w:uiPriority w:val="99"/>
    <w:semiHidden/>
    <w:rsid w:val="007C4C7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0789">
      <w:bodyDiv w:val="1"/>
      <w:marLeft w:val="0"/>
      <w:marRight w:val="0"/>
      <w:marTop w:val="0"/>
      <w:marBottom w:val="0"/>
      <w:divBdr>
        <w:top w:val="none" w:sz="0" w:space="0" w:color="auto"/>
        <w:left w:val="none" w:sz="0" w:space="0" w:color="auto"/>
        <w:bottom w:val="none" w:sz="0" w:space="0" w:color="auto"/>
        <w:right w:val="none" w:sz="0" w:space="0" w:color="auto"/>
      </w:divBdr>
      <w:divsChild>
        <w:div w:id="1640645071">
          <w:marLeft w:val="0"/>
          <w:marRight w:val="0"/>
          <w:marTop w:val="0"/>
          <w:marBottom w:val="0"/>
          <w:divBdr>
            <w:top w:val="none" w:sz="0" w:space="0" w:color="auto"/>
            <w:left w:val="none" w:sz="0" w:space="0" w:color="auto"/>
            <w:bottom w:val="none" w:sz="0" w:space="0" w:color="auto"/>
            <w:right w:val="none" w:sz="0" w:space="0" w:color="auto"/>
          </w:divBdr>
        </w:div>
        <w:div w:id="1049839738">
          <w:marLeft w:val="0"/>
          <w:marRight w:val="0"/>
          <w:marTop w:val="0"/>
          <w:marBottom w:val="0"/>
          <w:divBdr>
            <w:top w:val="none" w:sz="0" w:space="0" w:color="auto"/>
            <w:left w:val="none" w:sz="0" w:space="0" w:color="auto"/>
            <w:bottom w:val="none" w:sz="0" w:space="0" w:color="auto"/>
            <w:right w:val="none" w:sz="0" w:space="0" w:color="auto"/>
          </w:divBdr>
        </w:div>
        <w:div w:id="470484507">
          <w:marLeft w:val="0"/>
          <w:marRight w:val="0"/>
          <w:marTop w:val="0"/>
          <w:marBottom w:val="0"/>
          <w:divBdr>
            <w:top w:val="none" w:sz="0" w:space="0" w:color="auto"/>
            <w:left w:val="none" w:sz="0" w:space="0" w:color="auto"/>
            <w:bottom w:val="none" w:sz="0" w:space="0" w:color="auto"/>
            <w:right w:val="none" w:sz="0" w:space="0" w:color="auto"/>
          </w:divBdr>
        </w:div>
        <w:div w:id="820316948">
          <w:marLeft w:val="0"/>
          <w:marRight w:val="0"/>
          <w:marTop w:val="0"/>
          <w:marBottom w:val="0"/>
          <w:divBdr>
            <w:top w:val="none" w:sz="0" w:space="0" w:color="auto"/>
            <w:left w:val="none" w:sz="0" w:space="0" w:color="auto"/>
            <w:bottom w:val="none" w:sz="0" w:space="0" w:color="auto"/>
            <w:right w:val="none" w:sz="0" w:space="0" w:color="auto"/>
          </w:divBdr>
        </w:div>
        <w:div w:id="179899577">
          <w:marLeft w:val="0"/>
          <w:marRight w:val="0"/>
          <w:marTop w:val="0"/>
          <w:marBottom w:val="0"/>
          <w:divBdr>
            <w:top w:val="none" w:sz="0" w:space="0" w:color="auto"/>
            <w:left w:val="none" w:sz="0" w:space="0" w:color="auto"/>
            <w:bottom w:val="none" w:sz="0" w:space="0" w:color="auto"/>
            <w:right w:val="none" w:sz="0" w:space="0" w:color="auto"/>
          </w:divBdr>
        </w:div>
        <w:div w:id="517237357">
          <w:marLeft w:val="0"/>
          <w:marRight w:val="0"/>
          <w:marTop w:val="0"/>
          <w:marBottom w:val="0"/>
          <w:divBdr>
            <w:top w:val="none" w:sz="0" w:space="0" w:color="auto"/>
            <w:left w:val="none" w:sz="0" w:space="0" w:color="auto"/>
            <w:bottom w:val="none" w:sz="0" w:space="0" w:color="auto"/>
            <w:right w:val="none" w:sz="0" w:space="0" w:color="auto"/>
          </w:divBdr>
        </w:div>
        <w:div w:id="254242924">
          <w:marLeft w:val="0"/>
          <w:marRight w:val="0"/>
          <w:marTop w:val="0"/>
          <w:marBottom w:val="0"/>
          <w:divBdr>
            <w:top w:val="none" w:sz="0" w:space="0" w:color="auto"/>
            <w:left w:val="none" w:sz="0" w:space="0" w:color="auto"/>
            <w:bottom w:val="none" w:sz="0" w:space="0" w:color="auto"/>
            <w:right w:val="none" w:sz="0" w:space="0" w:color="auto"/>
          </w:divBdr>
        </w:div>
        <w:div w:id="348795559">
          <w:marLeft w:val="0"/>
          <w:marRight w:val="0"/>
          <w:marTop w:val="0"/>
          <w:marBottom w:val="0"/>
          <w:divBdr>
            <w:top w:val="none" w:sz="0" w:space="0" w:color="auto"/>
            <w:left w:val="none" w:sz="0" w:space="0" w:color="auto"/>
            <w:bottom w:val="none" w:sz="0" w:space="0" w:color="auto"/>
            <w:right w:val="none" w:sz="0" w:space="0" w:color="auto"/>
          </w:divBdr>
        </w:div>
        <w:div w:id="1250965844">
          <w:marLeft w:val="0"/>
          <w:marRight w:val="0"/>
          <w:marTop w:val="0"/>
          <w:marBottom w:val="0"/>
          <w:divBdr>
            <w:top w:val="none" w:sz="0" w:space="0" w:color="auto"/>
            <w:left w:val="none" w:sz="0" w:space="0" w:color="auto"/>
            <w:bottom w:val="none" w:sz="0" w:space="0" w:color="auto"/>
            <w:right w:val="none" w:sz="0" w:space="0" w:color="auto"/>
          </w:divBdr>
        </w:div>
        <w:div w:id="1935935908">
          <w:marLeft w:val="0"/>
          <w:marRight w:val="0"/>
          <w:marTop w:val="0"/>
          <w:marBottom w:val="0"/>
          <w:divBdr>
            <w:top w:val="none" w:sz="0" w:space="0" w:color="auto"/>
            <w:left w:val="none" w:sz="0" w:space="0" w:color="auto"/>
            <w:bottom w:val="none" w:sz="0" w:space="0" w:color="auto"/>
            <w:right w:val="none" w:sz="0" w:space="0" w:color="auto"/>
          </w:divBdr>
        </w:div>
        <w:div w:id="1681738035">
          <w:marLeft w:val="0"/>
          <w:marRight w:val="0"/>
          <w:marTop w:val="0"/>
          <w:marBottom w:val="0"/>
          <w:divBdr>
            <w:top w:val="none" w:sz="0" w:space="0" w:color="auto"/>
            <w:left w:val="none" w:sz="0" w:space="0" w:color="auto"/>
            <w:bottom w:val="none" w:sz="0" w:space="0" w:color="auto"/>
            <w:right w:val="none" w:sz="0" w:space="0" w:color="auto"/>
          </w:divBdr>
        </w:div>
        <w:div w:id="896626449">
          <w:marLeft w:val="0"/>
          <w:marRight w:val="0"/>
          <w:marTop w:val="0"/>
          <w:marBottom w:val="0"/>
          <w:divBdr>
            <w:top w:val="none" w:sz="0" w:space="0" w:color="auto"/>
            <w:left w:val="none" w:sz="0" w:space="0" w:color="auto"/>
            <w:bottom w:val="none" w:sz="0" w:space="0" w:color="auto"/>
            <w:right w:val="none" w:sz="0" w:space="0" w:color="auto"/>
          </w:divBdr>
        </w:div>
        <w:div w:id="2035500249">
          <w:marLeft w:val="0"/>
          <w:marRight w:val="0"/>
          <w:marTop w:val="0"/>
          <w:marBottom w:val="0"/>
          <w:divBdr>
            <w:top w:val="none" w:sz="0" w:space="0" w:color="auto"/>
            <w:left w:val="none" w:sz="0" w:space="0" w:color="auto"/>
            <w:bottom w:val="none" w:sz="0" w:space="0" w:color="auto"/>
            <w:right w:val="none" w:sz="0" w:space="0" w:color="auto"/>
          </w:divBdr>
        </w:div>
        <w:div w:id="1233350218">
          <w:marLeft w:val="0"/>
          <w:marRight w:val="0"/>
          <w:marTop w:val="0"/>
          <w:marBottom w:val="0"/>
          <w:divBdr>
            <w:top w:val="none" w:sz="0" w:space="0" w:color="auto"/>
            <w:left w:val="none" w:sz="0" w:space="0" w:color="auto"/>
            <w:bottom w:val="none" w:sz="0" w:space="0" w:color="auto"/>
            <w:right w:val="none" w:sz="0" w:space="0" w:color="auto"/>
          </w:divBdr>
        </w:div>
        <w:div w:id="1070032129">
          <w:marLeft w:val="0"/>
          <w:marRight w:val="0"/>
          <w:marTop w:val="0"/>
          <w:marBottom w:val="0"/>
          <w:divBdr>
            <w:top w:val="none" w:sz="0" w:space="0" w:color="auto"/>
            <w:left w:val="none" w:sz="0" w:space="0" w:color="auto"/>
            <w:bottom w:val="none" w:sz="0" w:space="0" w:color="auto"/>
            <w:right w:val="none" w:sz="0" w:space="0" w:color="auto"/>
          </w:divBdr>
        </w:div>
        <w:div w:id="66927102">
          <w:marLeft w:val="0"/>
          <w:marRight w:val="0"/>
          <w:marTop w:val="0"/>
          <w:marBottom w:val="0"/>
          <w:divBdr>
            <w:top w:val="none" w:sz="0" w:space="0" w:color="auto"/>
            <w:left w:val="none" w:sz="0" w:space="0" w:color="auto"/>
            <w:bottom w:val="none" w:sz="0" w:space="0" w:color="auto"/>
            <w:right w:val="none" w:sz="0" w:space="0" w:color="auto"/>
          </w:divBdr>
        </w:div>
        <w:div w:id="1863006811">
          <w:marLeft w:val="0"/>
          <w:marRight w:val="0"/>
          <w:marTop w:val="0"/>
          <w:marBottom w:val="0"/>
          <w:divBdr>
            <w:top w:val="none" w:sz="0" w:space="0" w:color="auto"/>
            <w:left w:val="none" w:sz="0" w:space="0" w:color="auto"/>
            <w:bottom w:val="none" w:sz="0" w:space="0" w:color="auto"/>
            <w:right w:val="none" w:sz="0" w:space="0" w:color="auto"/>
          </w:divBdr>
        </w:div>
        <w:div w:id="999041392">
          <w:marLeft w:val="0"/>
          <w:marRight w:val="0"/>
          <w:marTop w:val="0"/>
          <w:marBottom w:val="0"/>
          <w:divBdr>
            <w:top w:val="none" w:sz="0" w:space="0" w:color="auto"/>
            <w:left w:val="none" w:sz="0" w:space="0" w:color="auto"/>
            <w:bottom w:val="none" w:sz="0" w:space="0" w:color="auto"/>
            <w:right w:val="none" w:sz="0" w:space="0" w:color="auto"/>
          </w:divBdr>
        </w:div>
        <w:div w:id="807674488">
          <w:marLeft w:val="0"/>
          <w:marRight w:val="0"/>
          <w:marTop w:val="0"/>
          <w:marBottom w:val="0"/>
          <w:divBdr>
            <w:top w:val="none" w:sz="0" w:space="0" w:color="auto"/>
            <w:left w:val="none" w:sz="0" w:space="0" w:color="auto"/>
            <w:bottom w:val="none" w:sz="0" w:space="0" w:color="auto"/>
            <w:right w:val="none" w:sz="0" w:space="0" w:color="auto"/>
          </w:divBdr>
        </w:div>
        <w:div w:id="1529828321">
          <w:marLeft w:val="0"/>
          <w:marRight w:val="0"/>
          <w:marTop w:val="0"/>
          <w:marBottom w:val="0"/>
          <w:divBdr>
            <w:top w:val="none" w:sz="0" w:space="0" w:color="auto"/>
            <w:left w:val="none" w:sz="0" w:space="0" w:color="auto"/>
            <w:bottom w:val="none" w:sz="0" w:space="0" w:color="auto"/>
            <w:right w:val="none" w:sz="0" w:space="0" w:color="auto"/>
          </w:divBdr>
        </w:div>
        <w:div w:id="2105955461">
          <w:marLeft w:val="0"/>
          <w:marRight w:val="0"/>
          <w:marTop w:val="0"/>
          <w:marBottom w:val="0"/>
          <w:divBdr>
            <w:top w:val="none" w:sz="0" w:space="0" w:color="auto"/>
            <w:left w:val="none" w:sz="0" w:space="0" w:color="auto"/>
            <w:bottom w:val="none" w:sz="0" w:space="0" w:color="auto"/>
            <w:right w:val="none" w:sz="0" w:space="0" w:color="auto"/>
          </w:divBdr>
        </w:div>
        <w:div w:id="141505485">
          <w:marLeft w:val="0"/>
          <w:marRight w:val="0"/>
          <w:marTop w:val="0"/>
          <w:marBottom w:val="0"/>
          <w:divBdr>
            <w:top w:val="none" w:sz="0" w:space="0" w:color="auto"/>
            <w:left w:val="none" w:sz="0" w:space="0" w:color="auto"/>
            <w:bottom w:val="none" w:sz="0" w:space="0" w:color="auto"/>
            <w:right w:val="none" w:sz="0" w:space="0" w:color="auto"/>
          </w:divBdr>
        </w:div>
        <w:div w:id="1773470823">
          <w:marLeft w:val="0"/>
          <w:marRight w:val="0"/>
          <w:marTop w:val="0"/>
          <w:marBottom w:val="0"/>
          <w:divBdr>
            <w:top w:val="none" w:sz="0" w:space="0" w:color="auto"/>
            <w:left w:val="none" w:sz="0" w:space="0" w:color="auto"/>
            <w:bottom w:val="none" w:sz="0" w:space="0" w:color="auto"/>
            <w:right w:val="none" w:sz="0" w:space="0" w:color="auto"/>
          </w:divBdr>
        </w:div>
        <w:div w:id="1653631904">
          <w:marLeft w:val="0"/>
          <w:marRight w:val="0"/>
          <w:marTop w:val="0"/>
          <w:marBottom w:val="0"/>
          <w:divBdr>
            <w:top w:val="none" w:sz="0" w:space="0" w:color="auto"/>
            <w:left w:val="none" w:sz="0" w:space="0" w:color="auto"/>
            <w:bottom w:val="none" w:sz="0" w:space="0" w:color="auto"/>
            <w:right w:val="none" w:sz="0" w:space="0" w:color="auto"/>
          </w:divBdr>
        </w:div>
        <w:div w:id="176118136">
          <w:marLeft w:val="0"/>
          <w:marRight w:val="0"/>
          <w:marTop w:val="0"/>
          <w:marBottom w:val="0"/>
          <w:divBdr>
            <w:top w:val="none" w:sz="0" w:space="0" w:color="auto"/>
            <w:left w:val="none" w:sz="0" w:space="0" w:color="auto"/>
            <w:bottom w:val="none" w:sz="0" w:space="0" w:color="auto"/>
            <w:right w:val="none" w:sz="0" w:space="0" w:color="auto"/>
          </w:divBdr>
        </w:div>
        <w:div w:id="1878929452">
          <w:marLeft w:val="0"/>
          <w:marRight w:val="0"/>
          <w:marTop w:val="0"/>
          <w:marBottom w:val="0"/>
          <w:divBdr>
            <w:top w:val="none" w:sz="0" w:space="0" w:color="auto"/>
            <w:left w:val="none" w:sz="0" w:space="0" w:color="auto"/>
            <w:bottom w:val="none" w:sz="0" w:space="0" w:color="auto"/>
            <w:right w:val="none" w:sz="0" w:space="0" w:color="auto"/>
          </w:divBdr>
        </w:div>
        <w:div w:id="724450876">
          <w:marLeft w:val="0"/>
          <w:marRight w:val="0"/>
          <w:marTop w:val="0"/>
          <w:marBottom w:val="0"/>
          <w:divBdr>
            <w:top w:val="none" w:sz="0" w:space="0" w:color="auto"/>
            <w:left w:val="none" w:sz="0" w:space="0" w:color="auto"/>
            <w:bottom w:val="none" w:sz="0" w:space="0" w:color="auto"/>
            <w:right w:val="none" w:sz="0" w:space="0" w:color="auto"/>
          </w:divBdr>
        </w:div>
        <w:div w:id="515384119">
          <w:marLeft w:val="0"/>
          <w:marRight w:val="0"/>
          <w:marTop w:val="0"/>
          <w:marBottom w:val="0"/>
          <w:divBdr>
            <w:top w:val="none" w:sz="0" w:space="0" w:color="auto"/>
            <w:left w:val="none" w:sz="0" w:space="0" w:color="auto"/>
            <w:bottom w:val="none" w:sz="0" w:space="0" w:color="auto"/>
            <w:right w:val="none" w:sz="0" w:space="0" w:color="auto"/>
          </w:divBdr>
        </w:div>
        <w:div w:id="353505639">
          <w:marLeft w:val="0"/>
          <w:marRight w:val="0"/>
          <w:marTop w:val="0"/>
          <w:marBottom w:val="0"/>
          <w:divBdr>
            <w:top w:val="none" w:sz="0" w:space="0" w:color="auto"/>
            <w:left w:val="none" w:sz="0" w:space="0" w:color="auto"/>
            <w:bottom w:val="none" w:sz="0" w:space="0" w:color="auto"/>
            <w:right w:val="none" w:sz="0" w:space="0" w:color="auto"/>
          </w:divBdr>
        </w:div>
        <w:div w:id="616956333">
          <w:marLeft w:val="0"/>
          <w:marRight w:val="0"/>
          <w:marTop w:val="0"/>
          <w:marBottom w:val="0"/>
          <w:divBdr>
            <w:top w:val="none" w:sz="0" w:space="0" w:color="auto"/>
            <w:left w:val="none" w:sz="0" w:space="0" w:color="auto"/>
            <w:bottom w:val="none" w:sz="0" w:space="0" w:color="auto"/>
            <w:right w:val="none" w:sz="0" w:space="0" w:color="auto"/>
          </w:divBdr>
        </w:div>
        <w:div w:id="1200817249">
          <w:marLeft w:val="0"/>
          <w:marRight w:val="0"/>
          <w:marTop w:val="0"/>
          <w:marBottom w:val="0"/>
          <w:divBdr>
            <w:top w:val="none" w:sz="0" w:space="0" w:color="auto"/>
            <w:left w:val="none" w:sz="0" w:space="0" w:color="auto"/>
            <w:bottom w:val="none" w:sz="0" w:space="0" w:color="auto"/>
            <w:right w:val="none" w:sz="0" w:space="0" w:color="auto"/>
          </w:divBdr>
        </w:div>
        <w:div w:id="1993946651">
          <w:marLeft w:val="0"/>
          <w:marRight w:val="0"/>
          <w:marTop w:val="0"/>
          <w:marBottom w:val="0"/>
          <w:divBdr>
            <w:top w:val="none" w:sz="0" w:space="0" w:color="auto"/>
            <w:left w:val="none" w:sz="0" w:space="0" w:color="auto"/>
            <w:bottom w:val="none" w:sz="0" w:space="0" w:color="auto"/>
            <w:right w:val="none" w:sz="0" w:space="0" w:color="auto"/>
          </w:divBdr>
        </w:div>
        <w:div w:id="1286693913">
          <w:marLeft w:val="0"/>
          <w:marRight w:val="0"/>
          <w:marTop w:val="0"/>
          <w:marBottom w:val="0"/>
          <w:divBdr>
            <w:top w:val="none" w:sz="0" w:space="0" w:color="auto"/>
            <w:left w:val="none" w:sz="0" w:space="0" w:color="auto"/>
            <w:bottom w:val="none" w:sz="0" w:space="0" w:color="auto"/>
            <w:right w:val="none" w:sz="0" w:space="0" w:color="auto"/>
          </w:divBdr>
        </w:div>
        <w:div w:id="1255941826">
          <w:marLeft w:val="0"/>
          <w:marRight w:val="0"/>
          <w:marTop w:val="0"/>
          <w:marBottom w:val="0"/>
          <w:divBdr>
            <w:top w:val="none" w:sz="0" w:space="0" w:color="auto"/>
            <w:left w:val="none" w:sz="0" w:space="0" w:color="auto"/>
            <w:bottom w:val="none" w:sz="0" w:space="0" w:color="auto"/>
            <w:right w:val="none" w:sz="0" w:space="0" w:color="auto"/>
          </w:divBdr>
        </w:div>
        <w:div w:id="1849366892">
          <w:marLeft w:val="0"/>
          <w:marRight w:val="0"/>
          <w:marTop w:val="0"/>
          <w:marBottom w:val="0"/>
          <w:divBdr>
            <w:top w:val="none" w:sz="0" w:space="0" w:color="auto"/>
            <w:left w:val="none" w:sz="0" w:space="0" w:color="auto"/>
            <w:bottom w:val="none" w:sz="0" w:space="0" w:color="auto"/>
            <w:right w:val="none" w:sz="0" w:space="0" w:color="auto"/>
          </w:divBdr>
        </w:div>
        <w:div w:id="1404990506">
          <w:marLeft w:val="0"/>
          <w:marRight w:val="0"/>
          <w:marTop w:val="0"/>
          <w:marBottom w:val="0"/>
          <w:divBdr>
            <w:top w:val="none" w:sz="0" w:space="0" w:color="auto"/>
            <w:left w:val="none" w:sz="0" w:space="0" w:color="auto"/>
            <w:bottom w:val="none" w:sz="0" w:space="0" w:color="auto"/>
            <w:right w:val="none" w:sz="0" w:space="0" w:color="auto"/>
          </w:divBdr>
        </w:div>
        <w:div w:id="726685441">
          <w:marLeft w:val="0"/>
          <w:marRight w:val="0"/>
          <w:marTop w:val="0"/>
          <w:marBottom w:val="0"/>
          <w:divBdr>
            <w:top w:val="none" w:sz="0" w:space="0" w:color="auto"/>
            <w:left w:val="none" w:sz="0" w:space="0" w:color="auto"/>
            <w:bottom w:val="none" w:sz="0" w:space="0" w:color="auto"/>
            <w:right w:val="none" w:sz="0" w:space="0" w:color="auto"/>
          </w:divBdr>
        </w:div>
        <w:div w:id="1868253713">
          <w:marLeft w:val="0"/>
          <w:marRight w:val="0"/>
          <w:marTop w:val="0"/>
          <w:marBottom w:val="0"/>
          <w:divBdr>
            <w:top w:val="none" w:sz="0" w:space="0" w:color="auto"/>
            <w:left w:val="none" w:sz="0" w:space="0" w:color="auto"/>
            <w:bottom w:val="none" w:sz="0" w:space="0" w:color="auto"/>
            <w:right w:val="none" w:sz="0" w:space="0" w:color="auto"/>
          </w:divBdr>
        </w:div>
        <w:div w:id="202443963">
          <w:marLeft w:val="0"/>
          <w:marRight w:val="0"/>
          <w:marTop w:val="0"/>
          <w:marBottom w:val="0"/>
          <w:divBdr>
            <w:top w:val="none" w:sz="0" w:space="0" w:color="auto"/>
            <w:left w:val="none" w:sz="0" w:space="0" w:color="auto"/>
            <w:bottom w:val="none" w:sz="0" w:space="0" w:color="auto"/>
            <w:right w:val="none" w:sz="0" w:space="0" w:color="auto"/>
          </w:divBdr>
        </w:div>
        <w:div w:id="1702197500">
          <w:marLeft w:val="0"/>
          <w:marRight w:val="0"/>
          <w:marTop w:val="0"/>
          <w:marBottom w:val="0"/>
          <w:divBdr>
            <w:top w:val="none" w:sz="0" w:space="0" w:color="auto"/>
            <w:left w:val="none" w:sz="0" w:space="0" w:color="auto"/>
            <w:bottom w:val="none" w:sz="0" w:space="0" w:color="auto"/>
            <w:right w:val="none" w:sz="0" w:space="0" w:color="auto"/>
          </w:divBdr>
        </w:div>
        <w:div w:id="95564456">
          <w:marLeft w:val="0"/>
          <w:marRight w:val="0"/>
          <w:marTop w:val="0"/>
          <w:marBottom w:val="0"/>
          <w:divBdr>
            <w:top w:val="none" w:sz="0" w:space="0" w:color="auto"/>
            <w:left w:val="none" w:sz="0" w:space="0" w:color="auto"/>
            <w:bottom w:val="none" w:sz="0" w:space="0" w:color="auto"/>
            <w:right w:val="none" w:sz="0" w:space="0" w:color="auto"/>
          </w:divBdr>
        </w:div>
        <w:div w:id="1897277128">
          <w:marLeft w:val="0"/>
          <w:marRight w:val="0"/>
          <w:marTop w:val="0"/>
          <w:marBottom w:val="0"/>
          <w:divBdr>
            <w:top w:val="none" w:sz="0" w:space="0" w:color="auto"/>
            <w:left w:val="none" w:sz="0" w:space="0" w:color="auto"/>
            <w:bottom w:val="none" w:sz="0" w:space="0" w:color="auto"/>
            <w:right w:val="none" w:sz="0" w:space="0" w:color="auto"/>
          </w:divBdr>
        </w:div>
        <w:div w:id="1693220178">
          <w:marLeft w:val="0"/>
          <w:marRight w:val="0"/>
          <w:marTop w:val="0"/>
          <w:marBottom w:val="0"/>
          <w:divBdr>
            <w:top w:val="none" w:sz="0" w:space="0" w:color="auto"/>
            <w:left w:val="none" w:sz="0" w:space="0" w:color="auto"/>
            <w:bottom w:val="none" w:sz="0" w:space="0" w:color="auto"/>
            <w:right w:val="none" w:sz="0" w:space="0" w:color="auto"/>
          </w:divBdr>
        </w:div>
        <w:div w:id="1425027122">
          <w:marLeft w:val="0"/>
          <w:marRight w:val="0"/>
          <w:marTop w:val="0"/>
          <w:marBottom w:val="0"/>
          <w:divBdr>
            <w:top w:val="none" w:sz="0" w:space="0" w:color="auto"/>
            <w:left w:val="none" w:sz="0" w:space="0" w:color="auto"/>
            <w:bottom w:val="none" w:sz="0" w:space="0" w:color="auto"/>
            <w:right w:val="none" w:sz="0" w:space="0" w:color="auto"/>
          </w:divBdr>
        </w:div>
        <w:div w:id="355272521">
          <w:marLeft w:val="0"/>
          <w:marRight w:val="0"/>
          <w:marTop w:val="0"/>
          <w:marBottom w:val="0"/>
          <w:divBdr>
            <w:top w:val="none" w:sz="0" w:space="0" w:color="auto"/>
            <w:left w:val="none" w:sz="0" w:space="0" w:color="auto"/>
            <w:bottom w:val="none" w:sz="0" w:space="0" w:color="auto"/>
            <w:right w:val="none" w:sz="0" w:space="0" w:color="auto"/>
          </w:divBdr>
        </w:div>
        <w:div w:id="1985812713">
          <w:marLeft w:val="0"/>
          <w:marRight w:val="0"/>
          <w:marTop w:val="0"/>
          <w:marBottom w:val="0"/>
          <w:divBdr>
            <w:top w:val="none" w:sz="0" w:space="0" w:color="auto"/>
            <w:left w:val="none" w:sz="0" w:space="0" w:color="auto"/>
            <w:bottom w:val="none" w:sz="0" w:space="0" w:color="auto"/>
            <w:right w:val="none" w:sz="0" w:space="0" w:color="auto"/>
          </w:divBdr>
        </w:div>
        <w:div w:id="1135610947">
          <w:marLeft w:val="0"/>
          <w:marRight w:val="0"/>
          <w:marTop w:val="0"/>
          <w:marBottom w:val="0"/>
          <w:divBdr>
            <w:top w:val="none" w:sz="0" w:space="0" w:color="auto"/>
            <w:left w:val="none" w:sz="0" w:space="0" w:color="auto"/>
            <w:bottom w:val="none" w:sz="0" w:space="0" w:color="auto"/>
            <w:right w:val="none" w:sz="0" w:space="0" w:color="auto"/>
          </w:divBdr>
        </w:div>
        <w:div w:id="2051225365">
          <w:marLeft w:val="0"/>
          <w:marRight w:val="0"/>
          <w:marTop w:val="0"/>
          <w:marBottom w:val="0"/>
          <w:divBdr>
            <w:top w:val="none" w:sz="0" w:space="0" w:color="auto"/>
            <w:left w:val="none" w:sz="0" w:space="0" w:color="auto"/>
            <w:bottom w:val="none" w:sz="0" w:space="0" w:color="auto"/>
            <w:right w:val="none" w:sz="0" w:space="0" w:color="auto"/>
          </w:divBdr>
        </w:div>
        <w:div w:id="961812002">
          <w:marLeft w:val="0"/>
          <w:marRight w:val="0"/>
          <w:marTop w:val="0"/>
          <w:marBottom w:val="0"/>
          <w:divBdr>
            <w:top w:val="none" w:sz="0" w:space="0" w:color="auto"/>
            <w:left w:val="none" w:sz="0" w:space="0" w:color="auto"/>
            <w:bottom w:val="none" w:sz="0" w:space="0" w:color="auto"/>
            <w:right w:val="none" w:sz="0" w:space="0" w:color="auto"/>
          </w:divBdr>
        </w:div>
        <w:div w:id="521208302">
          <w:marLeft w:val="0"/>
          <w:marRight w:val="0"/>
          <w:marTop w:val="0"/>
          <w:marBottom w:val="0"/>
          <w:divBdr>
            <w:top w:val="none" w:sz="0" w:space="0" w:color="auto"/>
            <w:left w:val="none" w:sz="0" w:space="0" w:color="auto"/>
            <w:bottom w:val="none" w:sz="0" w:space="0" w:color="auto"/>
            <w:right w:val="none" w:sz="0" w:space="0" w:color="auto"/>
          </w:divBdr>
          <w:divsChild>
            <w:div w:id="1646467560">
              <w:marLeft w:val="0"/>
              <w:marRight w:val="0"/>
              <w:marTop w:val="0"/>
              <w:marBottom w:val="0"/>
              <w:divBdr>
                <w:top w:val="none" w:sz="0" w:space="0" w:color="auto"/>
                <w:left w:val="none" w:sz="0" w:space="0" w:color="auto"/>
                <w:bottom w:val="none" w:sz="0" w:space="0" w:color="auto"/>
                <w:right w:val="none" w:sz="0" w:space="0" w:color="auto"/>
              </w:divBdr>
              <w:divsChild>
                <w:div w:id="1264145416">
                  <w:marLeft w:val="0"/>
                  <w:marRight w:val="0"/>
                  <w:marTop w:val="0"/>
                  <w:marBottom w:val="0"/>
                  <w:divBdr>
                    <w:top w:val="none" w:sz="0" w:space="0" w:color="auto"/>
                    <w:left w:val="none" w:sz="0" w:space="0" w:color="auto"/>
                    <w:bottom w:val="none" w:sz="0" w:space="0" w:color="auto"/>
                    <w:right w:val="none" w:sz="0" w:space="0" w:color="auto"/>
                  </w:divBdr>
                </w:div>
                <w:div w:id="1218779328">
                  <w:marLeft w:val="0"/>
                  <w:marRight w:val="0"/>
                  <w:marTop w:val="0"/>
                  <w:marBottom w:val="0"/>
                  <w:divBdr>
                    <w:top w:val="none" w:sz="0" w:space="0" w:color="auto"/>
                    <w:left w:val="none" w:sz="0" w:space="0" w:color="auto"/>
                    <w:bottom w:val="none" w:sz="0" w:space="0" w:color="auto"/>
                    <w:right w:val="none" w:sz="0" w:space="0" w:color="auto"/>
                  </w:divBdr>
                </w:div>
                <w:div w:id="21518878">
                  <w:marLeft w:val="0"/>
                  <w:marRight w:val="0"/>
                  <w:marTop w:val="0"/>
                  <w:marBottom w:val="0"/>
                  <w:divBdr>
                    <w:top w:val="none" w:sz="0" w:space="0" w:color="auto"/>
                    <w:left w:val="none" w:sz="0" w:space="0" w:color="auto"/>
                    <w:bottom w:val="none" w:sz="0" w:space="0" w:color="auto"/>
                    <w:right w:val="none" w:sz="0" w:space="0" w:color="auto"/>
                  </w:divBdr>
                </w:div>
                <w:div w:id="1116483653">
                  <w:marLeft w:val="0"/>
                  <w:marRight w:val="0"/>
                  <w:marTop w:val="0"/>
                  <w:marBottom w:val="0"/>
                  <w:divBdr>
                    <w:top w:val="none" w:sz="0" w:space="0" w:color="auto"/>
                    <w:left w:val="none" w:sz="0" w:space="0" w:color="auto"/>
                    <w:bottom w:val="none" w:sz="0" w:space="0" w:color="auto"/>
                    <w:right w:val="none" w:sz="0" w:space="0" w:color="auto"/>
                  </w:divBdr>
                </w:div>
                <w:div w:id="1274509614">
                  <w:marLeft w:val="0"/>
                  <w:marRight w:val="0"/>
                  <w:marTop w:val="0"/>
                  <w:marBottom w:val="0"/>
                  <w:divBdr>
                    <w:top w:val="none" w:sz="0" w:space="0" w:color="auto"/>
                    <w:left w:val="none" w:sz="0" w:space="0" w:color="auto"/>
                    <w:bottom w:val="none" w:sz="0" w:space="0" w:color="auto"/>
                    <w:right w:val="none" w:sz="0" w:space="0" w:color="auto"/>
                  </w:divBdr>
                </w:div>
                <w:div w:id="52511765">
                  <w:marLeft w:val="0"/>
                  <w:marRight w:val="0"/>
                  <w:marTop w:val="0"/>
                  <w:marBottom w:val="0"/>
                  <w:divBdr>
                    <w:top w:val="none" w:sz="0" w:space="0" w:color="auto"/>
                    <w:left w:val="none" w:sz="0" w:space="0" w:color="auto"/>
                    <w:bottom w:val="none" w:sz="0" w:space="0" w:color="auto"/>
                    <w:right w:val="none" w:sz="0" w:space="0" w:color="auto"/>
                  </w:divBdr>
                </w:div>
                <w:div w:id="1691105851">
                  <w:marLeft w:val="0"/>
                  <w:marRight w:val="0"/>
                  <w:marTop w:val="0"/>
                  <w:marBottom w:val="0"/>
                  <w:divBdr>
                    <w:top w:val="none" w:sz="0" w:space="0" w:color="auto"/>
                    <w:left w:val="none" w:sz="0" w:space="0" w:color="auto"/>
                    <w:bottom w:val="none" w:sz="0" w:space="0" w:color="auto"/>
                    <w:right w:val="none" w:sz="0" w:space="0" w:color="auto"/>
                  </w:divBdr>
                </w:div>
                <w:div w:id="176310423">
                  <w:marLeft w:val="0"/>
                  <w:marRight w:val="0"/>
                  <w:marTop w:val="0"/>
                  <w:marBottom w:val="0"/>
                  <w:divBdr>
                    <w:top w:val="none" w:sz="0" w:space="0" w:color="auto"/>
                    <w:left w:val="none" w:sz="0" w:space="0" w:color="auto"/>
                    <w:bottom w:val="none" w:sz="0" w:space="0" w:color="auto"/>
                    <w:right w:val="none" w:sz="0" w:space="0" w:color="auto"/>
                  </w:divBdr>
                </w:div>
                <w:div w:id="1929733879">
                  <w:marLeft w:val="0"/>
                  <w:marRight w:val="0"/>
                  <w:marTop w:val="0"/>
                  <w:marBottom w:val="0"/>
                  <w:divBdr>
                    <w:top w:val="none" w:sz="0" w:space="0" w:color="auto"/>
                    <w:left w:val="none" w:sz="0" w:space="0" w:color="auto"/>
                    <w:bottom w:val="none" w:sz="0" w:space="0" w:color="auto"/>
                    <w:right w:val="none" w:sz="0" w:space="0" w:color="auto"/>
                  </w:divBdr>
                </w:div>
                <w:div w:id="994650307">
                  <w:marLeft w:val="0"/>
                  <w:marRight w:val="0"/>
                  <w:marTop w:val="0"/>
                  <w:marBottom w:val="0"/>
                  <w:divBdr>
                    <w:top w:val="none" w:sz="0" w:space="0" w:color="auto"/>
                    <w:left w:val="none" w:sz="0" w:space="0" w:color="auto"/>
                    <w:bottom w:val="none" w:sz="0" w:space="0" w:color="auto"/>
                    <w:right w:val="none" w:sz="0" w:space="0" w:color="auto"/>
                  </w:divBdr>
                </w:div>
                <w:div w:id="1164586838">
                  <w:marLeft w:val="0"/>
                  <w:marRight w:val="0"/>
                  <w:marTop w:val="0"/>
                  <w:marBottom w:val="0"/>
                  <w:divBdr>
                    <w:top w:val="none" w:sz="0" w:space="0" w:color="auto"/>
                    <w:left w:val="none" w:sz="0" w:space="0" w:color="auto"/>
                    <w:bottom w:val="none" w:sz="0" w:space="0" w:color="auto"/>
                    <w:right w:val="none" w:sz="0" w:space="0" w:color="auto"/>
                  </w:divBdr>
                </w:div>
                <w:div w:id="139074682">
                  <w:marLeft w:val="0"/>
                  <w:marRight w:val="0"/>
                  <w:marTop w:val="0"/>
                  <w:marBottom w:val="0"/>
                  <w:divBdr>
                    <w:top w:val="none" w:sz="0" w:space="0" w:color="auto"/>
                    <w:left w:val="none" w:sz="0" w:space="0" w:color="auto"/>
                    <w:bottom w:val="none" w:sz="0" w:space="0" w:color="auto"/>
                    <w:right w:val="none" w:sz="0" w:space="0" w:color="auto"/>
                  </w:divBdr>
                </w:div>
                <w:div w:id="204876726">
                  <w:marLeft w:val="0"/>
                  <w:marRight w:val="0"/>
                  <w:marTop w:val="0"/>
                  <w:marBottom w:val="0"/>
                  <w:divBdr>
                    <w:top w:val="none" w:sz="0" w:space="0" w:color="auto"/>
                    <w:left w:val="none" w:sz="0" w:space="0" w:color="auto"/>
                    <w:bottom w:val="none" w:sz="0" w:space="0" w:color="auto"/>
                    <w:right w:val="none" w:sz="0" w:space="0" w:color="auto"/>
                  </w:divBdr>
                </w:div>
                <w:div w:id="1755395154">
                  <w:marLeft w:val="0"/>
                  <w:marRight w:val="0"/>
                  <w:marTop w:val="0"/>
                  <w:marBottom w:val="0"/>
                  <w:divBdr>
                    <w:top w:val="none" w:sz="0" w:space="0" w:color="auto"/>
                    <w:left w:val="none" w:sz="0" w:space="0" w:color="auto"/>
                    <w:bottom w:val="none" w:sz="0" w:space="0" w:color="auto"/>
                    <w:right w:val="none" w:sz="0" w:space="0" w:color="auto"/>
                  </w:divBdr>
                </w:div>
                <w:div w:id="1071388921">
                  <w:marLeft w:val="0"/>
                  <w:marRight w:val="0"/>
                  <w:marTop w:val="0"/>
                  <w:marBottom w:val="0"/>
                  <w:divBdr>
                    <w:top w:val="none" w:sz="0" w:space="0" w:color="auto"/>
                    <w:left w:val="none" w:sz="0" w:space="0" w:color="auto"/>
                    <w:bottom w:val="none" w:sz="0" w:space="0" w:color="auto"/>
                    <w:right w:val="none" w:sz="0" w:space="0" w:color="auto"/>
                  </w:divBdr>
                </w:div>
                <w:div w:id="178354169">
                  <w:marLeft w:val="0"/>
                  <w:marRight w:val="0"/>
                  <w:marTop w:val="0"/>
                  <w:marBottom w:val="0"/>
                  <w:divBdr>
                    <w:top w:val="none" w:sz="0" w:space="0" w:color="auto"/>
                    <w:left w:val="none" w:sz="0" w:space="0" w:color="auto"/>
                    <w:bottom w:val="none" w:sz="0" w:space="0" w:color="auto"/>
                    <w:right w:val="none" w:sz="0" w:space="0" w:color="auto"/>
                  </w:divBdr>
                </w:div>
                <w:div w:id="831217731">
                  <w:marLeft w:val="0"/>
                  <w:marRight w:val="0"/>
                  <w:marTop w:val="0"/>
                  <w:marBottom w:val="0"/>
                  <w:divBdr>
                    <w:top w:val="none" w:sz="0" w:space="0" w:color="auto"/>
                    <w:left w:val="none" w:sz="0" w:space="0" w:color="auto"/>
                    <w:bottom w:val="none" w:sz="0" w:space="0" w:color="auto"/>
                    <w:right w:val="none" w:sz="0" w:space="0" w:color="auto"/>
                  </w:divBdr>
                </w:div>
                <w:div w:id="2121755636">
                  <w:marLeft w:val="0"/>
                  <w:marRight w:val="0"/>
                  <w:marTop w:val="0"/>
                  <w:marBottom w:val="0"/>
                  <w:divBdr>
                    <w:top w:val="none" w:sz="0" w:space="0" w:color="auto"/>
                    <w:left w:val="none" w:sz="0" w:space="0" w:color="auto"/>
                    <w:bottom w:val="none" w:sz="0" w:space="0" w:color="auto"/>
                    <w:right w:val="none" w:sz="0" w:space="0" w:color="auto"/>
                  </w:divBdr>
                </w:div>
                <w:div w:id="348457566">
                  <w:marLeft w:val="0"/>
                  <w:marRight w:val="0"/>
                  <w:marTop w:val="0"/>
                  <w:marBottom w:val="0"/>
                  <w:divBdr>
                    <w:top w:val="none" w:sz="0" w:space="0" w:color="auto"/>
                    <w:left w:val="none" w:sz="0" w:space="0" w:color="auto"/>
                    <w:bottom w:val="none" w:sz="0" w:space="0" w:color="auto"/>
                    <w:right w:val="none" w:sz="0" w:space="0" w:color="auto"/>
                  </w:divBdr>
                </w:div>
                <w:div w:id="975524905">
                  <w:marLeft w:val="0"/>
                  <w:marRight w:val="0"/>
                  <w:marTop w:val="0"/>
                  <w:marBottom w:val="0"/>
                  <w:divBdr>
                    <w:top w:val="none" w:sz="0" w:space="0" w:color="auto"/>
                    <w:left w:val="none" w:sz="0" w:space="0" w:color="auto"/>
                    <w:bottom w:val="none" w:sz="0" w:space="0" w:color="auto"/>
                    <w:right w:val="none" w:sz="0" w:space="0" w:color="auto"/>
                  </w:divBdr>
                </w:div>
                <w:div w:id="1479033015">
                  <w:marLeft w:val="0"/>
                  <w:marRight w:val="0"/>
                  <w:marTop w:val="0"/>
                  <w:marBottom w:val="0"/>
                  <w:divBdr>
                    <w:top w:val="none" w:sz="0" w:space="0" w:color="auto"/>
                    <w:left w:val="none" w:sz="0" w:space="0" w:color="auto"/>
                    <w:bottom w:val="none" w:sz="0" w:space="0" w:color="auto"/>
                    <w:right w:val="none" w:sz="0" w:space="0" w:color="auto"/>
                  </w:divBdr>
                </w:div>
                <w:div w:id="921795827">
                  <w:marLeft w:val="0"/>
                  <w:marRight w:val="0"/>
                  <w:marTop w:val="0"/>
                  <w:marBottom w:val="0"/>
                  <w:divBdr>
                    <w:top w:val="none" w:sz="0" w:space="0" w:color="auto"/>
                    <w:left w:val="none" w:sz="0" w:space="0" w:color="auto"/>
                    <w:bottom w:val="none" w:sz="0" w:space="0" w:color="auto"/>
                    <w:right w:val="none" w:sz="0" w:space="0" w:color="auto"/>
                  </w:divBdr>
                </w:div>
                <w:div w:id="493188528">
                  <w:marLeft w:val="0"/>
                  <w:marRight w:val="0"/>
                  <w:marTop w:val="0"/>
                  <w:marBottom w:val="0"/>
                  <w:divBdr>
                    <w:top w:val="none" w:sz="0" w:space="0" w:color="auto"/>
                    <w:left w:val="none" w:sz="0" w:space="0" w:color="auto"/>
                    <w:bottom w:val="none" w:sz="0" w:space="0" w:color="auto"/>
                    <w:right w:val="none" w:sz="0" w:space="0" w:color="auto"/>
                  </w:divBdr>
                </w:div>
                <w:div w:id="432239341">
                  <w:marLeft w:val="0"/>
                  <w:marRight w:val="0"/>
                  <w:marTop w:val="0"/>
                  <w:marBottom w:val="0"/>
                  <w:divBdr>
                    <w:top w:val="none" w:sz="0" w:space="0" w:color="auto"/>
                    <w:left w:val="none" w:sz="0" w:space="0" w:color="auto"/>
                    <w:bottom w:val="none" w:sz="0" w:space="0" w:color="auto"/>
                    <w:right w:val="none" w:sz="0" w:space="0" w:color="auto"/>
                  </w:divBdr>
                </w:div>
                <w:div w:id="314799320">
                  <w:marLeft w:val="0"/>
                  <w:marRight w:val="0"/>
                  <w:marTop w:val="0"/>
                  <w:marBottom w:val="0"/>
                  <w:divBdr>
                    <w:top w:val="none" w:sz="0" w:space="0" w:color="auto"/>
                    <w:left w:val="none" w:sz="0" w:space="0" w:color="auto"/>
                    <w:bottom w:val="none" w:sz="0" w:space="0" w:color="auto"/>
                    <w:right w:val="none" w:sz="0" w:space="0" w:color="auto"/>
                  </w:divBdr>
                </w:div>
                <w:div w:id="515386191">
                  <w:marLeft w:val="0"/>
                  <w:marRight w:val="0"/>
                  <w:marTop w:val="0"/>
                  <w:marBottom w:val="0"/>
                  <w:divBdr>
                    <w:top w:val="none" w:sz="0" w:space="0" w:color="auto"/>
                    <w:left w:val="none" w:sz="0" w:space="0" w:color="auto"/>
                    <w:bottom w:val="none" w:sz="0" w:space="0" w:color="auto"/>
                    <w:right w:val="none" w:sz="0" w:space="0" w:color="auto"/>
                  </w:divBdr>
                </w:div>
                <w:div w:id="476922347">
                  <w:marLeft w:val="0"/>
                  <w:marRight w:val="0"/>
                  <w:marTop w:val="0"/>
                  <w:marBottom w:val="0"/>
                  <w:divBdr>
                    <w:top w:val="none" w:sz="0" w:space="0" w:color="auto"/>
                    <w:left w:val="none" w:sz="0" w:space="0" w:color="auto"/>
                    <w:bottom w:val="none" w:sz="0" w:space="0" w:color="auto"/>
                    <w:right w:val="none" w:sz="0" w:space="0" w:color="auto"/>
                  </w:divBdr>
                </w:div>
                <w:div w:id="1908607140">
                  <w:marLeft w:val="0"/>
                  <w:marRight w:val="0"/>
                  <w:marTop w:val="0"/>
                  <w:marBottom w:val="0"/>
                  <w:divBdr>
                    <w:top w:val="none" w:sz="0" w:space="0" w:color="auto"/>
                    <w:left w:val="none" w:sz="0" w:space="0" w:color="auto"/>
                    <w:bottom w:val="none" w:sz="0" w:space="0" w:color="auto"/>
                    <w:right w:val="none" w:sz="0" w:space="0" w:color="auto"/>
                  </w:divBdr>
                </w:div>
                <w:div w:id="269162495">
                  <w:marLeft w:val="0"/>
                  <w:marRight w:val="0"/>
                  <w:marTop w:val="0"/>
                  <w:marBottom w:val="0"/>
                  <w:divBdr>
                    <w:top w:val="none" w:sz="0" w:space="0" w:color="auto"/>
                    <w:left w:val="none" w:sz="0" w:space="0" w:color="auto"/>
                    <w:bottom w:val="none" w:sz="0" w:space="0" w:color="auto"/>
                    <w:right w:val="none" w:sz="0" w:space="0" w:color="auto"/>
                  </w:divBdr>
                </w:div>
                <w:div w:id="639263036">
                  <w:marLeft w:val="0"/>
                  <w:marRight w:val="0"/>
                  <w:marTop w:val="0"/>
                  <w:marBottom w:val="0"/>
                  <w:divBdr>
                    <w:top w:val="none" w:sz="0" w:space="0" w:color="auto"/>
                    <w:left w:val="none" w:sz="0" w:space="0" w:color="auto"/>
                    <w:bottom w:val="none" w:sz="0" w:space="0" w:color="auto"/>
                    <w:right w:val="none" w:sz="0" w:space="0" w:color="auto"/>
                  </w:divBdr>
                </w:div>
                <w:div w:id="1471090312">
                  <w:marLeft w:val="0"/>
                  <w:marRight w:val="0"/>
                  <w:marTop w:val="0"/>
                  <w:marBottom w:val="0"/>
                  <w:divBdr>
                    <w:top w:val="none" w:sz="0" w:space="0" w:color="auto"/>
                    <w:left w:val="none" w:sz="0" w:space="0" w:color="auto"/>
                    <w:bottom w:val="none" w:sz="0" w:space="0" w:color="auto"/>
                    <w:right w:val="none" w:sz="0" w:space="0" w:color="auto"/>
                  </w:divBdr>
                </w:div>
                <w:div w:id="312635865">
                  <w:marLeft w:val="0"/>
                  <w:marRight w:val="0"/>
                  <w:marTop w:val="0"/>
                  <w:marBottom w:val="0"/>
                  <w:divBdr>
                    <w:top w:val="none" w:sz="0" w:space="0" w:color="auto"/>
                    <w:left w:val="none" w:sz="0" w:space="0" w:color="auto"/>
                    <w:bottom w:val="none" w:sz="0" w:space="0" w:color="auto"/>
                    <w:right w:val="none" w:sz="0" w:space="0" w:color="auto"/>
                  </w:divBdr>
                </w:div>
                <w:div w:id="1026834528">
                  <w:marLeft w:val="0"/>
                  <w:marRight w:val="0"/>
                  <w:marTop w:val="0"/>
                  <w:marBottom w:val="0"/>
                  <w:divBdr>
                    <w:top w:val="none" w:sz="0" w:space="0" w:color="auto"/>
                    <w:left w:val="none" w:sz="0" w:space="0" w:color="auto"/>
                    <w:bottom w:val="none" w:sz="0" w:space="0" w:color="auto"/>
                    <w:right w:val="none" w:sz="0" w:space="0" w:color="auto"/>
                  </w:divBdr>
                </w:div>
                <w:div w:id="833449853">
                  <w:marLeft w:val="0"/>
                  <w:marRight w:val="0"/>
                  <w:marTop w:val="0"/>
                  <w:marBottom w:val="0"/>
                  <w:divBdr>
                    <w:top w:val="none" w:sz="0" w:space="0" w:color="auto"/>
                    <w:left w:val="none" w:sz="0" w:space="0" w:color="auto"/>
                    <w:bottom w:val="none" w:sz="0" w:space="0" w:color="auto"/>
                    <w:right w:val="none" w:sz="0" w:space="0" w:color="auto"/>
                  </w:divBdr>
                </w:div>
                <w:div w:id="1186482633">
                  <w:marLeft w:val="0"/>
                  <w:marRight w:val="0"/>
                  <w:marTop w:val="0"/>
                  <w:marBottom w:val="0"/>
                  <w:divBdr>
                    <w:top w:val="none" w:sz="0" w:space="0" w:color="auto"/>
                    <w:left w:val="none" w:sz="0" w:space="0" w:color="auto"/>
                    <w:bottom w:val="none" w:sz="0" w:space="0" w:color="auto"/>
                    <w:right w:val="none" w:sz="0" w:space="0" w:color="auto"/>
                  </w:divBdr>
                </w:div>
                <w:div w:id="1198616988">
                  <w:marLeft w:val="0"/>
                  <w:marRight w:val="0"/>
                  <w:marTop w:val="0"/>
                  <w:marBottom w:val="0"/>
                  <w:divBdr>
                    <w:top w:val="none" w:sz="0" w:space="0" w:color="auto"/>
                    <w:left w:val="none" w:sz="0" w:space="0" w:color="auto"/>
                    <w:bottom w:val="none" w:sz="0" w:space="0" w:color="auto"/>
                    <w:right w:val="none" w:sz="0" w:space="0" w:color="auto"/>
                  </w:divBdr>
                </w:div>
                <w:div w:id="562907608">
                  <w:marLeft w:val="0"/>
                  <w:marRight w:val="0"/>
                  <w:marTop w:val="0"/>
                  <w:marBottom w:val="0"/>
                  <w:divBdr>
                    <w:top w:val="none" w:sz="0" w:space="0" w:color="auto"/>
                    <w:left w:val="none" w:sz="0" w:space="0" w:color="auto"/>
                    <w:bottom w:val="none" w:sz="0" w:space="0" w:color="auto"/>
                    <w:right w:val="none" w:sz="0" w:space="0" w:color="auto"/>
                  </w:divBdr>
                </w:div>
                <w:div w:id="178587176">
                  <w:marLeft w:val="0"/>
                  <w:marRight w:val="0"/>
                  <w:marTop w:val="0"/>
                  <w:marBottom w:val="0"/>
                  <w:divBdr>
                    <w:top w:val="none" w:sz="0" w:space="0" w:color="auto"/>
                    <w:left w:val="none" w:sz="0" w:space="0" w:color="auto"/>
                    <w:bottom w:val="none" w:sz="0" w:space="0" w:color="auto"/>
                    <w:right w:val="none" w:sz="0" w:space="0" w:color="auto"/>
                  </w:divBdr>
                </w:div>
                <w:div w:id="599991355">
                  <w:marLeft w:val="0"/>
                  <w:marRight w:val="0"/>
                  <w:marTop w:val="0"/>
                  <w:marBottom w:val="0"/>
                  <w:divBdr>
                    <w:top w:val="none" w:sz="0" w:space="0" w:color="auto"/>
                    <w:left w:val="none" w:sz="0" w:space="0" w:color="auto"/>
                    <w:bottom w:val="none" w:sz="0" w:space="0" w:color="auto"/>
                    <w:right w:val="none" w:sz="0" w:space="0" w:color="auto"/>
                  </w:divBdr>
                </w:div>
                <w:div w:id="253511586">
                  <w:marLeft w:val="0"/>
                  <w:marRight w:val="0"/>
                  <w:marTop w:val="0"/>
                  <w:marBottom w:val="0"/>
                  <w:divBdr>
                    <w:top w:val="none" w:sz="0" w:space="0" w:color="auto"/>
                    <w:left w:val="none" w:sz="0" w:space="0" w:color="auto"/>
                    <w:bottom w:val="none" w:sz="0" w:space="0" w:color="auto"/>
                    <w:right w:val="none" w:sz="0" w:space="0" w:color="auto"/>
                  </w:divBdr>
                </w:div>
                <w:div w:id="1015111749">
                  <w:marLeft w:val="0"/>
                  <w:marRight w:val="0"/>
                  <w:marTop w:val="0"/>
                  <w:marBottom w:val="0"/>
                  <w:divBdr>
                    <w:top w:val="none" w:sz="0" w:space="0" w:color="auto"/>
                    <w:left w:val="none" w:sz="0" w:space="0" w:color="auto"/>
                    <w:bottom w:val="none" w:sz="0" w:space="0" w:color="auto"/>
                    <w:right w:val="none" w:sz="0" w:space="0" w:color="auto"/>
                  </w:divBdr>
                </w:div>
                <w:div w:id="1523667975">
                  <w:marLeft w:val="0"/>
                  <w:marRight w:val="0"/>
                  <w:marTop w:val="0"/>
                  <w:marBottom w:val="0"/>
                  <w:divBdr>
                    <w:top w:val="none" w:sz="0" w:space="0" w:color="auto"/>
                    <w:left w:val="none" w:sz="0" w:space="0" w:color="auto"/>
                    <w:bottom w:val="none" w:sz="0" w:space="0" w:color="auto"/>
                    <w:right w:val="none" w:sz="0" w:space="0" w:color="auto"/>
                  </w:divBdr>
                </w:div>
                <w:div w:id="769661258">
                  <w:marLeft w:val="0"/>
                  <w:marRight w:val="0"/>
                  <w:marTop w:val="0"/>
                  <w:marBottom w:val="0"/>
                  <w:divBdr>
                    <w:top w:val="none" w:sz="0" w:space="0" w:color="auto"/>
                    <w:left w:val="none" w:sz="0" w:space="0" w:color="auto"/>
                    <w:bottom w:val="none" w:sz="0" w:space="0" w:color="auto"/>
                    <w:right w:val="none" w:sz="0" w:space="0" w:color="auto"/>
                  </w:divBdr>
                </w:div>
                <w:div w:id="1262687142">
                  <w:marLeft w:val="0"/>
                  <w:marRight w:val="0"/>
                  <w:marTop w:val="0"/>
                  <w:marBottom w:val="0"/>
                  <w:divBdr>
                    <w:top w:val="none" w:sz="0" w:space="0" w:color="auto"/>
                    <w:left w:val="none" w:sz="0" w:space="0" w:color="auto"/>
                    <w:bottom w:val="none" w:sz="0" w:space="0" w:color="auto"/>
                    <w:right w:val="none" w:sz="0" w:space="0" w:color="auto"/>
                  </w:divBdr>
                </w:div>
                <w:div w:id="1141000035">
                  <w:marLeft w:val="0"/>
                  <w:marRight w:val="0"/>
                  <w:marTop w:val="0"/>
                  <w:marBottom w:val="0"/>
                  <w:divBdr>
                    <w:top w:val="none" w:sz="0" w:space="0" w:color="auto"/>
                    <w:left w:val="none" w:sz="0" w:space="0" w:color="auto"/>
                    <w:bottom w:val="none" w:sz="0" w:space="0" w:color="auto"/>
                    <w:right w:val="none" w:sz="0" w:space="0" w:color="auto"/>
                  </w:divBdr>
                </w:div>
                <w:div w:id="867526451">
                  <w:marLeft w:val="0"/>
                  <w:marRight w:val="0"/>
                  <w:marTop w:val="0"/>
                  <w:marBottom w:val="0"/>
                  <w:divBdr>
                    <w:top w:val="none" w:sz="0" w:space="0" w:color="auto"/>
                    <w:left w:val="none" w:sz="0" w:space="0" w:color="auto"/>
                    <w:bottom w:val="none" w:sz="0" w:space="0" w:color="auto"/>
                    <w:right w:val="none" w:sz="0" w:space="0" w:color="auto"/>
                  </w:divBdr>
                </w:div>
                <w:div w:id="1195311589">
                  <w:marLeft w:val="0"/>
                  <w:marRight w:val="0"/>
                  <w:marTop w:val="0"/>
                  <w:marBottom w:val="0"/>
                  <w:divBdr>
                    <w:top w:val="none" w:sz="0" w:space="0" w:color="auto"/>
                    <w:left w:val="none" w:sz="0" w:space="0" w:color="auto"/>
                    <w:bottom w:val="none" w:sz="0" w:space="0" w:color="auto"/>
                    <w:right w:val="none" w:sz="0" w:space="0" w:color="auto"/>
                  </w:divBdr>
                </w:div>
                <w:div w:id="1213006372">
                  <w:marLeft w:val="0"/>
                  <w:marRight w:val="0"/>
                  <w:marTop w:val="0"/>
                  <w:marBottom w:val="0"/>
                  <w:divBdr>
                    <w:top w:val="none" w:sz="0" w:space="0" w:color="auto"/>
                    <w:left w:val="none" w:sz="0" w:space="0" w:color="auto"/>
                    <w:bottom w:val="none" w:sz="0" w:space="0" w:color="auto"/>
                    <w:right w:val="none" w:sz="0" w:space="0" w:color="auto"/>
                  </w:divBdr>
                </w:div>
                <w:div w:id="533082731">
                  <w:marLeft w:val="0"/>
                  <w:marRight w:val="0"/>
                  <w:marTop w:val="0"/>
                  <w:marBottom w:val="0"/>
                  <w:divBdr>
                    <w:top w:val="none" w:sz="0" w:space="0" w:color="auto"/>
                    <w:left w:val="none" w:sz="0" w:space="0" w:color="auto"/>
                    <w:bottom w:val="none" w:sz="0" w:space="0" w:color="auto"/>
                    <w:right w:val="none" w:sz="0" w:space="0" w:color="auto"/>
                  </w:divBdr>
                </w:div>
                <w:div w:id="1039550822">
                  <w:marLeft w:val="0"/>
                  <w:marRight w:val="0"/>
                  <w:marTop w:val="0"/>
                  <w:marBottom w:val="0"/>
                  <w:divBdr>
                    <w:top w:val="none" w:sz="0" w:space="0" w:color="auto"/>
                    <w:left w:val="none" w:sz="0" w:space="0" w:color="auto"/>
                    <w:bottom w:val="none" w:sz="0" w:space="0" w:color="auto"/>
                    <w:right w:val="none" w:sz="0" w:space="0" w:color="auto"/>
                  </w:divBdr>
                </w:div>
                <w:div w:id="1831552760">
                  <w:marLeft w:val="0"/>
                  <w:marRight w:val="0"/>
                  <w:marTop w:val="0"/>
                  <w:marBottom w:val="0"/>
                  <w:divBdr>
                    <w:top w:val="none" w:sz="0" w:space="0" w:color="auto"/>
                    <w:left w:val="none" w:sz="0" w:space="0" w:color="auto"/>
                    <w:bottom w:val="none" w:sz="0" w:space="0" w:color="auto"/>
                    <w:right w:val="none" w:sz="0" w:space="0" w:color="auto"/>
                  </w:divBdr>
                </w:div>
                <w:div w:id="668019386">
                  <w:marLeft w:val="0"/>
                  <w:marRight w:val="0"/>
                  <w:marTop w:val="0"/>
                  <w:marBottom w:val="0"/>
                  <w:divBdr>
                    <w:top w:val="none" w:sz="0" w:space="0" w:color="auto"/>
                    <w:left w:val="none" w:sz="0" w:space="0" w:color="auto"/>
                    <w:bottom w:val="none" w:sz="0" w:space="0" w:color="auto"/>
                    <w:right w:val="none" w:sz="0" w:space="0" w:color="auto"/>
                  </w:divBdr>
                </w:div>
                <w:div w:id="634603247">
                  <w:marLeft w:val="0"/>
                  <w:marRight w:val="0"/>
                  <w:marTop w:val="0"/>
                  <w:marBottom w:val="0"/>
                  <w:divBdr>
                    <w:top w:val="none" w:sz="0" w:space="0" w:color="auto"/>
                    <w:left w:val="none" w:sz="0" w:space="0" w:color="auto"/>
                    <w:bottom w:val="none" w:sz="0" w:space="0" w:color="auto"/>
                    <w:right w:val="none" w:sz="0" w:space="0" w:color="auto"/>
                  </w:divBdr>
                </w:div>
                <w:div w:id="1669595582">
                  <w:marLeft w:val="0"/>
                  <w:marRight w:val="0"/>
                  <w:marTop w:val="0"/>
                  <w:marBottom w:val="0"/>
                  <w:divBdr>
                    <w:top w:val="none" w:sz="0" w:space="0" w:color="auto"/>
                    <w:left w:val="none" w:sz="0" w:space="0" w:color="auto"/>
                    <w:bottom w:val="none" w:sz="0" w:space="0" w:color="auto"/>
                    <w:right w:val="none" w:sz="0" w:space="0" w:color="auto"/>
                  </w:divBdr>
                </w:div>
                <w:div w:id="1780224610">
                  <w:marLeft w:val="0"/>
                  <w:marRight w:val="0"/>
                  <w:marTop w:val="0"/>
                  <w:marBottom w:val="0"/>
                  <w:divBdr>
                    <w:top w:val="none" w:sz="0" w:space="0" w:color="auto"/>
                    <w:left w:val="none" w:sz="0" w:space="0" w:color="auto"/>
                    <w:bottom w:val="none" w:sz="0" w:space="0" w:color="auto"/>
                    <w:right w:val="none" w:sz="0" w:space="0" w:color="auto"/>
                  </w:divBdr>
                </w:div>
                <w:div w:id="1124806244">
                  <w:marLeft w:val="0"/>
                  <w:marRight w:val="0"/>
                  <w:marTop w:val="0"/>
                  <w:marBottom w:val="0"/>
                  <w:divBdr>
                    <w:top w:val="none" w:sz="0" w:space="0" w:color="auto"/>
                    <w:left w:val="none" w:sz="0" w:space="0" w:color="auto"/>
                    <w:bottom w:val="none" w:sz="0" w:space="0" w:color="auto"/>
                    <w:right w:val="none" w:sz="0" w:space="0" w:color="auto"/>
                  </w:divBdr>
                </w:div>
                <w:div w:id="1471558649">
                  <w:marLeft w:val="0"/>
                  <w:marRight w:val="0"/>
                  <w:marTop w:val="0"/>
                  <w:marBottom w:val="0"/>
                  <w:divBdr>
                    <w:top w:val="none" w:sz="0" w:space="0" w:color="auto"/>
                    <w:left w:val="none" w:sz="0" w:space="0" w:color="auto"/>
                    <w:bottom w:val="none" w:sz="0" w:space="0" w:color="auto"/>
                    <w:right w:val="none" w:sz="0" w:space="0" w:color="auto"/>
                  </w:divBdr>
                </w:div>
                <w:div w:id="1579680039">
                  <w:marLeft w:val="0"/>
                  <w:marRight w:val="0"/>
                  <w:marTop w:val="0"/>
                  <w:marBottom w:val="0"/>
                  <w:divBdr>
                    <w:top w:val="none" w:sz="0" w:space="0" w:color="auto"/>
                    <w:left w:val="none" w:sz="0" w:space="0" w:color="auto"/>
                    <w:bottom w:val="none" w:sz="0" w:space="0" w:color="auto"/>
                    <w:right w:val="none" w:sz="0" w:space="0" w:color="auto"/>
                  </w:divBdr>
                </w:div>
                <w:div w:id="1006909613">
                  <w:marLeft w:val="0"/>
                  <w:marRight w:val="0"/>
                  <w:marTop w:val="0"/>
                  <w:marBottom w:val="0"/>
                  <w:divBdr>
                    <w:top w:val="none" w:sz="0" w:space="0" w:color="auto"/>
                    <w:left w:val="none" w:sz="0" w:space="0" w:color="auto"/>
                    <w:bottom w:val="none" w:sz="0" w:space="0" w:color="auto"/>
                    <w:right w:val="none" w:sz="0" w:space="0" w:color="auto"/>
                  </w:divBdr>
                </w:div>
              </w:divsChild>
            </w:div>
            <w:div w:id="1134106058">
              <w:marLeft w:val="0"/>
              <w:marRight w:val="0"/>
              <w:marTop w:val="0"/>
              <w:marBottom w:val="0"/>
              <w:divBdr>
                <w:top w:val="none" w:sz="0" w:space="0" w:color="auto"/>
                <w:left w:val="none" w:sz="0" w:space="0" w:color="auto"/>
                <w:bottom w:val="none" w:sz="0" w:space="0" w:color="auto"/>
                <w:right w:val="none" w:sz="0" w:space="0" w:color="auto"/>
              </w:divBdr>
              <w:divsChild>
                <w:div w:id="161824037">
                  <w:marLeft w:val="0"/>
                  <w:marRight w:val="0"/>
                  <w:marTop w:val="0"/>
                  <w:marBottom w:val="0"/>
                  <w:divBdr>
                    <w:top w:val="none" w:sz="0" w:space="0" w:color="auto"/>
                    <w:left w:val="none" w:sz="0" w:space="0" w:color="auto"/>
                    <w:bottom w:val="none" w:sz="0" w:space="0" w:color="auto"/>
                    <w:right w:val="none" w:sz="0" w:space="0" w:color="auto"/>
                  </w:divBdr>
                </w:div>
                <w:div w:id="1371685376">
                  <w:marLeft w:val="0"/>
                  <w:marRight w:val="0"/>
                  <w:marTop w:val="0"/>
                  <w:marBottom w:val="0"/>
                  <w:divBdr>
                    <w:top w:val="none" w:sz="0" w:space="0" w:color="auto"/>
                    <w:left w:val="none" w:sz="0" w:space="0" w:color="auto"/>
                    <w:bottom w:val="none" w:sz="0" w:space="0" w:color="auto"/>
                    <w:right w:val="none" w:sz="0" w:space="0" w:color="auto"/>
                  </w:divBdr>
                </w:div>
                <w:div w:id="439838156">
                  <w:marLeft w:val="0"/>
                  <w:marRight w:val="0"/>
                  <w:marTop w:val="0"/>
                  <w:marBottom w:val="0"/>
                  <w:divBdr>
                    <w:top w:val="none" w:sz="0" w:space="0" w:color="auto"/>
                    <w:left w:val="none" w:sz="0" w:space="0" w:color="auto"/>
                    <w:bottom w:val="none" w:sz="0" w:space="0" w:color="auto"/>
                    <w:right w:val="none" w:sz="0" w:space="0" w:color="auto"/>
                  </w:divBdr>
                </w:div>
                <w:div w:id="2073842117">
                  <w:marLeft w:val="0"/>
                  <w:marRight w:val="0"/>
                  <w:marTop w:val="0"/>
                  <w:marBottom w:val="0"/>
                  <w:divBdr>
                    <w:top w:val="none" w:sz="0" w:space="0" w:color="auto"/>
                    <w:left w:val="none" w:sz="0" w:space="0" w:color="auto"/>
                    <w:bottom w:val="none" w:sz="0" w:space="0" w:color="auto"/>
                    <w:right w:val="none" w:sz="0" w:space="0" w:color="auto"/>
                  </w:divBdr>
                </w:div>
                <w:div w:id="519588145">
                  <w:marLeft w:val="0"/>
                  <w:marRight w:val="0"/>
                  <w:marTop w:val="0"/>
                  <w:marBottom w:val="0"/>
                  <w:divBdr>
                    <w:top w:val="none" w:sz="0" w:space="0" w:color="auto"/>
                    <w:left w:val="none" w:sz="0" w:space="0" w:color="auto"/>
                    <w:bottom w:val="none" w:sz="0" w:space="0" w:color="auto"/>
                    <w:right w:val="none" w:sz="0" w:space="0" w:color="auto"/>
                  </w:divBdr>
                </w:div>
                <w:div w:id="1939829278">
                  <w:marLeft w:val="0"/>
                  <w:marRight w:val="0"/>
                  <w:marTop w:val="0"/>
                  <w:marBottom w:val="0"/>
                  <w:divBdr>
                    <w:top w:val="none" w:sz="0" w:space="0" w:color="auto"/>
                    <w:left w:val="none" w:sz="0" w:space="0" w:color="auto"/>
                    <w:bottom w:val="none" w:sz="0" w:space="0" w:color="auto"/>
                    <w:right w:val="none" w:sz="0" w:space="0" w:color="auto"/>
                  </w:divBdr>
                </w:div>
                <w:div w:id="325328905">
                  <w:marLeft w:val="0"/>
                  <w:marRight w:val="0"/>
                  <w:marTop w:val="0"/>
                  <w:marBottom w:val="0"/>
                  <w:divBdr>
                    <w:top w:val="none" w:sz="0" w:space="0" w:color="auto"/>
                    <w:left w:val="none" w:sz="0" w:space="0" w:color="auto"/>
                    <w:bottom w:val="none" w:sz="0" w:space="0" w:color="auto"/>
                    <w:right w:val="none" w:sz="0" w:space="0" w:color="auto"/>
                  </w:divBdr>
                </w:div>
                <w:div w:id="494996740">
                  <w:marLeft w:val="0"/>
                  <w:marRight w:val="0"/>
                  <w:marTop w:val="0"/>
                  <w:marBottom w:val="0"/>
                  <w:divBdr>
                    <w:top w:val="none" w:sz="0" w:space="0" w:color="auto"/>
                    <w:left w:val="none" w:sz="0" w:space="0" w:color="auto"/>
                    <w:bottom w:val="none" w:sz="0" w:space="0" w:color="auto"/>
                    <w:right w:val="none" w:sz="0" w:space="0" w:color="auto"/>
                  </w:divBdr>
                </w:div>
                <w:div w:id="1848986016">
                  <w:marLeft w:val="0"/>
                  <w:marRight w:val="0"/>
                  <w:marTop w:val="0"/>
                  <w:marBottom w:val="0"/>
                  <w:divBdr>
                    <w:top w:val="none" w:sz="0" w:space="0" w:color="auto"/>
                    <w:left w:val="none" w:sz="0" w:space="0" w:color="auto"/>
                    <w:bottom w:val="none" w:sz="0" w:space="0" w:color="auto"/>
                    <w:right w:val="none" w:sz="0" w:space="0" w:color="auto"/>
                  </w:divBdr>
                </w:div>
                <w:div w:id="181676938">
                  <w:marLeft w:val="0"/>
                  <w:marRight w:val="0"/>
                  <w:marTop w:val="0"/>
                  <w:marBottom w:val="0"/>
                  <w:divBdr>
                    <w:top w:val="none" w:sz="0" w:space="0" w:color="auto"/>
                    <w:left w:val="none" w:sz="0" w:space="0" w:color="auto"/>
                    <w:bottom w:val="none" w:sz="0" w:space="0" w:color="auto"/>
                    <w:right w:val="none" w:sz="0" w:space="0" w:color="auto"/>
                  </w:divBdr>
                </w:div>
                <w:div w:id="1543594718">
                  <w:marLeft w:val="0"/>
                  <w:marRight w:val="0"/>
                  <w:marTop w:val="0"/>
                  <w:marBottom w:val="0"/>
                  <w:divBdr>
                    <w:top w:val="none" w:sz="0" w:space="0" w:color="auto"/>
                    <w:left w:val="none" w:sz="0" w:space="0" w:color="auto"/>
                    <w:bottom w:val="none" w:sz="0" w:space="0" w:color="auto"/>
                    <w:right w:val="none" w:sz="0" w:space="0" w:color="auto"/>
                  </w:divBdr>
                </w:div>
                <w:div w:id="2113358824">
                  <w:marLeft w:val="0"/>
                  <w:marRight w:val="0"/>
                  <w:marTop w:val="0"/>
                  <w:marBottom w:val="0"/>
                  <w:divBdr>
                    <w:top w:val="none" w:sz="0" w:space="0" w:color="auto"/>
                    <w:left w:val="none" w:sz="0" w:space="0" w:color="auto"/>
                    <w:bottom w:val="none" w:sz="0" w:space="0" w:color="auto"/>
                    <w:right w:val="none" w:sz="0" w:space="0" w:color="auto"/>
                  </w:divBdr>
                </w:div>
                <w:div w:id="355078793">
                  <w:marLeft w:val="0"/>
                  <w:marRight w:val="0"/>
                  <w:marTop w:val="0"/>
                  <w:marBottom w:val="0"/>
                  <w:divBdr>
                    <w:top w:val="none" w:sz="0" w:space="0" w:color="auto"/>
                    <w:left w:val="none" w:sz="0" w:space="0" w:color="auto"/>
                    <w:bottom w:val="none" w:sz="0" w:space="0" w:color="auto"/>
                    <w:right w:val="none" w:sz="0" w:space="0" w:color="auto"/>
                  </w:divBdr>
                </w:div>
                <w:div w:id="442269453">
                  <w:marLeft w:val="0"/>
                  <w:marRight w:val="0"/>
                  <w:marTop w:val="0"/>
                  <w:marBottom w:val="0"/>
                  <w:divBdr>
                    <w:top w:val="none" w:sz="0" w:space="0" w:color="auto"/>
                    <w:left w:val="none" w:sz="0" w:space="0" w:color="auto"/>
                    <w:bottom w:val="none" w:sz="0" w:space="0" w:color="auto"/>
                    <w:right w:val="none" w:sz="0" w:space="0" w:color="auto"/>
                  </w:divBdr>
                </w:div>
                <w:div w:id="876890694">
                  <w:marLeft w:val="0"/>
                  <w:marRight w:val="0"/>
                  <w:marTop w:val="0"/>
                  <w:marBottom w:val="0"/>
                  <w:divBdr>
                    <w:top w:val="none" w:sz="0" w:space="0" w:color="auto"/>
                    <w:left w:val="none" w:sz="0" w:space="0" w:color="auto"/>
                    <w:bottom w:val="none" w:sz="0" w:space="0" w:color="auto"/>
                    <w:right w:val="none" w:sz="0" w:space="0" w:color="auto"/>
                  </w:divBdr>
                </w:div>
                <w:div w:id="152068029">
                  <w:marLeft w:val="0"/>
                  <w:marRight w:val="0"/>
                  <w:marTop w:val="0"/>
                  <w:marBottom w:val="0"/>
                  <w:divBdr>
                    <w:top w:val="none" w:sz="0" w:space="0" w:color="auto"/>
                    <w:left w:val="none" w:sz="0" w:space="0" w:color="auto"/>
                    <w:bottom w:val="none" w:sz="0" w:space="0" w:color="auto"/>
                    <w:right w:val="none" w:sz="0" w:space="0" w:color="auto"/>
                  </w:divBdr>
                </w:div>
                <w:div w:id="22287170">
                  <w:marLeft w:val="0"/>
                  <w:marRight w:val="0"/>
                  <w:marTop w:val="0"/>
                  <w:marBottom w:val="0"/>
                  <w:divBdr>
                    <w:top w:val="none" w:sz="0" w:space="0" w:color="auto"/>
                    <w:left w:val="none" w:sz="0" w:space="0" w:color="auto"/>
                    <w:bottom w:val="none" w:sz="0" w:space="0" w:color="auto"/>
                    <w:right w:val="none" w:sz="0" w:space="0" w:color="auto"/>
                  </w:divBdr>
                </w:div>
                <w:div w:id="1642685533">
                  <w:marLeft w:val="0"/>
                  <w:marRight w:val="0"/>
                  <w:marTop w:val="0"/>
                  <w:marBottom w:val="0"/>
                  <w:divBdr>
                    <w:top w:val="none" w:sz="0" w:space="0" w:color="auto"/>
                    <w:left w:val="none" w:sz="0" w:space="0" w:color="auto"/>
                    <w:bottom w:val="none" w:sz="0" w:space="0" w:color="auto"/>
                    <w:right w:val="none" w:sz="0" w:space="0" w:color="auto"/>
                  </w:divBdr>
                </w:div>
                <w:div w:id="1569880570">
                  <w:marLeft w:val="0"/>
                  <w:marRight w:val="0"/>
                  <w:marTop w:val="0"/>
                  <w:marBottom w:val="0"/>
                  <w:divBdr>
                    <w:top w:val="none" w:sz="0" w:space="0" w:color="auto"/>
                    <w:left w:val="none" w:sz="0" w:space="0" w:color="auto"/>
                    <w:bottom w:val="none" w:sz="0" w:space="0" w:color="auto"/>
                    <w:right w:val="none" w:sz="0" w:space="0" w:color="auto"/>
                  </w:divBdr>
                </w:div>
                <w:div w:id="328217783">
                  <w:marLeft w:val="0"/>
                  <w:marRight w:val="0"/>
                  <w:marTop w:val="0"/>
                  <w:marBottom w:val="0"/>
                  <w:divBdr>
                    <w:top w:val="none" w:sz="0" w:space="0" w:color="auto"/>
                    <w:left w:val="none" w:sz="0" w:space="0" w:color="auto"/>
                    <w:bottom w:val="none" w:sz="0" w:space="0" w:color="auto"/>
                    <w:right w:val="none" w:sz="0" w:space="0" w:color="auto"/>
                  </w:divBdr>
                </w:div>
                <w:div w:id="1877497369">
                  <w:marLeft w:val="0"/>
                  <w:marRight w:val="0"/>
                  <w:marTop w:val="0"/>
                  <w:marBottom w:val="0"/>
                  <w:divBdr>
                    <w:top w:val="none" w:sz="0" w:space="0" w:color="auto"/>
                    <w:left w:val="none" w:sz="0" w:space="0" w:color="auto"/>
                    <w:bottom w:val="none" w:sz="0" w:space="0" w:color="auto"/>
                    <w:right w:val="none" w:sz="0" w:space="0" w:color="auto"/>
                  </w:divBdr>
                </w:div>
                <w:div w:id="413862703">
                  <w:marLeft w:val="0"/>
                  <w:marRight w:val="0"/>
                  <w:marTop w:val="0"/>
                  <w:marBottom w:val="0"/>
                  <w:divBdr>
                    <w:top w:val="none" w:sz="0" w:space="0" w:color="auto"/>
                    <w:left w:val="none" w:sz="0" w:space="0" w:color="auto"/>
                    <w:bottom w:val="none" w:sz="0" w:space="0" w:color="auto"/>
                    <w:right w:val="none" w:sz="0" w:space="0" w:color="auto"/>
                  </w:divBdr>
                </w:div>
                <w:div w:id="507791589">
                  <w:marLeft w:val="0"/>
                  <w:marRight w:val="0"/>
                  <w:marTop w:val="0"/>
                  <w:marBottom w:val="0"/>
                  <w:divBdr>
                    <w:top w:val="none" w:sz="0" w:space="0" w:color="auto"/>
                    <w:left w:val="none" w:sz="0" w:space="0" w:color="auto"/>
                    <w:bottom w:val="none" w:sz="0" w:space="0" w:color="auto"/>
                    <w:right w:val="none" w:sz="0" w:space="0" w:color="auto"/>
                  </w:divBdr>
                </w:div>
                <w:div w:id="287787435">
                  <w:marLeft w:val="0"/>
                  <w:marRight w:val="0"/>
                  <w:marTop w:val="0"/>
                  <w:marBottom w:val="0"/>
                  <w:divBdr>
                    <w:top w:val="none" w:sz="0" w:space="0" w:color="auto"/>
                    <w:left w:val="none" w:sz="0" w:space="0" w:color="auto"/>
                    <w:bottom w:val="none" w:sz="0" w:space="0" w:color="auto"/>
                    <w:right w:val="none" w:sz="0" w:space="0" w:color="auto"/>
                  </w:divBdr>
                </w:div>
                <w:div w:id="1244073690">
                  <w:marLeft w:val="0"/>
                  <w:marRight w:val="0"/>
                  <w:marTop w:val="0"/>
                  <w:marBottom w:val="0"/>
                  <w:divBdr>
                    <w:top w:val="none" w:sz="0" w:space="0" w:color="auto"/>
                    <w:left w:val="none" w:sz="0" w:space="0" w:color="auto"/>
                    <w:bottom w:val="none" w:sz="0" w:space="0" w:color="auto"/>
                    <w:right w:val="none" w:sz="0" w:space="0" w:color="auto"/>
                  </w:divBdr>
                </w:div>
                <w:div w:id="1613131549">
                  <w:marLeft w:val="0"/>
                  <w:marRight w:val="0"/>
                  <w:marTop w:val="0"/>
                  <w:marBottom w:val="0"/>
                  <w:divBdr>
                    <w:top w:val="none" w:sz="0" w:space="0" w:color="auto"/>
                    <w:left w:val="none" w:sz="0" w:space="0" w:color="auto"/>
                    <w:bottom w:val="none" w:sz="0" w:space="0" w:color="auto"/>
                    <w:right w:val="none" w:sz="0" w:space="0" w:color="auto"/>
                  </w:divBdr>
                </w:div>
                <w:div w:id="1256598696">
                  <w:marLeft w:val="0"/>
                  <w:marRight w:val="0"/>
                  <w:marTop w:val="0"/>
                  <w:marBottom w:val="0"/>
                  <w:divBdr>
                    <w:top w:val="none" w:sz="0" w:space="0" w:color="auto"/>
                    <w:left w:val="none" w:sz="0" w:space="0" w:color="auto"/>
                    <w:bottom w:val="none" w:sz="0" w:space="0" w:color="auto"/>
                    <w:right w:val="none" w:sz="0" w:space="0" w:color="auto"/>
                  </w:divBdr>
                </w:div>
                <w:div w:id="1201746564">
                  <w:marLeft w:val="0"/>
                  <w:marRight w:val="0"/>
                  <w:marTop w:val="0"/>
                  <w:marBottom w:val="0"/>
                  <w:divBdr>
                    <w:top w:val="none" w:sz="0" w:space="0" w:color="auto"/>
                    <w:left w:val="none" w:sz="0" w:space="0" w:color="auto"/>
                    <w:bottom w:val="none" w:sz="0" w:space="0" w:color="auto"/>
                    <w:right w:val="none" w:sz="0" w:space="0" w:color="auto"/>
                  </w:divBdr>
                </w:div>
                <w:div w:id="253906230">
                  <w:marLeft w:val="0"/>
                  <w:marRight w:val="0"/>
                  <w:marTop w:val="0"/>
                  <w:marBottom w:val="0"/>
                  <w:divBdr>
                    <w:top w:val="none" w:sz="0" w:space="0" w:color="auto"/>
                    <w:left w:val="none" w:sz="0" w:space="0" w:color="auto"/>
                    <w:bottom w:val="none" w:sz="0" w:space="0" w:color="auto"/>
                    <w:right w:val="none" w:sz="0" w:space="0" w:color="auto"/>
                  </w:divBdr>
                </w:div>
                <w:div w:id="1102190802">
                  <w:marLeft w:val="0"/>
                  <w:marRight w:val="0"/>
                  <w:marTop w:val="0"/>
                  <w:marBottom w:val="0"/>
                  <w:divBdr>
                    <w:top w:val="none" w:sz="0" w:space="0" w:color="auto"/>
                    <w:left w:val="none" w:sz="0" w:space="0" w:color="auto"/>
                    <w:bottom w:val="none" w:sz="0" w:space="0" w:color="auto"/>
                    <w:right w:val="none" w:sz="0" w:space="0" w:color="auto"/>
                  </w:divBdr>
                </w:div>
                <w:div w:id="946079961">
                  <w:marLeft w:val="0"/>
                  <w:marRight w:val="0"/>
                  <w:marTop w:val="0"/>
                  <w:marBottom w:val="0"/>
                  <w:divBdr>
                    <w:top w:val="none" w:sz="0" w:space="0" w:color="auto"/>
                    <w:left w:val="none" w:sz="0" w:space="0" w:color="auto"/>
                    <w:bottom w:val="none" w:sz="0" w:space="0" w:color="auto"/>
                    <w:right w:val="none" w:sz="0" w:space="0" w:color="auto"/>
                  </w:divBdr>
                </w:div>
                <w:div w:id="1729649686">
                  <w:marLeft w:val="0"/>
                  <w:marRight w:val="0"/>
                  <w:marTop w:val="0"/>
                  <w:marBottom w:val="0"/>
                  <w:divBdr>
                    <w:top w:val="none" w:sz="0" w:space="0" w:color="auto"/>
                    <w:left w:val="none" w:sz="0" w:space="0" w:color="auto"/>
                    <w:bottom w:val="none" w:sz="0" w:space="0" w:color="auto"/>
                    <w:right w:val="none" w:sz="0" w:space="0" w:color="auto"/>
                  </w:divBdr>
                </w:div>
                <w:div w:id="1704556088">
                  <w:marLeft w:val="0"/>
                  <w:marRight w:val="0"/>
                  <w:marTop w:val="0"/>
                  <w:marBottom w:val="0"/>
                  <w:divBdr>
                    <w:top w:val="none" w:sz="0" w:space="0" w:color="auto"/>
                    <w:left w:val="none" w:sz="0" w:space="0" w:color="auto"/>
                    <w:bottom w:val="none" w:sz="0" w:space="0" w:color="auto"/>
                    <w:right w:val="none" w:sz="0" w:space="0" w:color="auto"/>
                  </w:divBdr>
                </w:div>
                <w:div w:id="2071537745">
                  <w:marLeft w:val="0"/>
                  <w:marRight w:val="0"/>
                  <w:marTop w:val="0"/>
                  <w:marBottom w:val="0"/>
                  <w:divBdr>
                    <w:top w:val="none" w:sz="0" w:space="0" w:color="auto"/>
                    <w:left w:val="none" w:sz="0" w:space="0" w:color="auto"/>
                    <w:bottom w:val="none" w:sz="0" w:space="0" w:color="auto"/>
                    <w:right w:val="none" w:sz="0" w:space="0" w:color="auto"/>
                  </w:divBdr>
                </w:div>
                <w:div w:id="1093015633">
                  <w:marLeft w:val="0"/>
                  <w:marRight w:val="0"/>
                  <w:marTop w:val="0"/>
                  <w:marBottom w:val="0"/>
                  <w:divBdr>
                    <w:top w:val="none" w:sz="0" w:space="0" w:color="auto"/>
                    <w:left w:val="none" w:sz="0" w:space="0" w:color="auto"/>
                    <w:bottom w:val="none" w:sz="0" w:space="0" w:color="auto"/>
                    <w:right w:val="none" w:sz="0" w:space="0" w:color="auto"/>
                  </w:divBdr>
                </w:div>
                <w:div w:id="1524437347">
                  <w:marLeft w:val="0"/>
                  <w:marRight w:val="0"/>
                  <w:marTop w:val="0"/>
                  <w:marBottom w:val="0"/>
                  <w:divBdr>
                    <w:top w:val="none" w:sz="0" w:space="0" w:color="auto"/>
                    <w:left w:val="none" w:sz="0" w:space="0" w:color="auto"/>
                    <w:bottom w:val="none" w:sz="0" w:space="0" w:color="auto"/>
                    <w:right w:val="none" w:sz="0" w:space="0" w:color="auto"/>
                  </w:divBdr>
                </w:div>
                <w:div w:id="2143771211">
                  <w:marLeft w:val="0"/>
                  <w:marRight w:val="0"/>
                  <w:marTop w:val="0"/>
                  <w:marBottom w:val="0"/>
                  <w:divBdr>
                    <w:top w:val="none" w:sz="0" w:space="0" w:color="auto"/>
                    <w:left w:val="none" w:sz="0" w:space="0" w:color="auto"/>
                    <w:bottom w:val="none" w:sz="0" w:space="0" w:color="auto"/>
                    <w:right w:val="none" w:sz="0" w:space="0" w:color="auto"/>
                  </w:divBdr>
                </w:div>
                <w:div w:id="311452060">
                  <w:marLeft w:val="0"/>
                  <w:marRight w:val="0"/>
                  <w:marTop w:val="0"/>
                  <w:marBottom w:val="0"/>
                  <w:divBdr>
                    <w:top w:val="none" w:sz="0" w:space="0" w:color="auto"/>
                    <w:left w:val="none" w:sz="0" w:space="0" w:color="auto"/>
                    <w:bottom w:val="none" w:sz="0" w:space="0" w:color="auto"/>
                    <w:right w:val="none" w:sz="0" w:space="0" w:color="auto"/>
                  </w:divBdr>
                </w:div>
                <w:div w:id="1013454201">
                  <w:marLeft w:val="0"/>
                  <w:marRight w:val="0"/>
                  <w:marTop w:val="0"/>
                  <w:marBottom w:val="0"/>
                  <w:divBdr>
                    <w:top w:val="none" w:sz="0" w:space="0" w:color="auto"/>
                    <w:left w:val="none" w:sz="0" w:space="0" w:color="auto"/>
                    <w:bottom w:val="none" w:sz="0" w:space="0" w:color="auto"/>
                    <w:right w:val="none" w:sz="0" w:space="0" w:color="auto"/>
                  </w:divBdr>
                </w:div>
                <w:div w:id="1667635979">
                  <w:marLeft w:val="0"/>
                  <w:marRight w:val="0"/>
                  <w:marTop w:val="0"/>
                  <w:marBottom w:val="0"/>
                  <w:divBdr>
                    <w:top w:val="none" w:sz="0" w:space="0" w:color="auto"/>
                    <w:left w:val="none" w:sz="0" w:space="0" w:color="auto"/>
                    <w:bottom w:val="none" w:sz="0" w:space="0" w:color="auto"/>
                    <w:right w:val="none" w:sz="0" w:space="0" w:color="auto"/>
                  </w:divBdr>
                </w:div>
                <w:div w:id="180896874">
                  <w:marLeft w:val="0"/>
                  <w:marRight w:val="0"/>
                  <w:marTop w:val="0"/>
                  <w:marBottom w:val="0"/>
                  <w:divBdr>
                    <w:top w:val="none" w:sz="0" w:space="0" w:color="auto"/>
                    <w:left w:val="none" w:sz="0" w:space="0" w:color="auto"/>
                    <w:bottom w:val="none" w:sz="0" w:space="0" w:color="auto"/>
                    <w:right w:val="none" w:sz="0" w:space="0" w:color="auto"/>
                  </w:divBdr>
                </w:div>
                <w:div w:id="1052076052">
                  <w:marLeft w:val="0"/>
                  <w:marRight w:val="0"/>
                  <w:marTop w:val="0"/>
                  <w:marBottom w:val="0"/>
                  <w:divBdr>
                    <w:top w:val="none" w:sz="0" w:space="0" w:color="auto"/>
                    <w:left w:val="none" w:sz="0" w:space="0" w:color="auto"/>
                    <w:bottom w:val="none" w:sz="0" w:space="0" w:color="auto"/>
                    <w:right w:val="none" w:sz="0" w:space="0" w:color="auto"/>
                  </w:divBdr>
                </w:div>
                <w:div w:id="2064908694">
                  <w:marLeft w:val="0"/>
                  <w:marRight w:val="0"/>
                  <w:marTop w:val="0"/>
                  <w:marBottom w:val="0"/>
                  <w:divBdr>
                    <w:top w:val="none" w:sz="0" w:space="0" w:color="auto"/>
                    <w:left w:val="none" w:sz="0" w:space="0" w:color="auto"/>
                    <w:bottom w:val="none" w:sz="0" w:space="0" w:color="auto"/>
                    <w:right w:val="none" w:sz="0" w:space="0" w:color="auto"/>
                  </w:divBdr>
                </w:div>
                <w:div w:id="1437092026">
                  <w:marLeft w:val="0"/>
                  <w:marRight w:val="0"/>
                  <w:marTop w:val="0"/>
                  <w:marBottom w:val="0"/>
                  <w:divBdr>
                    <w:top w:val="none" w:sz="0" w:space="0" w:color="auto"/>
                    <w:left w:val="none" w:sz="0" w:space="0" w:color="auto"/>
                    <w:bottom w:val="none" w:sz="0" w:space="0" w:color="auto"/>
                    <w:right w:val="none" w:sz="0" w:space="0" w:color="auto"/>
                  </w:divBdr>
                </w:div>
                <w:div w:id="532234857">
                  <w:marLeft w:val="0"/>
                  <w:marRight w:val="0"/>
                  <w:marTop w:val="0"/>
                  <w:marBottom w:val="0"/>
                  <w:divBdr>
                    <w:top w:val="none" w:sz="0" w:space="0" w:color="auto"/>
                    <w:left w:val="none" w:sz="0" w:space="0" w:color="auto"/>
                    <w:bottom w:val="none" w:sz="0" w:space="0" w:color="auto"/>
                    <w:right w:val="none" w:sz="0" w:space="0" w:color="auto"/>
                  </w:divBdr>
                </w:div>
                <w:div w:id="1352492204">
                  <w:marLeft w:val="0"/>
                  <w:marRight w:val="0"/>
                  <w:marTop w:val="0"/>
                  <w:marBottom w:val="0"/>
                  <w:divBdr>
                    <w:top w:val="none" w:sz="0" w:space="0" w:color="auto"/>
                    <w:left w:val="none" w:sz="0" w:space="0" w:color="auto"/>
                    <w:bottom w:val="none" w:sz="0" w:space="0" w:color="auto"/>
                    <w:right w:val="none" w:sz="0" w:space="0" w:color="auto"/>
                  </w:divBdr>
                </w:div>
                <w:div w:id="824318506">
                  <w:marLeft w:val="0"/>
                  <w:marRight w:val="0"/>
                  <w:marTop w:val="0"/>
                  <w:marBottom w:val="0"/>
                  <w:divBdr>
                    <w:top w:val="none" w:sz="0" w:space="0" w:color="auto"/>
                    <w:left w:val="none" w:sz="0" w:space="0" w:color="auto"/>
                    <w:bottom w:val="none" w:sz="0" w:space="0" w:color="auto"/>
                    <w:right w:val="none" w:sz="0" w:space="0" w:color="auto"/>
                  </w:divBdr>
                </w:div>
                <w:div w:id="1337076995">
                  <w:marLeft w:val="0"/>
                  <w:marRight w:val="0"/>
                  <w:marTop w:val="0"/>
                  <w:marBottom w:val="0"/>
                  <w:divBdr>
                    <w:top w:val="none" w:sz="0" w:space="0" w:color="auto"/>
                    <w:left w:val="none" w:sz="0" w:space="0" w:color="auto"/>
                    <w:bottom w:val="none" w:sz="0" w:space="0" w:color="auto"/>
                    <w:right w:val="none" w:sz="0" w:space="0" w:color="auto"/>
                  </w:divBdr>
                </w:div>
                <w:div w:id="1759061513">
                  <w:marLeft w:val="0"/>
                  <w:marRight w:val="0"/>
                  <w:marTop w:val="0"/>
                  <w:marBottom w:val="0"/>
                  <w:divBdr>
                    <w:top w:val="none" w:sz="0" w:space="0" w:color="auto"/>
                    <w:left w:val="none" w:sz="0" w:space="0" w:color="auto"/>
                    <w:bottom w:val="none" w:sz="0" w:space="0" w:color="auto"/>
                    <w:right w:val="none" w:sz="0" w:space="0" w:color="auto"/>
                  </w:divBdr>
                </w:div>
                <w:div w:id="1229532385">
                  <w:marLeft w:val="0"/>
                  <w:marRight w:val="0"/>
                  <w:marTop w:val="0"/>
                  <w:marBottom w:val="0"/>
                  <w:divBdr>
                    <w:top w:val="none" w:sz="0" w:space="0" w:color="auto"/>
                    <w:left w:val="none" w:sz="0" w:space="0" w:color="auto"/>
                    <w:bottom w:val="none" w:sz="0" w:space="0" w:color="auto"/>
                    <w:right w:val="none" w:sz="0" w:space="0" w:color="auto"/>
                  </w:divBdr>
                </w:div>
                <w:div w:id="1492064349">
                  <w:marLeft w:val="0"/>
                  <w:marRight w:val="0"/>
                  <w:marTop w:val="0"/>
                  <w:marBottom w:val="0"/>
                  <w:divBdr>
                    <w:top w:val="none" w:sz="0" w:space="0" w:color="auto"/>
                    <w:left w:val="none" w:sz="0" w:space="0" w:color="auto"/>
                    <w:bottom w:val="none" w:sz="0" w:space="0" w:color="auto"/>
                    <w:right w:val="none" w:sz="0" w:space="0" w:color="auto"/>
                  </w:divBdr>
                </w:div>
                <w:div w:id="1099789556">
                  <w:marLeft w:val="0"/>
                  <w:marRight w:val="0"/>
                  <w:marTop w:val="0"/>
                  <w:marBottom w:val="0"/>
                  <w:divBdr>
                    <w:top w:val="none" w:sz="0" w:space="0" w:color="auto"/>
                    <w:left w:val="none" w:sz="0" w:space="0" w:color="auto"/>
                    <w:bottom w:val="none" w:sz="0" w:space="0" w:color="auto"/>
                    <w:right w:val="none" w:sz="0" w:space="0" w:color="auto"/>
                  </w:divBdr>
                </w:div>
                <w:div w:id="1398089488">
                  <w:marLeft w:val="0"/>
                  <w:marRight w:val="0"/>
                  <w:marTop w:val="0"/>
                  <w:marBottom w:val="0"/>
                  <w:divBdr>
                    <w:top w:val="none" w:sz="0" w:space="0" w:color="auto"/>
                    <w:left w:val="none" w:sz="0" w:space="0" w:color="auto"/>
                    <w:bottom w:val="none" w:sz="0" w:space="0" w:color="auto"/>
                    <w:right w:val="none" w:sz="0" w:space="0" w:color="auto"/>
                  </w:divBdr>
                </w:div>
                <w:div w:id="610550110">
                  <w:marLeft w:val="0"/>
                  <w:marRight w:val="0"/>
                  <w:marTop w:val="0"/>
                  <w:marBottom w:val="0"/>
                  <w:divBdr>
                    <w:top w:val="none" w:sz="0" w:space="0" w:color="auto"/>
                    <w:left w:val="none" w:sz="0" w:space="0" w:color="auto"/>
                    <w:bottom w:val="none" w:sz="0" w:space="0" w:color="auto"/>
                    <w:right w:val="none" w:sz="0" w:space="0" w:color="auto"/>
                  </w:divBdr>
                </w:div>
                <w:div w:id="1040129965">
                  <w:marLeft w:val="0"/>
                  <w:marRight w:val="0"/>
                  <w:marTop w:val="0"/>
                  <w:marBottom w:val="0"/>
                  <w:divBdr>
                    <w:top w:val="none" w:sz="0" w:space="0" w:color="auto"/>
                    <w:left w:val="none" w:sz="0" w:space="0" w:color="auto"/>
                    <w:bottom w:val="none" w:sz="0" w:space="0" w:color="auto"/>
                    <w:right w:val="none" w:sz="0" w:space="0" w:color="auto"/>
                  </w:divBdr>
                </w:div>
                <w:div w:id="775440075">
                  <w:marLeft w:val="0"/>
                  <w:marRight w:val="0"/>
                  <w:marTop w:val="0"/>
                  <w:marBottom w:val="0"/>
                  <w:divBdr>
                    <w:top w:val="none" w:sz="0" w:space="0" w:color="auto"/>
                    <w:left w:val="none" w:sz="0" w:space="0" w:color="auto"/>
                    <w:bottom w:val="none" w:sz="0" w:space="0" w:color="auto"/>
                    <w:right w:val="none" w:sz="0" w:space="0" w:color="auto"/>
                  </w:divBdr>
                </w:div>
                <w:div w:id="1774591210">
                  <w:marLeft w:val="0"/>
                  <w:marRight w:val="0"/>
                  <w:marTop w:val="0"/>
                  <w:marBottom w:val="0"/>
                  <w:divBdr>
                    <w:top w:val="none" w:sz="0" w:space="0" w:color="auto"/>
                    <w:left w:val="none" w:sz="0" w:space="0" w:color="auto"/>
                    <w:bottom w:val="none" w:sz="0" w:space="0" w:color="auto"/>
                    <w:right w:val="none" w:sz="0" w:space="0" w:color="auto"/>
                  </w:divBdr>
                </w:div>
                <w:div w:id="1184593747">
                  <w:marLeft w:val="0"/>
                  <w:marRight w:val="0"/>
                  <w:marTop w:val="0"/>
                  <w:marBottom w:val="0"/>
                  <w:divBdr>
                    <w:top w:val="none" w:sz="0" w:space="0" w:color="auto"/>
                    <w:left w:val="none" w:sz="0" w:space="0" w:color="auto"/>
                    <w:bottom w:val="none" w:sz="0" w:space="0" w:color="auto"/>
                    <w:right w:val="none" w:sz="0" w:space="0" w:color="auto"/>
                  </w:divBdr>
                </w:div>
                <w:div w:id="1272392899">
                  <w:marLeft w:val="0"/>
                  <w:marRight w:val="0"/>
                  <w:marTop w:val="0"/>
                  <w:marBottom w:val="0"/>
                  <w:divBdr>
                    <w:top w:val="none" w:sz="0" w:space="0" w:color="auto"/>
                    <w:left w:val="none" w:sz="0" w:space="0" w:color="auto"/>
                    <w:bottom w:val="none" w:sz="0" w:space="0" w:color="auto"/>
                    <w:right w:val="none" w:sz="0" w:space="0" w:color="auto"/>
                  </w:divBdr>
                </w:div>
              </w:divsChild>
            </w:div>
            <w:div w:id="1675768941">
              <w:marLeft w:val="0"/>
              <w:marRight w:val="0"/>
              <w:marTop w:val="0"/>
              <w:marBottom w:val="0"/>
              <w:divBdr>
                <w:top w:val="none" w:sz="0" w:space="0" w:color="auto"/>
                <w:left w:val="none" w:sz="0" w:space="0" w:color="auto"/>
                <w:bottom w:val="none" w:sz="0" w:space="0" w:color="auto"/>
                <w:right w:val="none" w:sz="0" w:space="0" w:color="auto"/>
              </w:divBdr>
              <w:divsChild>
                <w:div w:id="1527020877">
                  <w:marLeft w:val="0"/>
                  <w:marRight w:val="0"/>
                  <w:marTop w:val="0"/>
                  <w:marBottom w:val="0"/>
                  <w:divBdr>
                    <w:top w:val="none" w:sz="0" w:space="0" w:color="auto"/>
                    <w:left w:val="none" w:sz="0" w:space="0" w:color="auto"/>
                    <w:bottom w:val="none" w:sz="0" w:space="0" w:color="auto"/>
                    <w:right w:val="none" w:sz="0" w:space="0" w:color="auto"/>
                  </w:divBdr>
                </w:div>
                <w:div w:id="767775387">
                  <w:marLeft w:val="0"/>
                  <w:marRight w:val="0"/>
                  <w:marTop w:val="0"/>
                  <w:marBottom w:val="0"/>
                  <w:divBdr>
                    <w:top w:val="none" w:sz="0" w:space="0" w:color="auto"/>
                    <w:left w:val="none" w:sz="0" w:space="0" w:color="auto"/>
                    <w:bottom w:val="none" w:sz="0" w:space="0" w:color="auto"/>
                    <w:right w:val="none" w:sz="0" w:space="0" w:color="auto"/>
                  </w:divBdr>
                </w:div>
                <w:div w:id="496768575">
                  <w:marLeft w:val="0"/>
                  <w:marRight w:val="0"/>
                  <w:marTop w:val="0"/>
                  <w:marBottom w:val="0"/>
                  <w:divBdr>
                    <w:top w:val="none" w:sz="0" w:space="0" w:color="auto"/>
                    <w:left w:val="none" w:sz="0" w:space="0" w:color="auto"/>
                    <w:bottom w:val="none" w:sz="0" w:space="0" w:color="auto"/>
                    <w:right w:val="none" w:sz="0" w:space="0" w:color="auto"/>
                  </w:divBdr>
                </w:div>
                <w:div w:id="131530850">
                  <w:marLeft w:val="0"/>
                  <w:marRight w:val="0"/>
                  <w:marTop w:val="0"/>
                  <w:marBottom w:val="0"/>
                  <w:divBdr>
                    <w:top w:val="none" w:sz="0" w:space="0" w:color="auto"/>
                    <w:left w:val="none" w:sz="0" w:space="0" w:color="auto"/>
                    <w:bottom w:val="none" w:sz="0" w:space="0" w:color="auto"/>
                    <w:right w:val="none" w:sz="0" w:space="0" w:color="auto"/>
                  </w:divBdr>
                </w:div>
                <w:div w:id="967664014">
                  <w:marLeft w:val="0"/>
                  <w:marRight w:val="0"/>
                  <w:marTop w:val="0"/>
                  <w:marBottom w:val="0"/>
                  <w:divBdr>
                    <w:top w:val="none" w:sz="0" w:space="0" w:color="auto"/>
                    <w:left w:val="none" w:sz="0" w:space="0" w:color="auto"/>
                    <w:bottom w:val="none" w:sz="0" w:space="0" w:color="auto"/>
                    <w:right w:val="none" w:sz="0" w:space="0" w:color="auto"/>
                  </w:divBdr>
                </w:div>
                <w:div w:id="861742748">
                  <w:marLeft w:val="0"/>
                  <w:marRight w:val="0"/>
                  <w:marTop w:val="0"/>
                  <w:marBottom w:val="0"/>
                  <w:divBdr>
                    <w:top w:val="none" w:sz="0" w:space="0" w:color="auto"/>
                    <w:left w:val="none" w:sz="0" w:space="0" w:color="auto"/>
                    <w:bottom w:val="none" w:sz="0" w:space="0" w:color="auto"/>
                    <w:right w:val="none" w:sz="0" w:space="0" w:color="auto"/>
                  </w:divBdr>
                </w:div>
                <w:div w:id="932396424">
                  <w:marLeft w:val="0"/>
                  <w:marRight w:val="0"/>
                  <w:marTop w:val="0"/>
                  <w:marBottom w:val="0"/>
                  <w:divBdr>
                    <w:top w:val="none" w:sz="0" w:space="0" w:color="auto"/>
                    <w:left w:val="none" w:sz="0" w:space="0" w:color="auto"/>
                    <w:bottom w:val="none" w:sz="0" w:space="0" w:color="auto"/>
                    <w:right w:val="none" w:sz="0" w:space="0" w:color="auto"/>
                  </w:divBdr>
                </w:div>
                <w:div w:id="640575711">
                  <w:marLeft w:val="0"/>
                  <w:marRight w:val="0"/>
                  <w:marTop w:val="0"/>
                  <w:marBottom w:val="0"/>
                  <w:divBdr>
                    <w:top w:val="none" w:sz="0" w:space="0" w:color="auto"/>
                    <w:left w:val="none" w:sz="0" w:space="0" w:color="auto"/>
                    <w:bottom w:val="none" w:sz="0" w:space="0" w:color="auto"/>
                    <w:right w:val="none" w:sz="0" w:space="0" w:color="auto"/>
                  </w:divBdr>
                </w:div>
                <w:div w:id="1765883929">
                  <w:marLeft w:val="0"/>
                  <w:marRight w:val="0"/>
                  <w:marTop w:val="0"/>
                  <w:marBottom w:val="0"/>
                  <w:divBdr>
                    <w:top w:val="none" w:sz="0" w:space="0" w:color="auto"/>
                    <w:left w:val="none" w:sz="0" w:space="0" w:color="auto"/>
                    <w:bottom w:val="none" w:sz="0" w:space="0" w:color="auto"/>
                    <w:right w:val="none" w:sz="0" w:space="0" w:color="auto"/>
                  </w:divBdr>
                </w:div>
                <w:div w:id="660811710">
                  <w:marLeft w:val="0"/>
                  <w:marRight w:val="0"/>
                  <w:marTop w:val="0"/>
                  <w:marBottom w:val="0"/>
                  <w:divBdr>
                    <w:top w:val="none" w:sz="0" w:space="0" w:color="auto"/>
                    <w:left w:val="none" w:sz="0" w:space="0" w:color="auto"/>
                    <w:bottom w:val="none" w:sz="0" w:space="0" w:color="auto"/>
                    <w:right w:val="none" w:sz="0" w:space="0" w:color="auto"/>
                  </w:divBdr>
                </w:div>
                <w:div w:id="364865915">
                  <w:marLeft w:val="0"/>
                  <w:marRight w:val="0"/>
                  <w:marTop w:val="0"/>
                  <w:marBottom w:val="0"/>
                  <w:divBdr>
                    <w:top w:val="none" w:sz="0" w:space="0" w:color="auto"/>
                    <w:left w:val="none" w:sz="0" w:space="0" w:color="auto"/>
                    <w:bottom w:val="none" w:sz="0" w:space="0" w:color="auto"/>
                    <w:right w:val="none" w:sz="0" w:space="0" w:color="auto"/>
                  </w:divBdr>
                </w:div>
                <w:div w:id="1022975641">
                  <w:marLeft w:val="0"/>
                  <w:marRight w:val="0"/>
                  <w:marTop w:val="0"/>
                  <w:marBottom w:val="0"/>
                  <w:divBdr>
                    <w:top w:val="none" w:sz="0" w:space="0" w:color="auto"/>
                    <w:left w:val="none" w:sz="0" w:space="0" w:color="auto"/>
                    <w:bottom w:val="none" w:sz="0" w:space="0" w:color="auto"/>
                    <w:right w:val="none" w:sz="0" w:space="0" w:color="auto"/>
                  </w:divBdr>
                </w:div>
                <w:div w:id="927928501">
                  <w:marLeft w:val="0"/>
                  <w:marRight w:val="0"/>
                  <w:marTop w:val="0"/>
                  <w:marBottom w:val="0"/>
                  <w:divBdr>
                    <w:top w:val="none" w:sz="0" w:space="0" w:color="auto"/>
                    <w:left w:val="none" w:sz="0" w:space="0" w:color="auto"/>
                    <w:bottom w:val="none" w:sz="0" w:space="0" w:color="auto"/>
                    <w:right w:val="none" w:sz="0" w:space="0" w:color="auto"/>
                  </w:divBdr>
                </w:div>
                <w:div w:id="139153699">
                  <w:marLeft w:val="0"/>
                  <w:marRight w:val="0"/>
                  <w:marTop w:val="0"/>
                  <w:marBottom w:val="0"/>
                  <w:divBdr>
                    <w:top w:val="none" w:sz="0" w:space="0" w:color="auto"/>
                    <w:left w:val="none" w:sz="0" w:space="0" w:color="auto"/>
                    <w:bottom w:val="none" w:sz="0" w:space="0" w:color="auto"/>
                    <w:right w:val="none" w:sz="0" w:space="0" w:color="auto"/>
                  </w:divBdr>
                </w:div>
                <w:div w:id="1055399162">
                  <w:marLeft w:val="0"/>
                  <w:marRight w:val="0"/>
                  <w:marTop w:val="0"/>
                  <w:marBottom w:val="0"/>
                  <w:divBdr>
                    <w:top w:val="none" w:sz="0" w:space="0" w:color="auto"/>
                    <w:left w:val="none" w:sz="0" w:space="0" w:color="auto"/>
                    <w:bottom w:val="none" w:sz="0" w:space="0" w:color="auto"/>
                    <w:right w:val="none" w:sz="0" w:space="0" w:color="auto"/>
                  </w:divBdr>
                </w:div>
                <w:div w:id="836506562">
                  <w:marLeft w:val="0"/>
                  <w:marRight w:val="0"/>
                  <w:marTop w:val="0"/>
                  <w:marBottom w:val="0"/>
                  <w:divBdr>
                    <w:top w:val="none" w:sz="0" w:space="0" w:color="auto"/>
                    <w:left w:val="none" w:sz="0" w:space="0" w:color="auto"/>
                    <w:bottom w:val="none" w:sz="0" w:space="0" w:color="auto"/>
                    <w:right w:val="none" w:sz="0" w:space="0" w:color="auto"/>
                  </w:divBdr>
                </w:div>
                <w:div w:id="2069448144">
                  <w:marLeft w:val="0"/>
                  <w:marRight w:val="0"/>
                  <w:marTop w:val="0"/>
                  <w:marBottom w:val="0"/>
                  <w:divBdr>
                    <w:top w:val="none" w:sz="0" w:space="0" w:color="auto"/>
                    <w:left w:val="none" w:sz="0" w:space="0" w:color="auto"/>
                    <w:bottom w:val="none" w:sz="0" w:space="0" w:color="auto"/>
                    <w:right w:val="none" w:sz="0" w:space="0" w:color="auto"/>
                  </w:divBdr>
                </w:div>
                <w:div w:id="1514688761">
                  <w:marLeft w:val="0"/>
                  <w:marRight w:val="0"/>
                  <w:marTop w:val="0"/>
                  <w:marBottom w:val="0"/>
                  <w:divBdr>
                    <w:top w:val="none" w:sz="0" w:space="0" w:color="auto"/>
                    <w:left w:val="none" w:sz="0" w:space="0" w:color="auto"/>
                    <w:bottom w:val="none" w:sz="0" w:space="0" w:color="auto"/>
                    <w:right w:val="none" w:sz="0" w:space="0" w:color="auto"/>
                  </w:divBdr>
                </w:div>
                <w:div w:id="27032820">
                  <w:marLeft w:val="0"/>
                  <w:marRight w:val="0"/>
                  <w:marTop w:val="0"/>
                  <w:marBottom w:val="0"/>
                  <w:divBdr>
                    <w:top w:val="none" w:sz="0" w:space="0" w:color="auto"/>
                    <w:left w:val="none" w:sz="0" w:space="0" w:color="auto"/>
                    <w:bottom w:val="none" w:sz="0" w:space="0" w:color="auto"/>
                    <w:right w:val="none" w:sz="0" w:space="0" w:color="auto"/>
                  </w:divBdr>
                </w:div>
                <w:div w:id="1402870425">
                  <w:marLeft w:val="0"/>
                  <w:marRight w:val="0"/>
                  <w:marTop w:val="0"/>
                  <w:marBottom w:val="0"/>
                  <w:divBdr>
                    <w:top w:val="none" w:sz="0" w:space="0" w:color="auto"/>
                    <w:left w:val="none" w:sz="0" w:space="0" w:color="auto"/>
                    <w:bottom w:val="none" w:sz="0" w:space="0" w:color="auto"/>
                    <w:right w:val="none" w:sz="0" w:space="0" w:color="auto"/>
                  </w:divBdr>
                </w:div>
                <w:div w:id="2106538593">
                  <w:marLeft w:val="0"/>
                  <w:marRight w:val="0"/>
                  <w:marTop w:val="0"/>
                  <w:marBottom w:val="0"/>
                  <w:divBdr>
                    <w:top w:val="none" w:sz="0" w:space="0" w:color="auto"/>
                    <w:left w:val="none" w:sz="0" w:space="0" w:color="auto"/>
                    <w:bottom w:val="none" w:sz="0" w:space="0" w:color="auto"/>
                    <w:right w:val="none" w:sz="0" w:space="0" w:color="auto"/>
                  </w:divBdr>
                </w:div>
                <w:div w:id="885682938">
                  <w:marLeft w:val="0"/>
                  <w:marRight w:val="0"/>
                  <w:marTop w:val="0"/>
                  <w:marBottom w:val="0"/>
                  <w:divBdr>
                    <w:top w:val="none" w:sz="0" w:space="0" w:color="auto"/>
                    <w:left w:val="none" w:sz="0" w:space="0" w:color="auto"/>
                    <w:bottom w:val="none" w:sz="0" w:space="0" w:color="auto"/>
                    <w:right w:val="none" w:sz="0" w:space="0" w:color="auto"/>
                  </w:divBdr>
                </w:div>
                <w:div w:id="124469630">
                  <w:marLeft w:val="0"/>
                  <w:marRight w:val="0"/>
                  <w:marTop w:val="0"/>
                  <w:marBottom w:val="0"/>
                  <w:divBdr>
                    <w:top w:val="none" w:sz="0" w:space="0" w:color="auto"/>
                    <w:left w:val="none" w:sz="0" w:space="0" w:color="auto"/>
                    <w:bottom w:val="none" w:sz="0" w:space="0" w:color="auto"/>
                    <w:right w:val="none" w:sz="0" w:space="0" w:color="auto"/>
                  </w:divBdr>
                </w:div>
                <w:div w:id="745686309">
                  <w:marLeft w:val="0"/>
                  <w:marRight w:val="0"/>
                  <w:marTop w:val="0"/>
                  <w:marBottom w:val="0"/>
                  <w:divBdr>
                    <w:top w:val="none" w:sz="0" w:space="0" w:color="auto"/>
                    <w:left w:val="none" w:sz="0" w:space="0" w:color="auto"/>
                    <w:bottom w:val="none" w:sz="0" w:space="0" w:color="auto"/>
                    <w:right w:val="none" w:sz="0" w:space="0" w:color="auto"/>
                  </w:divBdr>
                </w:div>
                <w:div w:id="646471443">
                  <w:marLeft w:val="0"/>
                  <w:marRight w:val="0"/>
                  <w:marTop w:val="0"/>
                  <w:marBottom w:val="0"/>
                  <w:divBdr>
                    <w:top w:val="none" w:sz="0" w:space="0" w:color="auto"/>
                    <w:left w:val="none" w:sz="0" w:space="0" w:color="auto"/>
                    <w:bottom w:val="none" w:sz="0" w:space="0" w:color="auto"/>
                    <w:right w:val="none" w:sz="0" w:space="0" w:color="auto"/>
                  </w:divBdr>
                </w:div>
                <w:div w:id="222717640">
                  <w:marLeft w:val="0"/>
                  <w:marRight w:val="0"/>
                  <w:marTop w:val="0"/>
                  <w:marBottom w:val="0"/>
                  <w:divBdr>
                    <w:top w:val="none" w:sz="0" w:space="0" w:color="auto"/>
                    <w:left w:val="none" w:sz="0" w:space="0" w:color="auto"/>
                    <w:bottom w:val="none" w:sz="0" w:space="0" w:color="auto"/>
                    <w:right w:val="none" w:sz="0" w:space="0" w:color="auto"/>
                  </w:divBdr>
                </w:div>
                <w:div w:id="1010988009">
                  <w:marLeft w:val="0"/>
                  <w:marRight w:val="0"/>
                  <w:marTop w:val="0"/>
                  <w:marBottom w:val="0"/>
                  <w:divBdr>
                    <w:top w:val="none" w:sz="0" w:space="0" w:color="auto"/>
                    <w:left w:val="none" w:sz="0" w:space="0" w:color="auto"/>
                    <w:bottom w:val="none" w:sz="0" w:space="0" w:color="auto"/>
                    <w:right w:val="none" w:sz="0" w:space="0" w:color="auto"/>
                  </w:divBdr>
                </w:div>
                <w:div w:id="1485122093">
                  <w:marLeft w:val="0"/>
                  <w:marRight w:val="0"/>
                  <w:marTop w:val="0"/>
                  <w:marBottom w:val="0"/>
                  <w:divBdr>
                    <w:top w:val="none" w:sz="0" w:space="0" w:color="auto"/>
                    <w:left w:val="none" w:sz="0" w:space="0" w:color="auto"/>
                    <w:bottom w:val="none" w:sz="0" w:space="0" w:color="auto"/>
                    <w:right w:val="none" w:sz="0" w:space="0" w:color="auto"/>
                  </w:divBdr>
                </w:div>
                <w:div w:id="500856507">
                  <w:marLeft w:val="0"/>
                  <w:marRight w:val="0"/>
                  <w:marTop w:val="0"/>
                  <w:marBottom w:val="0"/>
                  <w:divBdr>
                    <w:top w:val="none" w:sz="0" w:space="0" w:color="auto"/>
                    <w:left w:val="none" w:sz="0" w:space="0" w:color="auto"/>
                    <w:bottom w:val="none" w:sz="0" w:space="0" w:color="auto"/>
                    <w:right w:val="none" w:sz="0" w:space="0" w:color="auto"/>
                  </w:divBdr>
                </w:div>
                <w:div w:id="328102640">
                  <w:marLeft w:val="0"/>
                  <w:marRight w:val="0"/>
                  <w:marTop w:val="0"/>
                  <w:marBottom w:val="0"/>
                  <w:divBdr>
                    <w:top w:val="none" w:sz="0" w:space="0" w:color="auto"/>
                    <w:left w:val="none" w:sz="0" w:space="0" w:color="auto"/>
                    <w:bottom w:val="none" w:sz="0" w:space="0" w:color="auto"/>
                    <w:right w:val="none" w:sz="0" w:space="0" w:color="auto"/>
                  </w:divBdr>
                </w:div>
                <w:div w:id="2109033967">
                  <w:marLeft w:val="0"/>
                  <w:marRight w:val="0"/>
                  <w:marTop w:val="0"/>
                  <w:marBottom w:val="0"/>
                  <w:divBdr>
                    <w:top w:val="none" w:sz="0" w:space="0" w:color="auto"/>
                    <w:left w:val="none" w:sz="0" w:space="0" w:color="auto"/>
                    <w:bottom w:val="none" w:sz="0" w:space="0" w:color="auto"/>
                    <w:right w:val="none" w:sz="0" w:space="0" w:color="auto"/>
                  </w:divBdr>
                </w:div>
                <w:div w:id="1607957441">
                  <w:marLeft w:val="0"/>
                  <w:marRight w:val="0"/>
                  <w:marTop w:val="0"/>
                  <w:marBottom w:val="0"/>
                  <w:divBdr>
                    <w:top w:val="none" w:sz="0" w:space="0" w:color="auto"/>
                    <w:left w:val="none" w:sz="0" w:space="0" w:color="auto"/>
                    <w:bottom w:val="none" w:sz="0" w:space="0" w:color="auto"/>
                    <w:right w:val="none" w:sz="0" w:space="0" w:color="auto"/>
                  </w:divBdr>
                </w:div>
                <w:div w:id="1056272512">
                  <w:marLeft w:val="0"/>
                  <w:marRight w:val="0"/>
                  <w:marTop w:val="0"/>
                  <w:marBottom w:val="0"/>
                  <w:divBdr>
                    <w:top w:val="none" w:sz="0" w:space="0" w:color="auto"/>
                    <w:left w:val="none" w:sz="0" w:space="0" w:color="auto"/>
                    <w:bottom w:val="none" w:sz="0" w:space="0" w:color="auto"/>
                    <w:right w:val="none" w:sz="0" w:space="0" w:color="auto"/>
                  </w:divBdr>
                </w:div>
                <w:div w:id="244412684">
                  <w:marLeft w:val="0"/>
                  <w:marRight w:val="0"/>
                  <w:marTop w:val="0"/>
                  <w:marBottom w:val="0"/>
                  <w:divBdr>
                    <w:top w:val="none" w:sz="0" w:space="0" w:color="auto"/>
                    <w:left w:val="none" w:sz="0" w:space="0" w:color="auto"/>
                    <w:bottom w:val="none" w:sz="0" w:space="0" w:color="auto"/>
                    <w:right w:val="none" w:sz="0" w:space="0" w:color="auto"/>
                  </w:divBdr>
                </w:div>
                <w:div w:id="1884560065">
                  <w:marLeft w:val="0"/>
                  <w:marRight w:val="0"/>
                  <w:marTop w:val="0"/>
                  <w:marBottom w:val="0"/>
                  <w:divBdr>
                    <w:top w:val="none" w:sz="0" w:space="0" w:color="auto"/>
                    <w:left w:val="none" w:sz="0" w:space="0" w:color="auto"/>
                    <w:bottom w:val="none" w:sz="0" w:space="0" w:color="auto"/>
                    <w:right w:val="none" w:sz="0" w:space="0" w:color="auto"/>
                  </w:divBdr>
                </w:div>
                <w:div w:id="1923756540">
                  <w:marLeft w:val="0"/>
                  <w:marRight w:val="0"/>
                  <w:marTop w:val="0"/>
                  <w:marBottom w:val="0"/>
                  <w:divBdr>
                    <w:top w:val="none" w:sz="0" w:space="0" w:color="auto"/>
                    <w:left w:val="none" w:sz="0" w:space="0" w:color="auto"/>
                    <w:bottom w:val="none" w:sz="0" w:space="0" w:color="auto"/>
                    <w:right w:val="none" w:sz="0" w:space="0" w:color="auto"/>
                  </w:divBdr>
                </w:div>
                <w:div w:id="645624509">
                  <w:marLeft w:val="0"/>
                  <w:marRight w:val="0"/>
                  <w:marTop w:val="0"/>
                  <w:marBottom w:val="0"/>
                  <w:divBdr>
                    <w:top w:val="none" w:sz="0" w:space="0" w:color="auto"/>
                    <w:left w:val="none" w:sz="0" w:space="0" w:color="auto"/>
                    <w:bottom w:val="none" w:sz="0" w:space="0" w:color="auto"/>
                    <w:right w:val="none" w:sz="0" w:space="0" w:color="auto"/>
                  </w:divBdr>
                </w:div>
                <w:div w:id="1762220216">
                  <w:marLeft w:val="0"/>
                  <w:marRight w:val="0"/>
                  <w:marTop w:val="0"/>
                  <w:marBottom w:val="0"/>
                  <w:divBdr>
                    <w:top w:val="none" w:sz="0" w:space="0" w:color="auto"/>
                    <w:left w:val="none" w:sz="0" w:space="0" w:color="auto"/>
                    <w:bottom w:val="none" w:sz="0" w:space="0" w:color="auto"/>
                    <w:right w:val="none" w:sz="0" w:space="0" w:color="auto"/>
                  </w:divBdr>
                </w:div>
                <w:div w:id="456603875">
                  <w:marLeft w:val="0"/>
                  <w:marRight w:val="0"/>
                  <w:marTop w:val="0"/>
                  <w:marBottom w:val="0"/>
                  <w:divBdr>
                    <w:top w:val="none" w:sz="0" w:space="0" w:color="auto"/>
                    <w:left w:val="none" w:sz="0" w:space="0" w:color="auto"/>
                    <w:bottom w:val="none" w:sz="0" w:space="0" w:color="auto"/>
                    <w:right w:val="none" w:sz="0" w:space="0" w:color="auto"/>
                  </w:divBdr>
                </w:div>
                <w:div w:id="1748115412">
                  <w:marLeft w:val="0"/>
                  <w:marRight w:val="0"/>
                  <w:marTop w:val="0"/>
                  <w:marBottom w:val="0"/>
                  <w:divBdr>
                    <w:top w:val="none" w:sz="0" w:space="0" w:color="auto"/>
                    <w:left w:val="none" w:sz="0" w:space="0" w:color="auto"/>
                    <w:bottom w:val="none" w:sz="0" w:space="0" w:color="auto"/>
                    <w:right w:val="none" w:sz="0" w:space="0" w:color="auto"/>
                  </w:divBdr>
                </w:div>
                <w:div w:id="443157816">
                  <w:marLeft w:val="0"/>
                  <w:marRight w:val="0"/>
                  <w:marTop w:val="0"/>
                  <w:marBottom w:val="0"/>
                  <w:divBdr>
                    <w:top w:val="none" w:sz="0" w:space="0" w:color="auto"/>
                    <w:left w:val="none" w:sz="0" w:space="0" w:color="auto"/>
                    <w:bottom w:val="none" w:sz="0" w:space="0" w:color="auto"/>
                    <w:right w:val="none" w:sz="0" w:space="0" w:color="auto"/>
                  </w:divBdr>
                </w:div>
                <w:div w:id="774329107">
                  <w:marLeft w:val="0"/>
                  <w:marRight w:val="0"/>
                  <w:marTop w:val="0"/>
                  <w:marBottom w:val="0"/>
                  <w:divBdr>
                    <w:top w:val="none" w:sz="0" w:space="0" w:color="auto"/>
                    <w:left w:val="none" w:sz="0" w:space="0" w:color="auto"/>
                    <w:bottom w:val="none" w:sz="0" w:space="0" w:color="auto"/>
                    <w:right w:val="none" w:sz="0" w:space="0" w:color="auto"/>
                  </w:divBdr>
                </w:div>
                <w:div w:id="718867554">
                  <w:marLeft w:val="0"/>
                  <w:marRight w:val="0"/>
                  <w:marTop w:val="0"/>
                  <w:marBottom w:val="0"/>
                  <w:divBdr>
                    <w:top w:val="none" w:sz="0" w:space="0" w:color="auto"/>
                    <w:left w:val="none" w:sz="0" w:space="0" w:color="auto"/>
                    <w:bottom w:val="none" w:sz="0" w:space="0" w:color="auto"/>
                    <w:right w:val="none" w:sz="0" w:space="0" w:color="auto"/>
                  </w:divBdr>
                </w:div>
                <w:div w:id="327249835">
                  <w:marLeft w:val="0"/>
                  <w:marRight w:val="0"/>
                  <w:marTop w:val="0"/>
                  <w:marBottom w:val="0"/>
                  <w:divBdr>
                    <w:top w:val="none" w:sz="0" w:space="0" w:color="auto"/>
                    <w:left w:val="none" w:sz="0" w:space="0" w:color="auto"/>
                    <w:bottom w:val="none" w:sz="0" w:space="0" w:color="auto"/>
                    <w:right w:val="none" w:sz="0" w:space="0" w:color="auto"/>
                  </w:divBdr>
                </w:div>
                <w:div w:id="207649036">
                  <w:marLeft w:val="0"/>
                  <w:marRight w:val="0"/>
                  <w:marTop w:val="0"/>
                  <w:marBottom w:val="0"/>
                  <w:divBdr>
                    <w:top w:val="none" w:sz="0" w:space="0" w:color="auto"/>
                    <w:left w:val="none" w:sz="0" w:space="0" w:color="auto"/>
                    <w:bottom w:val="none" w:sz="0" w:space="0" w:color="auto"/>
                    <w:right w:val="none" w:sz="0" w:space="0" w:color="auto"/>
                  </w:divBdr>
                </w:div>
                <w:div w:id="1901400497">
                  <w:marLeft w:val="0"/>
                  <w:marRight w:val="0"/>
                  <w:marTop w:val="0"/>
                  <w:marBottom w:val="0"/>
                  <w:divBdr>
                    <w:top w:val="none" w:sz="0" w:space="0" w:color="auto"/>
                    <w:left w:val="none" w:sz="0" w:space="0" w:color="auto"/>
                    <w:bottom w:val="none" w:sz="0" w:space="0" w:color="auto"/>
                    <w:right w:val="none" w:sz="0" w:space="0" w:color="auto"/>
                  </w:divBdr>
                </w:div>
                <w:div w:id="859971336">
                  <w:marLeft w:val="0"/>
                  <w:marRight w:val="0"/>
                  <w:marTop w:val="0"/>
                  <w:marBottom w:val="0"/>
                  <w:divBdr>
                    <w:top w:val="none" w:sz="0" w:space="0" w:color="auto"/>
                    <w:left w:val="none" w:sz="0" w:space="0" w:color="auto"/>
                    <w:bottom w:val="none" w:sz="0" w:space="0" w:color="auto"/>
                    <w:right w:val="none" w:sz="0" w:space="0" w:color="auto"/>
                  </w:divBdr>
                </w:div>
                <w:div w:id="2104644545">
                  <w:marLeft w:val="0"/>
                  <w:marRight w:val="0"/>
                  <w:marTop w:val="0"/>
                  <w:marBottom w:val="0"/>
                  <w:divBdr>
                    <w:top w:val="none" w:sz="0" w:space="0" w:color="auto"/>
                    <w:left w:val="none" w:sz="0" w:space="0" w:color="auto"/>
                    <w:bottom w:val="none" w:sz="0" w:space="0" w:color="auto"/>
                    <w:right w:val="none" w:sz="0" w:space="0" w:color="auto"/>
                  </w:divBdr>
                </w:div>
                <w:div w:id="1152215267">
                  <w:marLeft w:val="0"/>
                  <w:marRight w:val="0"/>
                  <w:marTop w:val="0"/>
                  <w:marBottom w:val="0"/>
                  <w:divBdr>
                    <w:top w:val="none" w:sz="0" w:space="0" w:color="auto"/>
                    <w:left w:val="none" w:sz="0" w:space="0" w:color="auto"/>
                    <w:bottom w:val="none" w:sz="0" w:space="0" w:color="auto"/>
                    <w:right w:val="none" w:sz="0" w:space="0" w:color="auto"/>
                  </w:divBdr>
                </w:div>
                <w:div w:id="25376658">
                  <w:marLeft w:val="0"/>
                  <w:marRight w:val="0"/>
                  <w:marTop w:val="0"/>
                  <w:marBottom w:val="0"/>
                  <w:divBdr>
                    <w:top w:val="none" w:sz="0" w:space="0" w:color="auto"/>
                    <w:left w:val="none" w:sz="0" w:space="0" w:color="auto"/>
                    <w:bottom w:val="none" w:sz="0" w:space="0" w:color="auto"/>
                    <w:right w:val="none" w:sz="0" w:space="0" w:color="auto"/>
                  </w:divBdr>
                </w:div>
                <w:div w:id="1687440526">
                  <w:marLeft w:val="0"/>
                  <w:marRight w:val="0"/>
                  <w:marTop w:val="0"/>
                  <w:marBottom w:val="0"/>
                  <w:divBdr>
                    <w:top w:val="none" w:sz="0" w:space="0" w:color="auto"/>
                    <w:left w:val="none" w:sz="0" w:space="0" w:color="auto"/>
                    <w:bottom w:val="none" w:sz="0" w:space="0" w:color="auto"/>
                    <w:right w:val="none" w:sz="0" w:space="0" w:color="auto"/>
                  </w:divBdr>
                </w:div>
                <w:div w:id="299961738">
                  <w:marLeft w:val="0"/>
                  <w:marRight w:val="0"/>
                  <w:marTop w:val="0"/>
                  <w:marBottom w:val="0"/>
                  <w:divBdr>
                    <w:top w:val="none" w:sz="0" w:space="0" w:color="auto"/>
                    <w:left w:val="none" w:sz="0" w:space="0" w:color="auto"/>
                    <w:bottom w:val="none" w:sz="0" w:space="0" w:color="auto"/>
                    <w:right w:val="none" w:sz="0" w:space="0" w:color="auto"/>
                  </w:divBdr>
                </w:div>
                <w:div w:id="1776317947">
                  <w:marLeft w:val="0"/>
                  <w:marRight w:val="0"/>
                  <w:marTop w:val="0"/>
                  <w:marBottom w:val="0"/>
                  <w:divBdr>
                    <w:top w:val="none" w:sz="0" w:space="0" w:color="auto"/>
                    <w:left w:val="none" w:sz="0" w:space="0" w:color="auto"/>
                    <w:bottom w:val="none" w:sz="0" w:space="0" w:color="auto"/>
                    <w:right w:val="none" w:sz="0" w:space="0" w:color="auto"/>
                  </w:divBdr>
                </w:div>
                <w:div w:id="1096708111">
                  <w:marLeft w:val="0"/>
                  <w:marRight w:val="0"/>
                  <w:marTop w:val="0"/>
                  <w:marBottom w:val="0"/>
                  <w:divBdr>
                    <w:top w:val="none" w:sz="0" w:space="0" w:color="auto"/>
                    <w:left w:val="none" w:sz="0" w:space="0" w:color="auto"/>
                    <w:bottom w:val="none" w:sz="0" w:space="0" w:color="auto"/>
                    <w:right w:val="none" w:sz="0" w:space="0" w:color="auto"/>
                  </w:divBdr>
                </w:div>
                <w:div w:id="622032830">
                  <w:marLeft w:val="0"/>
                  <w:marRight w:val="0"/>
                  <w:marTop w:val="0"/>
                  <w:marBottom w:val="0"/>
                  <w:divBdr>
                    <w:top w:val="none" w:sz="0" w:space="0" w:color="auto"/>
                    <w:left w:val="none" w:sz="0" w:space="0" w:color="auto"/>
                    <w:bottom w:val="none" w:sz="0" w:space="0" w:color="auto"/>
                    <w:right w:val="none" w:sz="0" w:space="0" w:color="auto"/>
                  </w:divBdr>
                </w:div>
                <w:div w:id="1614244622">
                  <w:marLeft w:val="0"/>
                  <w:marRight w:val="0"/>
                  <w:marTop w:val="0"/>
                  <w:marBottom w:val="0"/>
                  <w:divBdr>
                    <w:top w:val="none" w:sz="0" w:space="0" w:color="auto"/>
                    <w:left w:val="none" w:sz="0" w:space="0" w:color="auto"/>
                    <w:bottom w:val="none" w:sz="0" w:space="0" w:color="auto"/>
                    <w:right w:val="none" w:sz="0" w:space="0" w:color="auto"/>
                  </w:divBdr>
                </w:div>
                <w:div w:id="848954173">
                  <w:marLeft w:val="0"/>
                  <w:marRight w:val="0"/>
                  <w:marTop w:val="0"/>
                  <w:marBottom w:val="0"/>
                  <w:divBdr>
                    <w:top w:val="none" w:sz="0" w:space="0" w:color="auto"/>
                    <w:left w:val="none" w:sz="0" w:space="0" w:color="auto"/>
                    <w:bottom w:val="none" w:sz="0" w:space="0" w:color="auto"/>
                    <w:right w:val="none" w:sz="0" w:space="0" w:color="auto"/>
                  </w:divBdr>
                </w:div>
                <w:div w:id="1089620817">
                  <w:marLeft w:val="0"/>
                  <w:marRight w:val="0"/>
                  <w:marTop w:val="0"/>
                  <w:marBottom w:val="0"/>
                  <w:divBdr>
                    <w:top w:val="none" w:sz="0" w:space="0" w:color="auto"/>
                    <w:left w:val="none" w:sz="0" w:space="0" w:color="auto"/>
                    <w:bottom w:val="none" w:sz="0" w:space="0" w:color="auto"/>
                    <w:right w:val="none" w:sz="0" w:space="0" w:color="auto"/>
                  </w:divBdr>
                </w:div>
                <w:div w:id="2144275460">
                  <w:marLeft w:val="0"/>
                  <w:marRight w:val="0"/>
                  <w:marTop w:val="0"/>
                  <w:marBottom w:val="0"/>
                  <w:divBdr>
                    <w:top w:val="none" w:sz="0" w:space="0" w:color="auto"/>
                    <w:left w:val="none" w:sz="0" w:space="0" w:color="auto"/>
                    <w:bottom w:val="none" w:sz="0" w:space="0" w:color="auto"/>
                    <w:right w:val="none" w:sz="0" w:space="0" w:color="auto"/>
                  </w:divBdr>
                </w:div>
                <w:div w:id="2050959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85570">
      <w:bodyDiv w:val="1"/>
      <w:marLeft w:val="0"/>
      <w:marRight w:val="0"/>
      <w:marTop w:val="0"/>
      <w:marBottom w:val="0"/>
      <w:divBdr>
        <w:top w:val="none" w:sz="0" w:space="0" w:color="auto"/>
        <w:left w:val="none" w:sz="0" w:space="0" w:color="auto"/>
        <w:bottom w:val="none" w:sz="0" w:space="0" w:color="auto"/>
        <w:right w:val="none" w:sz="0" w:space="0" w:color="auto"/>
      </w:divBdr>
    </w:div>
    <w:div w:id="220676241">
      <w:bodyDiv w:val="1"/>
      <w:marLeft w:val="0"/>
      <w:marRight w:val="0"/>
      <w:marTop w:val="0"/>
      <w:marBottom w:val="0"/>
      <w:divBdr>
        <w:top w:val="none" w:sz="0" w:space="0" w:color="auto"/>
        <w:left w:val="none" w:sz="0" w:space="0" w:color="auto"/>
        <w:bottom w:val="none" w:sz="0" w:space="0" w:color="auto"/>
        <w:right w:val="none" w:sz="0" w:space="0" w:color="auto"/>
      </w:divBdr>
    </w:div>
    <w:div w:id="453333740">
      <w:bodyDiv w:val="1"/>
      <w:marLeft w:val="0"/>
      <w:marRight w:val="0"/>
      <w:marTop w:val="0"/>
      <w:marBottom w:val="0"/>
      <w:divBdr>
        <w:top w:val="none" w:sz="0" w:space="0" w:color="auto"/>
        <w:left w:val="none" w:sz="0" w:space="0" w:color="auto"/>
        <w:bottom w:val="none" w:sz="0" w:space="0" w:color="auto"/>
        <w:right w:val="none" w:sz="0" w:space="0" w:color="auto"/>
      </w:divBdr>
    </w:div>
    <w:div w:id="491914400">
      <w:bodyDiv w:val="1"/>
      <w:marLeft w:val="0"/>
      <w:marRight w:val="0"/>
      <w:marTop w:val="0"/>
      <w:marBottom w:val="0"/>
      <w:divBdr>
        <w:top w:val="none" w:sz="0" w:space="0" w:color="auto"/>
        <w:left w:val="none" w:sz="0" w:space="0" w:color="auto"/>
        <w:bottom w:val="none" w:sz="0" w:space="0" w:color="auto"/>
        <w:right w:val="none" w:sz="0" w:space="0" w:color="auto"/>
      </w:divBdr>
    </w:div>
    <w:div w:id="641228479">
      <w:bodyDiv w:val="1"/>
      <w:marLeft w:val="0"/>
      <w:marRight w:val="0"/>
      <w:marTop w:val="0"/>
      <w:marBottom w:val="0"/>
      <w:divBdr>
        <w:top w:val="none" w:sz="0" w:space="0" w:color="auto"/>
        <w:left w:val="none" w:sz="0" w:space="0" w:color="auto"/>
        <w:bottom w:val="none" w:sz="0" w:space="0" w:color="auto"/>
        <w:right w:val="none" w:sz="0" w:space="0" w:color="auto"/>
      </w:divBdr>
    </w:div>
    <w:div w:id="863246537">
      <w:bodyDiv w:val="1"/>
      <w:marLeft w:val="0"/>
      <w:marRight w:val="0"/>
      <w:marTop w:val="0"/>
      <w:marBottom w:val="0"/>
      <w:divBdr>
        <w:top w:val="none" w:sz="0" w:space="0" w:color="auto"/>
        <w:left w:val="none" w:sz="0" w:space="0" w:color="auto"/>
        <w:bottom w:val="none" w:sz="0" w:space="0" w:color="auto"/>
        <w:right w:val="none" w:sz="0" w:space="0" w:color="auto"/>
      </w:divBdr>
    </w:div>
    <w:div w:id="950404442">
      <w:bodyDiv w:val="1"/>
      <w:marLeft w:val="0"/>
      <w:marRight w:val="0"/>
      <w:marTop w:val="0"/>
      <w:marBottom w:val="0"/>
      <w:divBdr>
        <w:top w:val="none" w:sz="0" w:space="0" w:color="auto"/>
        <w:left w:val="none" w:sz="0" w:space="0" w:color="auto"/>
        <w:bottom w:val="none" w:sz="0" w:space="0" w:color="auto"/>
        <w:right w:val="none" w:sz="0" w:space="0" w:color="auto"/>
      </w:divBdr>
      <w:divsChild>
        <w:div w:id="559093317">
          <w:marLeft w:val="0"/>
          <w:marRight w:val="0"/>
          <w:marTop w:val="150"/>
          <w:marBottom w:val="270"/>
          <w:divBdr>
            <w:top w:val="none" w:sz="0" w:space="0" w:color="auto"/>
            <w:left w:val="none" w:sz="0" w:space="0" w:color="auto"/>
            <w:bottom w:val="none" w:sz="0" w:space="0" w:color="auto"/>
            <w:right w:val="none" w:sz="0" w:space="0" w:color="auto"/>
          </w:divBdr>
          <w:divsChild>
            <w:div w:id="767384393">
              <w:marLeft w:val="0"/>
              <w:marRight w:val="0"/>
              <w:marTop w:val="0"/>
              <w:marBottom w:val="0"/>
              <w:divBdr>
                <w:top w:val="none" w:sz="0" w:space="0" w:color="auto"/>
                <w:left w:val="none" w:sz="0" w:space="0" w:color="auto"/>
                <w:bottom w:val="none" w:sz="0" w:space="0" w:color="auto"/>
                <w:right w:val="none" w:sz="0" w:space="0" w:color="auto"/>
              </w:divBdr>
            </w:div>
          </w:divsChild>
        </w:div>
        <w:div w:id="613832646">
          <w:marLeft w:val="0"/>
          <w:marRight w:val="0"/>
          <w:marTop w:val="150"/>
          <w:marBottom w:val="270"/>
          <w:divBdr>
            <w:top w:val="none" w:sz="0" w:space="0" w:color="auto"/>
            <w:left w:val="none" w:sz="0" w:space="0" w:color="auto"/>
            <w:bottom w:val="none" w:sz="0" w:space="0" w:color="auto"/>
            <w:right w:val="none" w:sz="0" w:space="0" w:color="auto"/>
          </w:divBdr>
        </w:div>
        <w:div w:id="1098645906">
          <w:marLeft w:val="0"/>
          <w:marRight w:val="0"/>
          <w:marTop w:val="150"/>
          <w:marBottom w:val="270"/>
          <w:divBdr>
            <w:top w:val="none" w:sz="0" w:space="0" w:color="auto"/>
            <w:left w:val="none" w:sz="0" w:space="0" w:color="auto"/>
            <w:bottom w:val="none" w:sz="0" w:space="0" w:color="auto"/>
            <w:right w:val="none" w:sz="0" w:space="0" w:color="auto"/>
          </w:divBdr>
          <w:divsChild>
            <w:div w:id="1490516835">
              <w:marLeft w:val="0"/>
              <w:marRight w:val="0"/>
              <w:marTop w:val="0"/>
              <w:marBottom w:val="0"/>
              <w:divBdr>
                <w:top w:val="none" w:sz="0" w:space="0" w:color="auto"/>
                <w:left w:val="none" w:sz="0" w:space="0" w:color="auto"/>
                <w:bottom w:val="none" w:sz="0" w:space="0" w:color="auto"/>
                <w:right w:val="none" w:sz="0" w:space="0" w:color="auto"/>
              </w:divBdr>
            </w:div>
            <w:div w:id="1823505126">
              <w:marLeft w:val="0"/>
              <w:marRight w:val="0"/>
              <w:marTop w:val="0"/>
              <w:marBottom w:val="0"/>
              <w:divBdr>
                <w:top w:val="none" w:sz="0" w:space="0" w:color="auto"/>
                <w:left w:val="none" w:sz="0" w:space="0" w:color="auto"/>
                <w:bottom w:val="none" w:sz="0" w:space="0" w:color="auto"/>
                <w:right w:val="none" w:sz="0" w:space="0" w:color="auto"/>
              </w:divBdr>
            </w:div>
            <w:div w:id="1858614261">
              <w:marLeft w:val="0"/>
              <w:marRight w:val="0"/>
              <w:marTop w:val="0"/>
              <w:marBottom w:val="0"/>
              <w:divBdr>
                <w:top w:val="none" w:sz="0" w:space="0" w:color="auto"/>
                <w:left w:val="none" w:sz="0" w:space="0" w:color="auto"/>
                <w:bottom w:val="none" w:sz="0" w:space="0" w:color="auto"/>
                <w:right w:val="none" w:sz="0" w:space="0" w:color="auto"/>
              </w:divBdr>
            </w:div>
          </w:divsChild>
        </w:div>
        <w:div w:id="1205673896">
          <w:marLeft w:val="0"/>
          <w:marRight w:val="0"/>
          <w:marTop w:val="150"/>
          <w:marBottom w:val="270"/>
          <w:divBdr>
            <w:top w:val="none" w:sz="0" w:space="0" w:color="auto"/>
            <w:left w:val="none" w:sz="0" w:space="0" w:color="auto"/>
            <w:bottom w:val="none" w:sz="0" w:space="0" w:color="auto"/>
            <w:right w:val="none" w:sz="0" w:space="0" w:color="auto"/>
          </w:divBdr>
          <w:divsChild>
            <w:div w:id="566378672">
              <w:marLeft w:val="0"/>
              <w:marRight w:val="0"/>
              <w:marTop w:val="0"/>
              <w:marBottom w:val="0"/>
              <w:divBdr>
                <w:top w:val="none" w:sz="0" w:space="0" w:color="auto"/>
                <w:left w:val="none" w:sz="0" w:space="0" w:color="auto"/>
                <w:bottom w:val="none" w:sz="0" w:space="0" w:color="auto"/>
                <w:right w:val="none" w:sz="0" w:space="0" w:color="auto"/>
              </w:divBdr>
            </w:div>
          </w:divsChild>
        </w:div>
        <w:div w:id="1205873998">
          <w:marLeft w:val="0"/>
          <w:marRight w:val="0"/>
          <w:marTop w:val="150"/>
          <w:marBottom w:val="270"/>
          <w:divBdr>
            <w:top w:val="none" w:sz="0" w:space="0" w:color="auto"/>
            <w:left w:val="none" w:sz="0" w:space="0" w:color="auto"/>
            <w:bottom w:val="none" w:sz="0" w:space="0" w:color="auto"/>
            <w:right w:val="none" w:sz="0" w:space="0" w:color="auto"/>
          </w:divBdr>
          <w:divsChild>
            <w:div w:id="642320627">
              <w:marLeft w:val="0"/>
              <w:marRight w:val="0"/>
              <w:marTop w:val="0"/>
              <w:marBottom w:val="0"/>
              <w:divBdr>
                <w:top w:val="none" w:sz="0" w:space="0" w:color="auto"/>
                <w:left w:val="none" w:sz="0" w:space="0" w:color="auto"/>
                <w:bottom w:val="none" w:sz="0" w:space="0" w:color="auto"/>
                <w:right w:val="none" w:sz="0" w:space="0" w:color="auto"/>
              </w:divBdr>
            </w:div>
            <w:div w:id="773325141">
              <w:marLeft w:val="0"/>
              <w:marRight w:val="0"/>
              <w:marTop w:val="0"/>
              <w:marBottom w:val="0"/>
              <w:divBdr>
                <w:top w:val="none" w:sz="0" w:space="0" w:color="auto"/>
                <w:left w:val="none" w:sz="0" w:space="0" w:color="auto"/>
                <w:bottom w:val="none" w:sz="0" w:space="0" w:color="auto"/>
                <w:right w:val="none" w:sz="0" w:space="0" w:color="auto"/>
              </w:divBdr>
            </w:div>
            <w:div w:id="799113050">
              <w:marLeft w:val="0"/>
              <w:marRight w:val="0"/>
              <w:marTop w:val="0"/>
              <w:marBottom w:val="0"/>
              <w:divBdr>
                <w:top w:val="none" w:sz="0" w:space="0" w:color="auto"/>
                <w:left w:val="none" w:sz="0" w:space="0" w:color="auto"/>
                <w:bottom w:val="none" w:sz="0" w:space="0" w:color="auto"/>
                <w:right w:val="none" w:sz="0" w:space="0" w:color="auto"/>
              </w:divBdr>
            </w:div>
            <w:div w:id="963459209">
              <w:marLeft w:val="0"/>
              <w:marRight w:val="0"/>
              <w:marTop w:val="0"/>
              <w:marBottom w:val="0"/>
              <w:divBdr>
                <w:top w:val="none" w:sz="0" w:space="0" w:color="auto"/>
                <w:left w:val="none" w:sz="0" w:space="0" w:color="auto"/>
                <w:bottom w:val="none" w:sz="0" w:space="0" w:color="auto"/>
                <w:right w:val="none" w:sz="0" w:space="0" w:color="auto"/>
              </w:divBdr>
            </w:div>
            <w:div w:id="1547832802">
              <w:marLeft w:val="0"/>
              <w:marRight w:val="0"/>
              <w:marTop w:val="0"/>
              <w:marBottom w:val="0"/>
              <w:divBdr>
                <w:top w:val="none" w:sz="0" w:space="0" w:color="auto"/>
                <w:left w:val="none" w:sz="0" w:space="0" w:color="auto"/>
                <w:bottom w:val="none" w:sz="0" w:space="0" w:color="auto"/>
                <w:right w:val="none" w:sz="0" w:space="0" w:color="auto"/>
              </w:divBdr>
            </w:div>
            <w:div w:id="2096634115">
              <w:marLeft w:val="0"/>
              <w:marRight w:val="0"/>
              <w:marTop w:val="0"/>
              <w:marBottom w:val="0"/>
              <w:divBdr>
                <w:top w:val="none" w:sz="0" w:space="0" w:color="auto"/>
                <w:left w:val="none" w:sz="0" w:space="0" w:color="auto"/>
                <w:bottom w:val="none" w:sz="0" w:space="0" w:color="auto"/>
                <w:right w:val="none" w:sz="0" w:space="0" w:color="auto"/>
              </w:divBdr>
            </w:div>
          </w:divsChild>
        </w:div>
        <w:div w:id="1509057873">
          <w:marLeft w:val="0"/>
          <w:marRight w:val="0"/>
          <w:marTop w:val="150"/>
          <w:marBottom w:val="270"/>
          <w:divBdr>
            <w:top w:val="none" w:sz="0" w:space="0" w:color="auto"/>
            <w:left w:val="none" w:sz="0" w:space="0" w:color="auto"/>
            <w:bottom w:val="none" w:sz="0" w:space="0" w:color="auto"/>
            <w:right w:val="none" w:sz="0" w:space="0" w:color="auto"/>
          </w:divBdr>
          <w:divsChild>
            <w:div w:id="1177772752">
              <w:marLeft w:val="0"/>
              <w:marRight w:val="0"/>
              <w:marTop w:val="0"/>
              <w:marBottom w:val="0"/>
              <w:divBdr>
                <w:top w:val="none" w:sz="0" w:space="0" w:color="auto"/>
                <w:left w:val="none" w:sz="0" w:space="0" w:color="auto"/>
                <w:bottom w:val="none" w:sz="0" w:space="0" w:color="auto"/>
                <w:right w:val="none" w:sz="0" w:space="0" w:color="auto"/>
              </w:divBdr>
            </w:div>
            <w:div w:id="1493524092">
              <w:marLeft w:val="0"/>
              <w:marRight w:val="0"/>
              <w:marTop w:val="0"/>
              <w:marBottom w:val="0"/>
              <w:divBdr>
                <w:top w:val="none" w:sz="0" w:space="0" w:color="auto"/>
                <w:left w:val="none" w:sz="0" w:space="0" w:color="auto"/>
                <w:bottom w:val="none" w:sz="0" w:space="0" w:color="auto"/>
                <w:right w:val="none" w:sz="0" w:space="0" w:color="auto"/>
              </w:divBdr>
            </w:div>
            <w:div w:id="1709838923">
              <w:marLeft w:val="0"/>
              <w:marRight w:val="0"/>
              <w:marTop w:val="0"/>
              <w:marBottom w:val="0"/>
              <w:divBdr>
                <w:top w:val="none" w:sz="0" w:space="0" w:color="auto"/>
                <w:left w:val="none" w:sz="0" w:space="0" w:color="auto"/>
                <w:bottom w:val="none" w:sz="0" w:space="0" w:color="auto"/>
                <w:right w:val="none" w:sz="0" w:space="0" w:color="auto"/>
              </w:divBdr>
            </w:div>
          </w:divsChild>
        </w:div>
        <w:div w:id="1696733921">
          <w:marLeft w:val="0"/>
          <w:marRight w:val="0"/>
          <w:marTop w:val="150"/>
          <w:marBottom w:val="270"/>
          <w:divBdr>
            <w:top w:val="none" w:sz="0" w:space="0" w:color="auto"/>
            <w:left w:val="none" w:sz="0" w:space="0" w:color="auto"/>
            <w:bottom w:val="none" w:sz="0" w:space="0" w:color="auto"/>
            <w:right w:val="none" w:sz="0" w:space="0" w:color="auto"/>
          </w:divBdr>
        </w:div>
        <w:div w:id="1716924537">
          <w:marLeft w:val="0"/>
          <w:marRight w:val="0"/>
          <w:marTop w:val="150"/>
          <w:marBottom w:val="270"/>
          <w:divBdr>
            <w:top w:val="none" w:sz="0" w:space="0" w:color="auto"/>
            <w:left w:val="none" w:sz="0" w:space="0" w:color="auto"/>
            <w:bottom w:val="none" w:sz="0" w:space="0" w:color="auto"/>
            <w:right w:val="none" w:sz="0" w:space="0" w:color="auto"/>
          </w:divBdr>
          <w:divsChild>
            <w:div w:id="1906453860">
              <w:marLeft w:val="0"/>
              <w:marRight w:val="0"/>
              <w:marTop w:val="0"/>
              <w:marBottom w:val="0"/>
              <w:divBdr>
                <w:top w:val="none" w:sz="0" w:space="0" w:color="auto"/>
                <w:left w:val="none" w:sz="0" w:space="0" w:color="auto"/>
                <w:bottom w:val="none" w:sz="0" w:space="0" w:color="auto"/>
                <w:right w:val="none" w:sz="0" w:space="0" w:color="auto"/>
              </w:divBdr>
            </w:div>
          </w:divsChild>
        </w:div>
        <w:div w:id="1933196378">
          <w:marLeft w:val="0"/>
          <w:marRight w:val="0"/>
          <w:marTop w:val="150"/>
          <w:marBottom w:val="270"/>
          <w:divBdr>
            <w:top w:val="none" w:sz="0" w:space="0" w:color="auto"/>
            <w:left w:val="none" w:sz="0" w:space="0" w:color="auto"/>
            <w:bottom w:val="none" w:sz="0" w:space="0" w:color="auto"/>
            <w:right w:val="none" w:sz="0" w:space="0" w:color="auto"/>
          </w:divBdr>
        </w:div>
        <w:div w:id="1966619885">
          <w:marLeft w:val="0"/>
          <w:marRight w:val="0"/>
          <w:marTop w:val="150"/>
          <w:marBottom w:val="270"/>
          <w:divBdr>
            <w:top w:val="none" w:sz="0" w:space="0" w:color="auto"/>
            <w:left w:val="none" w:sz="0" w:space="0" w:color="auto"/>
            <w:bottom w:val="none" w:sz="0" w:space="0" w:color="auto"/>
            <w:right w:val="none" w:sz="0" w:space="0" w:color="auto"/>
          </w:divBdr>
          <w:divsChild>
            <w:div w:id="104160917">
              <w:marLeft w:val="0"/>
              <w:marRight w:val="0"/>
              <w:marTop w:val="0"/>
              <w:marBottom w:val="0"/>
              <w:divBdr>
                <w:top w:val="none" w:sz="0" w:space="0" w:color="auto"/>
                <w:left w:val="none" w:sz="0" w:space="0" w:color="auto"/>
                <w:bottom w:val="none" w:sz="0" w:space="0" w:color="auto"/>
                <w:right w:val="none" w:sz="0" w:space="0" w:color="auto"/>
              </w:divBdr>
            </w:div>
            <w:div w:id="351223907">
              <w:marLeft w:val="0"/>
              <w:marRight w:val="0"/>
              <w:marTop w:val="0"/>
              <w:marBottom w:val="0"/>
              <w:divBdr>
                <w:top w:val="none" w:sz="0" w:space="0" w:color="auto"/>
                <w:left w:val="none" w:sz="0" w:space="0" w:color="auto"/>
                <w:bottom w:val="none" w:sz="0" w:space="0" w:color="auto"/>
                <w:right w:val="none" w:sz="0" w:space="0" w:color="auto"/>
              </w:divBdr>
            </w:div>
            <w:div w:id="730736161">
              <w:marLeft w:val="0"/>
              <w:marRight w:val="0"/>
              <w:marTop w:val="0"/>
              <w:marBottom w:val="0"/>
              <w:divBdr>
                <w:top w:val="none" w:sz="0" w:space="0" w:color="auto"/>
                <w:left w:val="none" w:sz="0" w:space="0" w:color="auto"/>
                <w:bottom w:val="none" w:sz="0" w:space="0" w:color="auto"/>
                <w:right w:val="none" w:sz="0" w:space="0" w:color="auto"/>
              </w:divBdr>
            </w:div>
            <w:div w:id="908660689">
              <w:marLeft w:val="0"/>
              <w:marRight w:val="0"/>
              <w:marTop w:val="0"/>
              <w:marBottom w:val="0"/>
              <w:divBdr>
                <w:top w:val="none" w:sz="0" w:space="0" w:color="auto"/>
                <w:left w:val="none" w:sz="0" w:space="0" w:color="auto"/>
                <w:bottom w:val="none" w:sz="0" w:space="0" w:color="auto"/>
                <w:right w:val="none" w:sz="0" w:space="0" w:color="auto"/>
              </w:divBdr>
            </w:div>
            <w:div w:id="1207059290">
              <w:marLeft w:val="0"/>
              <w:marRight w:val="0"/>
              <w:marTop w:val="0"/>
              <w:marBottom w:val="0"/>
              <w:divBdr>
                <w:top w:val="none" w:sz="0" w:space="0" w:color="auto"/>
                <w:left w:val="none" w:sz="0" w:space="0" w:color="auto"/>
                <w:bottom w:val="none" w:sz="0" w:space="0" w:color="auto"/>
                <w:right w:val="none" w:sz="0" w:space="0" w:color="auto"/>
              </w:divBdr>
            </w:div>
            <w:div w:id="1380470437">
              <w:marLeft w:val="0"/>
              <w:marRight w:val="0"/>
              <w:marTop w:val="0"/>
              <w:marBottom w:val="0"/>
              <w:divBdr>
                <w:top w:val="none" w:sz="0" w:space="0" w:color="auto"/>
                <w:left w:val="none" w:sz="0" w:space="0" w:color="auto"/>
                <w:bottom w:val="none" w:sz="0" w:space="0" w:color="auto"/>
                <w:right w:val="none" w:sz="0" w:space="0" w:color="auto"/>
              </w:divBdr>
            </w:div>
            <w:div w:id="1471051012">
              <w:marLeft w:val="0"/>
              <w:marRight w:val="0"/>
              <w:marTop w:val="0"/>
              <w:marBottom w:val="0"/>
              <w:divBdr>
                <w:top w:val="none" w:sz="0" w:space="0" w:color="auto"/>
                <w:left w:val="none" w:sz="0" w:space="0" w:color="auto"/>
                <w:bottom w:val="none" w:sz="0" w:space="0" w:color="auto"/>
                <w:right w:val="none" w:sz="0" w:space="0" w:color="auto"/>
              </w:divBdr>
            </w:div>
            <w:div w:id="2054962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123531">
      <w:bodyDiv w:val="1"/>
      <w:marLeft w:val="0"/>
      <w:marRight w:val="0"/>
      <w:marTop w:val="0"/>
      <w:marBottom w:val="0"/>
      <w:divBdr>
        <w:top w:val="none" w:sz="0" w:space="0" w:color="auto"/>
        <w:left w:val="none" w:sz="0" w:space="0" w:color="auto"/>
        <w:bottom w:val="none" w:sz="0" w:space="0" w:color="auto"/>
        <w:right w:val="none" w:sz="0" w:space="0" w:color="auto"/>
      </w:divBdr>
    </w:div>
    <w:div w:id="1092437804">
      <w:bodyDiv w:val="1"/>
      <w:marLeft w:val="0"/>
      <w:marRight w:val="0"/>
      <w:marTop w:val="0"/>
      <w:marBottom w:val="0"/>
      <w:divBdr>
        <w:top w:val="none" w:sz="0" w:space="0" w:color="auto"/>
        <w:left w:val="none" w:sz="0" w:space="0" w:color="auto"/>
        <w:bottom w:val="none" w:sz="0" w:space="0" w:color="auto"/>
        <w:right w:val="none" w:sz="0" w:space="0" w:color="auto"/>
      </w:divBdr>
      <w:divsChild>
        <w:div w:id="770782227">
          <w:marLeft w:val="0"/>
          <w:marRight w:val="0"/>
          <w:marTop w:val="0"/>
          <w:marBottom w:val="0"/>
          <w:divBdr>
            <w:top w:val="none" w:sz="0" w:space="0" w:color="auto"/>
            <w:left w:val="none" w:sz="0" w:space="0" w:color="auto"/>
            <w:bottom w:val="none" w:sz="0" w:space="0" w:color="auto"/>
            <w:right w:val="none" w:sz="0" w:space="0" w:color="auto"/>
          </w:divBdr>
        </w:div>
        <w:div w:id="819267443">
          <w:marLeft w:val="0"/>
          <w:marRight w:val="0"/>
          <w:marTop w:val="0"/>
          <w:marBottom w:val="0"/>
          <w:divBdr>
            <w:top w:val="none" w:sz="0" w:space="0" w:color="auto"/>
            <w:left w:val="none" w:sz="0" w:space="0" w:color="auto"/>
            <w:bottom w:val="none" w:sz="0" w:space="0" w:color="auto"/>
            <w:right w:val="none" w:sz="0" w:space="0" w:color="auto"/>
          </w:divBdr>
        </w:div>
        <w:div w:id="1481339983">
          <w:marLeft w:val="0"/>
          <w:marRight w:val="0"/>
          <w:marTop w:val="0"/>
          <w:marBottom w:val="0"/>
          <w:divBdr>
            <w:top w:val="none" w:sz="0" w:space="0" w:color="auto"/>
            <w:left w:val="none" w:sz="0" w:space="0" w:color="auto"/>
            <w:bottom w:val="none" w:sz="0" w:space="0" w:color="auto"/>
            <w:right w:val="none" w:sz="0" w:space="0" w:color="auto"/>
          </w:divBdr>
        </w:div>
      </w:divsChild>
    </w:div>
    <w:div w:id="1107774211">
      <w:bodyDiv w:val="1"/>
      <w:marLeft w:val="0"/>
      <w:marRight w:val="0"/>
      <w:marTop w:val="0"/>
      <w:marBottom w:val="0"/>
      <w:divBdr>
        <w:top w:val="none" w:sz="0" w:space="0" w:color="auto"/>
        <w:left w:val="none" w:sz="0" w:space="0" w:color="auto"/>
        <w:bottom w:val="none" w:sz="0" w:space="0" w:color="auto"/>
        <w:right w:val="none" w:sz="0" w:space="0" w:color="auto"/>
      </w:divBdr>
    </w:div>
    <w:div w:id="1212424620">
      <w:bodyDiv w:val="1"/>
      <w:marLeft w:val="0"/>
      <w:marRight w:val="0"/>
      <w:marTop w:val="0"/>
      <w:marBottom w:val="0"/>
      <w:divBdr>
        <w:top w:val="none" w:sz="0" w:space="0" w:color="auto"/>
        <w:left w:val="none" w:sz="0" w:space="0" w:color="auto"/>
        <w:bottom w:val="none" w:sz="0" w:space="0" w:color="auto"/>
        <w:right w:val="none" w:sz="0" w:space="0" w:color="auto"/>
      </w:divBdr>
    </w:div>
    <w:div w:id="1305624113">
      <w:bodyDiv w:val="1"/>
      <w:marLeft w:val="0"/>
      <w:marRight w:val="0"/>
      <w:marTop w:val="0"/>
      <w:marBottom w:val="0"/>
      <w:divBdr>
        <w:top w:val="none" w:sz="0" w:space="0" w:color="auto"/>
        <w:left w:val="none" w:sz="0" w:space="0" w:color="auto"/>
        <w:bottom w:val="none" w:sz="0" w:space="0" w:color="auto"/>
        <w:right w:val="none" w:sz="0" w:space="0" w:color="auto"/>
      </w:divBdr>
    </w:div>
    <w:div w:id="1426537012">
      <w:bodyDiv w:val="1"/>
      <w:marLeft w:val="0"/>
      <w:marRight w:val="0"/>
      <w:marTop w:val="0"/>
      <w:marBottom w:val="0"/>
      <w:divBdr>
        <w:top w:val="none" w:sz="0" w:space="0" w:color="auto"/>
        <w:left w:val="none" w:sz="0" w:space="0" w:color="auto"/>
        <w:bottom w:val="none" w:sz="0" w:space="0" w:color="auto"/>
        <w:right w:val="none" w:sz="0" w:space="0" w:color="auto"/>
      </w:divBdr>
    </w:div>
    <w:div w:id="1493064420">
      <w:bodyDiv w:val="1"/>
      <w:marLeft w:val="0"/>
      <w:marRight w:val="0"/>
      <w:marTop w:val="0"/>
      <w:marBottom w:val="0"/>
      <w:divBdr>
        <w:top w:val="none" w:sz="0" w:space="0" w:color="auto"/>
        <w:left w:val="none" w:sz="0" w:space="0" w:color="auto"/>
        <w:bottom w:val="none" w:sz="0" w:space="0" w:color="auto"/>
        <w:right w:val="none" w:sz="0" w:space="0" w:color="auto"/>
      </w:divBdr>
    </w:div>
    <w:div w:id="1530297173">
      <w:bodyDiv w:val="1"/>
      <w:marLeft w:val="0"/>
      <w:marRight w:val="0"/>
      <w:marTop w:val="0"/>
      <w:marBottom w:val="0"/>
      <w:divBdr>
        <w:top w:val="none" w:sz="0" w:space="0" w:color="auto"/>
        <w:left w:val="none" w:sz="0" w:space="0" w:color="auto"/>
        <w:bottom w:val="none" w:sz="0" w:space="0" w:color="auto"/>
        <w:right w:val="none" w:sz="0" w:space="0" w:color="auto"/>
      </w:divBdr>
    </w:div>
    <w:div w:id="1763377264">
      <w:bodyDiv w:val="1"/>
      <w:marLeft w:val="0"/>
      <w:marRight w:val="0"/>
      <w:marTop w:val="0"/>
      <w:marBottom w:val="0"/>
      <w:divBdr>
        <w:top w:val="none" w:sz="0" w:space="0" w:color="auto"/>
        <w:left w:val="none" w:sz="0" w:space="0" w:color="auto"/>
        <w:bottom w:val="none" w:sz="0" w:space="0" w:color="auto"/>
        <w:right w:val="none" w:sz="0" w:space="0" w:color="auto"/>
      </w:divBdr>
    </w:div>
    <w:div w:id="1780489007">
      <w:bodyDiv w:val="1"/>
      <w:marLeft w:val="0"/>
      <w:marRight w:val="0"/>
      <w:marTop w:val="0"/>
      <w:marBottom w:val="0"/>
      <w:divBdr>
        <w:top w:val="none" w:sz="0" w:space="0" w:color="auto"/>
        <w:left w:val="none" w:sz="0" w:space="0" w:color="auto"/>
        <w:bottom w:val="none" w:sz="0" w:space="0" w:color="auto"/>
        <w:right w:val="none" w:sz="0" w:space="0" w:color="auto"/>
      </w:divBdr>
    </w:div>
    <w:div w:id="1849904072">
      <w:bodyDiv w:val="1"/>
      <w:marLeft w:val="0"/>
      <w:marRight w:val="0"/>
      <w:marTop w:val="0"/>
      <w:marBottom w:val="0"/>
      <w:divBdr>
        <w:top w:val="none" w:sz="0" w:space="0" w:color="auto"/>
        <w:left w:val="none" w:sz="0" w:space="0" w:color="auto"/>
        <w:bottom w:val="none" w:sz="0" w:space="0" w:color="auto"/>
        <w:right w:val="none" w:sz="0" w:space="0" w:color="auto"/>
      </w:divBdr>
    </w:div>
    <w:div w:id="1871843277">
      <w:bodyDiv w:val="1"/>
      <w:marLeft w:val="0"/>
      <w:marRight w:val="0"/>
      <w:marTop w:val="0"/>
      <w:marBottom w:val="0"/>
      <w:divBdr>
        <w:top w:val="none" w:sz="0" w:space="0" w:color="auto"/>
        <w:left w:val="none" w:sz="0" w:space="0" w:color="auto"/>
        <w:bottom w:val="none" w:sz="0" w:space="0" w:color="auto"/>
        <w:right w:val="none" w:sz="0" w:space="0" w:color="auto"/>
      </w:divBdr>
    </w:div>
    <w:div w:id="2052724295">
      <w:bodyDiv w:val="1"/>
      <w:marLeft w:val="0"/>
      <w:marRight w:val="0"/>
      <w:marTop w:val="0"/>
      <w:marBottom w:val="0"/>
      <w:divBdr>
        <w:top w:val="none" w:sz="0" w:space="0" w:color="auto"/>
        <w:left w:val="none" w:sz="0" w:space="0" w:color="auto"/>
        <w:bottom w:val="none" w:sz="0" w:space="0" w:color="auto"/>
        <w:right w:val="none" w:sz="0" w:space="0" w:color="auto"/>
      </w:divBdr>
      <w:divsChild>
        <w:div w:id="1306353492">
          <w:marLeft w:val="480"/>
          <w:marRight w:val="0"/>
          <w:marTop w:val="0"/>
          <w:marBottom w:val="0"/>
          <w:divBdr>
            <w:top w:val="none" w:sz="0" w:space="0" w:color="auto"/>
            <w:left w:val="none" w:sz="0" w:space="0" w:color="auto"/>
            <w:bottom w:val="none" w:sz="0" w:space="0" w:color="auto"/>
            <w:right w:val="none" w:sz="0" w:space="0" w:color="auto"/>
          </w:divBdr>
        </w:div>
        <w:div w:id="1143696554">
          <w:marLeft w:val="480"/>
          <w:marRight w:val="0"/>
          <w:marTop w:val="0"/>
          <w:marBottom w:val="0"/>
          <w:divBdr>
            <w:top w:val="none" w:sz="0" w:space="0" w:color="auto"/>
            <w:left w:val="none" w:sz="0" w:space="0" w:color="auto"/>
            <w:bottom w:val="none" w:sz="0" w:space="0" w:color="auto"/>
            <w:right w:val="none" w:sz="0" w:space="0" w:color="auto"/>
          </w:divBdr>
        </w:div>
        <w:div w:id="1280642318">
          <w:marLeft w:val="480"/>
          <w:marRight w:val="0"/>
          <w:marTop w:val="0"/>
          <w:marBottom w:val="0"/>
          <w:divBdr>
            <w:top w:val="none" w:sz="0" w:space="0" w:color="auto"/>
            <w:left w:val="none" w:sz="0" w:space="0" w:color="auto"/>
            <w:bottom w:val="none" w:sz="0" w:space="0" w:color="auto"/>
            <w:right w:val="none" w:sz="0" w:space="0" w:color="auto"/>
          </w:divBdr>
        </w:div>
        <w:div w:id="1894462939">
          <w:marLeft w:val="480"/>
          <w:marRight w:val="0"/>
          <w:marTop w:val="0"/>
          <w:marBottom w:val="0"/>
          <w:divBdr>
            <w:top w:val="none" w:sz="0" w:space="0" w:color="auto"/>
            <w:left w:val="none" w:sz="0" w:space="0" w:color="auto"/>
            <w:bottom w:val="none" w:sz="0" w:space="0" w:color="auto"/>
            <w:right w:val="none" w:sz="0" w:space="0" w:color="auto"/>
          </w:divBdr>
        </w:div>
        <w:div w:id="546642303">
          <w:marLeft w:val="480"/>
          <w:marRight w:val="0"/>
          <w:marTop w:val="0"/>
          <w:marBottom w:val="0"/>
          <w:divBdr>
            <w:top w:val="none" w:sz="0" w:space="0" w:color="auto"/>
            <w:left w:val="none" w:sz="0" w:space="0" w:color="auto"/>
            <w:bottom w:val="none" w:sz="0" w:space="0" w:color="auto"/>
            <w:right w:val="none" w:sz="0" w:space="0" w:color="auto"/>
          </w:divBdr>
        </w:div>
        <w:div w:id="1002581682">
          <w:marLeft w:val="480"/>
          <w:marRight w:val="0"/>
          <w:marTop w:val="0"/>
          <w:marBottom w:val="0"/>
          <w:divBdr>
            <w:top w:val="none" w:sz="0" w:space="0" w:color="auto"/>
            <w:left w:val="none" w:sz="0" w:space="0" w:color="auto"/>
            <w:bottom w:val="none" w:sz="0" w:space="0" w:color="auto"/>
            <w:right w:val="none" w:sz="0" w:space="0" w:color="auto"/>
          </w:divBdr>
        </w:div>
        <w:div w:id="1939023472">
          <w:marLeft w:val="480"/>
          <w:marRight w:val="0"/>
          <w:marTop w:val="0"/>
          <w:marBottom w:val="0"/>
          <w:divBdr>
            <w:top w:val="none" w:sz="0" w:space="0" w:color="auto"/>
            <w:left w:val="none" w:sz="0" w:space="0" w:color="auto"/>
            <w:bottom w:val="none" w:sz="0" w:space="0" w:color="auto"/>
            <w:right w:val="none" w:sz="0" w:space="0" w:color="auto"/>
          </w:divBdr>
        </w:div>
        <w:div w:id="707680347">
          <w:marLeft w:val="480"/>
          <w:marRight w:val="0"/>
          <w:marTop w:val="0"/>
          <w:marBottom w:val="0"/>
          <w:divBdr>
            <w:top w:val="none" w:sz="0" w:space="0" w:color="auto"/>
            <w:left w:val="none" w:sz="0" w:space="0" w:color="auto"/>
            <w:bottom w:val="none" w:sz="0" w:space="0" w:color="auto"/>
            <w:right w:val="none" w:sz="0" w:space="0" w:color="auto"/>
          </w:divBdr>
        </w:div>
        <w:div w:id="1163399565">
          <w:marLeft w:val="480"/>
          <w:marRight w:val="0"/>
          <w:marTop w:val="0"/>
          <w:marBottom w:val="0"/>
          <w:divBdr>
            <w:top w:val="none" w:sz="0" w:space="0" w:color="auto"/>
            <w:left w:val="none" w:sz="0" w:space="0" w:color="auto"/>
            <w:bottom w:val="none" w:sz="0" w:space="0" w:color="auto"/>
            <w:right w:val="none" w:sz="0" w:space="0" w:color="auto"/>
          </w:divBdr>
        </w:div>
        <w:div w:id="1491143539">
          <w:marLeft w:val="480"/>
          <w:marRight w:val="0"/>
          <w:marTop w:val="0"/>
          <w:marBottom w:val="0"/>
          <w:divBdr>
            <w:top w:val="none" w:sz="0" w:space="0" w:color="auto"/>
            <w:left w:val="none" w:sz="0" w:space="0" w:color="auto"/>
            <w:bottom w:val="none" w:sz="0" w:space="0" w:color="auto"/>
            <w:right w:val="none" w:sz="0" w:space="0" w:color="auto"/>
          </w:divBdr>
        </w:div>
        <w:div w:id="929043473">
          <w:marLeft w:val="480"/>
          <w:marRight w:val="0"/>
          <w:marTop w:val="0"/>
          <w:marBottom w:val="0"/>
          <w:divBdr>
            <w:top w:val="none" w:sz="0" w:space="0" w:color="auto"/>
            <w:left w:val="none" w:sz="0" w:space="0" w:color="auto"/>
            <w:bottom w:val="none" w:sz="0" w:space="0" w:color="auto"/>
            <w:right w:val="none" w:sz="0" w:space="0" w:color="auto"/>
          </w:divBdr>
        </w:div>
        <w:div w:id="1477990204">
          <w:marLeft w:val="480"/>
          <w:marRight w:val="0"/>
          <w:marTop w:val="0"/>
          <w:marBottom w:val="0"/>
          <w:divBdr>
            <w:top w:val="none" w:sz="0" w:space="0" w:color="auto"/>
            <w:left w:val="none" w:sz="0" w:space="0" w:color="auto"/>
            <w:bottom w:val="none" w:sz="0" w:space="0" w:color="auto"/>
            <w:right w:val="none" w:sz="0" w:space="0" w:color="auto"/>
          </w:divBdr>
        </w:div>
        <w:div w:id="1244606891">
          <w:marLeft w:val="480"/>
          <w:marRight w:val="0"/>
          <w:marTop w:val="0"/>
          <w:marBottom w:val="0"/>
          <w:divBdr>
            <w:top w:val="none" w:sz="0" w:space="0" w:color="auto"/>
            <w:left w:val="none" w:sz="0" w:space="0" w:color="auto"/>
            <w:bottom w:val="none" w:sz="0" w:space="0" w:color="auto"/>
            <w:right w:val="none" w:sz="0" w:space="0" w:color="auto"/>
          </w:divBdr>
        </w:div>
        <w:div w:id="299652780">
          <w:marLeft w:val="480"/>
          <w:marRight w:val="0"/>
          <w:marTop w:val="0"/>
          <w:marBottom w:val="0"/>
          <w:divBdr>
            <w:top w:val="none" w:sz="0" w:space="0" w:color="auto"/>
            <w:left w:val="none" w:sz="0" w:space="0" w:color="auto"/>
            <w:bottom w:val="none" w:sz="0" w:space="0" w:color="auto"/>
            <w:right w:val="none" w:sz="0" w:space="0" w:color="auto"/>
          </w:divBdr>
        </w:div>
        <w:div w:id="930087271">
          <w:marLeft w:val="480"/>
          <w:marRight w:val="0"/>
          <w:marTop w:val="0"/>
          <w:marBottom w:val="0"/>
          <w:divBdr>
            <w:top w:val="none" w:sz="0" w:space="0" w:color="auto"/>
            <w:left w:val="none" w:sz="0" w:space="0" w:color="auto"/>
            <w:bottom w:val="none" w:sz="0" w:space="0" w:color="auto"/>
            <w:right w:val="none" w:sz="0" w:space="0" w:color="auto"/>
          </w:divBdr>
        </w:div>
        <w:div w:id="1695957689">
          <w:marLeft w:val="480"/>
          <w:marRight w:val="0"/>
          <w:marTop w:val="0"/>
          <w:marBottom w:val="0"/>
          <w:divBdr>
            <w:top w:val="none" w:sz="0" w:space="0" w:color="auto"/>
            <w:left w:val="none" w:sz="0" w:space="0" w:color="auto"/>
            <w:bottom w:val="none" w:sz="0" w:space="0" w:color="auto"/>
            <w:right w:val="none" w:sz="0" w:space="0" w:color="auto"/>
          </w:divBdr>
        </w:div>
        <w:div w:id="1023242491">
          <w:marLeft w:val="480"/>
          <w:marRight w:val="0"/>
          <w:marTop w:val="0"/>
          <w:marBottom w:val="0"/>
          <w:divBdr>
            <w:top w:val="none" w:sz="0" w:space="0" w:color="auto"/>
            <w:left w:val="none" w:sz="0" w:space="0" w:color="auto"/>
            <w:bottom w:val="none" w:sz="0" w:space="0" w:color="auto"/>
            <w:right w:val="none" w:sz="0" w:space="0" w:color="auto"/>
          </w:divBdr>
        </w:div>
        <w:div w:id="2020621066">
          <w:marLeft w:val="480"/>
          <w:marRight w:val="0"/>
          <w:marTop w:val="0"/>
          <w:marBottom w:val="0"/>
          <w:divBdr>
            <w:top w:val="none" w:sz="0" w:space="0" w:color="auto"/>
            <w:left w:val="none" w:sz="0" w:space="0" w:color="auto"/>
            <w:bottom w:val="none" w:sz="0" w:space="0" w:color="auto"/>
            <w:right w:val="none" w:sz="0" w:space="0" w:color="auto"/>
          </w:divBdr>
        </w:div>
        <w:div w:id="2124112539">
          <w:marLeft w:val="480"/>
          <w:marRight w:val="0"/>
          <w:marTop w:val="0"/>
          <w:marBottom w:val="0"/>
          <w:divBdr>
            <w:top w:val="none" w:sz="0" w:space="0" w:color="auto"/>
            <w:left w:val="none" w:sz="0" w:space="0" w:color="auto"/>
            <w:bottom w:val="none" w:sz="0" w:space="0" w:color="auto"/>
            <w:right w:val="none" w:sz="0" w:space="0" w:color="auto"/>
          </w:divBdr>
        </w:div>
        <w:div w:id="2080708209">
          <w:marLeft w:val="480"/>
          <w:marRight w:val="0"/>
          <w:marTop w:val="0"/>
          <w:marBottom w:val="0"/>
          <w:divBdr>
            <w:top w:val="none" w:sz="0" w:space="0" w:color="auto"/>
            <w:left w:val="none" w:sz="0" w:space="0" w:color="auto"/>
            <w:bottom w:val="none" w:sz="0" w:space="0" w:color="auto"/>
            <w:right w:val="none" w:sz="0" w:space="0" w:color="auto"/>
          </w:divBdr>
        </w:div>
        <w:div w:id="149834844">
          <w:marLeft w:val="480"/>
          <w:marRight w:val="0"/>
          <w:marTop w:val="0"/>
          <w:marBottom w:val="0"/>
          <w:divBdr>
            <w:top w:val="none" w:sz="0" w:space="0" w:color="auto"/>
            <w:left w:val="none" w:sz="0" w:space="0" w:color="auto"/>
            <w:bottom w:val="none" w:sz="0" w:space="0" w:color="auto"/>
            <w:right w:val="none" w:sz="0" w:space="0" w:color="auto"/>
          </w:divBdr>
        </w:div>
        <w:div w:id="209998491">
          <w:marLeft w:val="480"/>
          <w:marRight w:val="0"/>
          <w:marTop w:val="0"/>
          <w:marBottom w:val="0"/>
          <w:divBdr>
            <w:top w:val="none" w:sz="0" w:space="0" w:color="auto"/>
            <w:left w:val="none" w:sz="0" w:space="0" w:color="auto"/>
            <w:bottom w:val="none" w:sz="0" w:space="0" w:color="auto"/>
            <w:right w:val="none" w:sz="0" w:space="0" w:color="auto"/>
          </w:divBdr>
        </w:div>
        <w:div w:id="678890689">
          <w:marLeft w:val="480"/>
          <w:marRight w:val="0"/>
          <w:marTop w:val="0"/>
          <w:marBottom w:val="0"/>
          <w:divBdr>
            <w:top w:val="none" w:sz="0" w:space="0" w:color="auto"/>
            <w:left w:val="none" w:sz="0" w:space="0" w:color="auto"/>
            <w:bottom w:val="none" w:sz="0" w:space="0" w:color="auto"/>
            <w:right w:val="none" w:sz="0" w:space="0" w:color="auto"/>
          </w:divBdr>
        </w:div>
        <w:div w:id="1597204472">
          <w:marLeft w:val="480"/>
          <w:marRight w:val="0"/>
          <w:marTop w:val="0"/>
          <w:marBottom w:val="0"/>
          <w:divBdr>
            <w:top w:val="none" w:sz="0" w:space="0" w:color="auto"/>
            <w:left w:val="none" w:sz="0" w:space="0" w:color="auto"/>
            <w:bottom w:val="none" w:sz="0" w:space="0" w:color="auto"/>
            <w:right w:val="none" w:sz="0" w:space="0" w:color="auto"/>
          </w:divBdr>
        </w:div>
        <w:div w:id="850071853">
          <w:marLeft w:val="480"/>
          <w:marRight w:val="0"/>
          <w:marTop w:val="0"/>
          <w:marBottom w:val="0"/>
          <w:divBdr>
            <w:top w:val="none" w:sz="0" w:space="0" w:color="auto"/>
            <w:left w:val="none" w:sz="0" w:space="0" w:color="auto"/>
            <w:bottom w:val="none" w:sz="0" w:space="0" w:color="auto"/>
            <w:right w:val="none" w:sz="0" w:space="0" w:color="auto"/>
          </w:divBdr>
        </w:div>
        <w:div w:id="2023165513">
          <w:marLeft w:val="480"/>
          <w:marRight w:val="0"/>
          <w:marTop w:val="0"/>
          <w:marBottom w:val="0"/>
          <w:divBdr>
            <w:top w:val="none" w:sz="0" w:space="0" w:color="auto"/>
            <w:left w:val="none" w:sz="0" w:space="0" w:color="auto"/>
            <w:bottom w:val="none" w:sz="0" w:space="0" w:color="auto"/>
            <w:right w:val="none" w:sz="0" w:space="0" w:color="auto"/>
          </w:divBdr>
        </w:div>
        <w:div w:id="3212706">
          <w:marLeft w:val="480"/>
          <w:marRight w:val="0"/>
          <w:marTop w:val="0"/>
          <w:marBottom w:val="0"/>
          <w:divBdr>
            <w:top w:val="none" w:sz="0" w:space="0" w:color="auto"/>
            <w:left w:val="none" w:sz="0" w:space="0" w:color="auto"/>
            <w:bottom w:val="none" w:sz="0" w:space="0" w:color="auto"/>
            <w:right w:val="none" w:sz="0" w:space="0" w:color="auto"/>
          </w:divBdr>
        </w:div>
        <w:div w:id="788209973">
          <w:marLeft w:val="480"/>
          <w:marRight w:val="0"/>
          <w:marTop w:val="0"/>
          <w:marBottom w:val="0"/>
          <w:divBdr>
            <w:top w:val="none" w:sz="0" w:space="0" w:color="auto"/>
            <w:left w:val="none" w:sz="0" w:space="0" w:color="auto"/>
            <w:bottom w:val="none" w:sz="0" w:space="0" w:color="auto"/>
            <w:right w:val="none" w:sz="0" w:space="0" w:color="auto"/>
          </w:divBdr>
        </w:div>
        <w:div w:id="1997876185">
          <w:marLeft w:val="480"/>
          <w:marRight w:val="0"/>
          <w:marTop w:val="0"/>
          <w:marBottom w:val="0"/>
          <w:divBdr>
            <w:top w:val="none" w:sz="0" w:space="0" w:color="auto"/>
            <w:left w:val="none" w:sz="0" w:space="0" w:color="auto"/>
            <w:bottom w:val="none" w:sz="0" w:space="0" w:color="auto"/>
            <w:right w:val="none" w:sz="0" w:space="0" w:color="auto"/>
          </w:divBdr>
        </w:div>
        <w:div w:id="991523646">
          <w:marLeft w:val="480"/>
          <w:marRight w:val="0"/>
          <w:marTop w:val="0"/>
          <w:marBottom w:val="0"/>
          <w:divBdr>
            <w:top w:val="none" w:sz="0" w:space="0" w:color="auto"/>
            <w:left w:val="none" w:sz="0" w:space="0" w:color="auto"/>
            <w:bottom w:val="none" w:sz="0" w:space="0" w:color="auto"/>
            <w:right w:val="none" w:sz="0" w:space="0" w:color="auto"/>
          </w:divBdr>
        </w:div>
        <w:div w:id="1042369374">
          <w:marLeft w:val="480"/>
          <w:marRight w:val="0"/>
          <w:marTop w:val="0"/>
          <w:marBottom w:val="0"/>
          <w:divBdr>
            <w:top w:val="none" w:sz="0" w:space="0" w:color="auto"/>
            <w:left w:val="none" w:sz="0" w:space="0" w:color="auto"/>
            <w:bottom w:val="none" w:sz="0" w:space="0" w:color="auto"/>
            <w:right w:val="none" w:sz="0" w:space="0" w:color="auto"/>
          </w:divBdr>
        </w:div>
        <w:div w:id="28338727">
          <w:marLeft w:val="480"/>
          <w:marRight w:val="0"/>
          <w:marTop w:val="0"/>
          <w:marBottom w:val="0"/>
          <w:divBdr>
            <w:top w:val="none" w:sz="0" w:space="0" w:color="auto"/>
            <w:left w:val="none" w:sz="0" w:space="0" w:color="auto"/>
            <w:bottom w:val="none" w:sz="0" w:space="0" w:color="auto"/>
            <w:right w:val="none" w:sz="0" w:space="0" w:color="auto"/>
          </w:divBdr>
        </w:div>
        <w:div w:id="230701976">
          <w:marLeft w:val="480"/>
          <w:marRight w:val="0"/>
          <w:marTop w:val="0"/>
          <w:marBottom w:val="0"/>
          <w:divBdr>
            <w:top w:val="none" w:sz="0" w:space="0" w:color="auto"/>
            <w:left w:val="none" w:sz="0" w:space="0" w:color="auto"/>
            <w:bottom w:val="none" w:sz="0" w:space="0" w:color="auto"/>
            <w:right w:val="none" w:sz="0" w:space="0" w:color="auto"/>
          </w:divBdr>
        </w:div>
        <w:div w:id="1239095150">
          <w:marLeft w:val="480"/>
          <w:marRight w:val="0"/>
          <w:marTop w:val="0"/>
          <w:marBottom w:val="0"/>
          <w:divBdr>
            <w:top w:val="none" w:sz="0" w:space="0" w:color="auto"/>
            <w:left w:val="none" w:sz="0" w:space="0" w:color="auto"/>
            <w:bottom w:val="none" w:sz="0" w:space="0" w:color="auto"/>
            <w:right w:val="none" w:sz="0" w:space="0" w:color="auto"/>
          </w:divBdr>
        </w:div>
        <w:div w:id="1655571786">
          <w:marLeft w:val="480"/>
          <w:marRight w:val="0"/>
          <w:marTop w:val="0"/>
          <w:marBottom w:val="0"/>
          <w:divBdr>
            <w:top w:val="none" w:sz="0" w:space="0" w:color="auto"/>
            <w:left w:val="none" w:sz="0" w:space="0" w:color="auto"/>
            <w:bottom w:val="none" w:sz="0" w:space="0" w:color="auto"/>
            <w:right w:val="none" w:sz="0" w:space="0" w:color="auto"/>
          </w:divBdr>
        </w:div>
        <w:div w:id="2131512103">
          <w:marLeft w:val="480"/>
          <w:marRight w:val="0"/>
          <w:marTop w:val="0"/>
          <w:marBottom w:val="0"/>
          <w:divBdr>
            <w:top w:val="none" w:sz="0" w:space="0" w:color="auto"/>
            <w:left w:val="none" w:sz="0" w:space="0" w:color="auto"/>
            <w:bottom w:val="none" w:sz="0" w:space="0" w:color="auto"/>
            <w:right w:val="none" w:sz="0" w:space="0" w:color="auto"/>
          </w:divBdr>
        </w:div>
        <w:div w:id="1045450721">
          <w:marLeft w:val="480"/>
          <w:marRight w:val="0"/>
          <w:marTop w:val="0"/>
          <w:marBottom w:val="0"/>
          <w:divBdr>
            <w:top w:val="none" w:sz="0" w:space="0" w:color="auto"/>
            <w:left w:val="none" w:sz="0" w:space="0" w:color="auto"/>
            <w:bottom w:val="none" w:sz="0" w:space="0" w:color="auto"/>
            <w:right w:val="none" w:sz="0" w:space="0" w:color="auto"/>
          </w:divBdr>
        </w:div>
        <w:div w:id="2046562441">
          <w:marLeft w:val="480"/>
          <w:marRight w:val="0"/>
          <w:marTop w:val="0"/>
          <w:marBottom w:val="0"/>
          <w:divBdr>
            <w:top w:val="none" w:sz="0" w:space="0" w:color="auto"/>
            <w:left w:val="none" w:sz="0" w:space="0" w:color="auto"/>
            <w:bottom w:val="none" w:sz="0" w:space="0" w:color="auto"/>
            <w:right w:val="none" w:sz="0" w:space="0" w:color="auto"/>
          </w:divBdr>
        </w:div>
        <w:div w:id="1655449878">
          <w:marLeft w:val="480"/>
          <w:marRight w:val="0"/>
          <w:marTop w:val="0"/>
          <w:marBottom w:val="0"/>
          <w:divBdr>
            <w:top w:val="none" w:sz="0" w:space="0" w:color="auto"/>
            <w:left w:val="none" w:sz="0" w:space="0" w:color="auto"/>
            <w:bottom w:val="none" w:sz="0" w:space="0" w:color="auto"/>
            <w:right w:val="none" w:sz="0" w:space="0" w:color="auto"/>
          </w:divBdr>
        </w:div>
        <w:div w:id="843400450">
          <w:marLeft w:val="480"/>
          <w:marRight w:val="0"/>
          <w:marTop w:val="0"/>
          <w:marBottom w:val="0"/>
          <w:divBdr>
            <w:top w:val="none" w:sz="0" w:space="0" w:color="auto"/>
            <w:left w:val="none" w:sz="0" w:space="0" w:color="auto"/>
            <w:bottom w:val="none" w:sz="0" w:space="0" w:color="auto"/>
            <w:right w:val="none" w:sz="0" w:space="0" w:color="auto"/>
          </w:divBdr>
        </w:div>
        <w:div w:id="2116514763">
          <w:marLeft w:val="480"/>
          <w:marRight w:val="0"/>
          <w:marTop w:val="0"/>
          <w:marBottom w:val="0"/>
          <w:divBdr>
            <w:top w:val="none" w:sz="0" w:space="0" w:color="auto"/>
            <w:left w:val="none" w:sz="0" w:space="0" w:color="auto"/>
            <w:bottom w:val="none" w:sz="0" w:space="0" w:color="auto"/>
            <w:right w:val="none" w:sz="0" w:space="0" w:color="auto"/>
          </w:divBdr>
        </w:div>
        <w:div w:id="1310358009">
          <w:marLeft w:val="480"/>
          <w:marRight w:val="0"/>
          <w:marTop w:val="0"/>
          <w:marBottom w:val="0"/>
          <w:divBdr>
            <w:top w:val="none" w:sz="0" w:space="0" w:color="auto"/>
            <w:left w:val="none" w:sz="0" w:space="0" w:color="auto"/>
            <w:bottom w:val="none" w:sz="0" w:space="0" w:color="auto"/>
            <w:right w:val="none" w:sz="0" w:space="0" w:color="auto"/>
          </w:divBdr>
        </w:div>
        <w:div w:id="43990884">
          <w:marLeft w:val="480"/>
          <w:marRight w:val="0"/>
          <w:marTop w:val="0"/>
          <w:marBottom w:val="0"/>
          <w:divBdr>
            <w:top w:val="none" w:sz="0" w:space="0" w:color="auto"/>
            <w:left w:val="none" w:sz="0" w:space="0" w:color="auto"/>
            <w:bottom w:val="none" w:sz="0" w:space="0" w:color="auto"/>
            <w:right w:val="none" w:sz="0" w:space="0" w:color="auto"/>
          </w:divBdr>
        </w:div>
        <w:div w:id="2121027750">
          <w:marLeft w:val="480"/>
          <w:marRight w:val="0"/>
          <w:marTop w:val="0"/>
          <w:marBottom w:val="0"/>
          <w:divBdr>
            <w:top w:val="none" w:sz="0" w:space="0" w:color="auto"/>
            <w:left w:val="none" w:sz="0" w:space="0" w:color="auto"/>
            <w:bottom w:val="none" w:sz="0" w:space="0" w:color="auto"/>
            <w:right w:val="none" w:sz="0" w:space="0" w:color="auto"/>
          </w:divBdr>
        </w:div>
        <w:div w:id="529563632">
          <w:marLeft w:val="480"/>
          <w:marRight w:val="0"/>
          <w:marTop w:val="0"/>
          <w:marBottom w:val="0"/>
          <w:divBdr>
            <w:top w:val="none" w:sz="0" w:space="0" w:color="auto"/>
            <w:left w:val="none" w:sz="0" w:space="0" w:color="auto"/>
            <w:bottom w:val="none" w:sz="0" w:space="0" w:color="auto"/>
            <w:right w:val="none" w:sz="0" w:space="0" w:color="auto"/>
          </w:divBdr>
        </w:div>
        <w:div w:id="1168860589">
          <w:marLeft w:val="480"/>
          <w:marRight w:val="0"/>
          <w:marTop w:val="0"/>
          <w:marBottom w:val="0"/>
          <w:divBdr>
            <w:top w:val="none" w:sz="0" w:space="0" w:color="auto"/>
            <w:left w:val="none" w:sz="0" w:space="0" w:color="auto"/>
            <w:bottom w:val="none" w:sz="0" w:space="0" w:color="auto"/>
            <w:right w:val="none" w:sz="0" w:space="0" w:color="auto"/>
          </w:divBdr>
        </w:div>
        <w:div w:id="1391801764">
          <w:marLeft w:val="480"/>
          <w:marRight w:val="0"/>
          <w:marTop w:val="0"/>
          <w:marBottom w:val="0"/>
          <w:divBdr>
            <w:top w:val="none" w:sz="0" w:space="0" w:color="auto"/>
            <w:left w:val="none" w:sz="0" w:space="0" w:color="auto"/>
            <w:bottom w:val="none" w:sz="0" w:space="0" w:color="auto"/>
            <w:right w:val="none" w:sz="0" w:space="0" w:color="auto"/>
          </w:divBdr>
        </w:div>
        <w:div w:id="2015640826">
          <w:marLeft w:val="480"/>
          <w:marRight w:val="0"/>
          <w:marTop w:val="0"/>
          <w:marBottom w:val="0"/>
          <w:divBdr>
            <w:top w:val="none" w:sz="0" w:space="0" w:color="auto"/>
            <w:left w:val="none" w:sz="0" w:space="0" w:color="auto"/>
            <w:bottom w:val="none" w:sz="0" w:space="0" w:color="auto"/>
            <w:right w:val="none" w:sz="0" w:space="0" w:color="auto"/>
          </w:divBdr>
        </w:div>
        <w:div w:id="1340809061">
          <w:marLeft w:val="480"/>
          <w:marRight w:val="0"/>
          <w:marTop w:val="0"/>
          <w:marBottom w:val="0"/>
          <w:divBdr>
            <w:top w:val="none" w:sz="0" w:space="0" w:color="auto"/>
            <w:left w:val="none" w:sz="0" w:space="0" w:color="auto"/>
            <w:bottom w:val="none" w:sz="0" w:space="0" w:color="auto"/>
            <w:right w:val="none" w:sz="0" w:space="0" w:color="auto"/>
          </w:divBdr>
        </w:div>
        <w:div w:id="2127460050">
          <w:marLeft w:val="480"/>
          <w:marRight w:val="0"/>
          <w:marTop w:val="0"/>
          <w:marBottom w:val="0"/>
          <w:divBdr>
            <w:top w:val="none" w:sz="0" w:space="0" w:color="auto"/>
            <w:left w:val="none" w:sz="0" w:space="0" w:color="auto"/>
            <w:bottom w:val="none" w:sz="0" w:space="0" w:color="auto"/>
            <w:right w:val="none" w:sz="0" w:space="0" w:color="auto"/>
          </w:divBdr>
        </w:div>
      </w:divsChild>
    </w:div>
    <w:div w:id="2055108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16">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1C50456-9038-4322-AAE2-7B85E6E73F20}">
  <we:reference id="wa104382081" version="1.35.0.0" store="es-ES" storeType="OMEX"/>
  <we:alternateReferences>
    <we:reference id="WA104382081" version="1.35.0.0" store="" storeType="OMEX"/>
  </we:alternateReferences>
  <we:properties>
    <we:property name="MENDELEY_CITATIONS" value="[{&quot;citationID&quot;:&quot;MENDELEY_CITATION_ace516d1-81ec-4218-b4e5-4a923615136a&quot;,&quot;citationItems&quot;:[{&quot;id&quot;:&quot;492bfdb1-e2be-3005-b477-636cc5fb8719&quot;,&quot;itemData&quot;:{&quot;author&quot;:[{&quot;dropping-particle&quot;:&quot;&quot;,&quot;family&quot;:&quot;Nations&quot;,&quot;given&quot;:&quot;United&quot;,&quot;non-dropping-particle&quot;:&quot;&quot;,&quot;parse-names&quot;:false,&quot;suffix&quot;:&quot;&quot;},{&quot;dropping-particle&quot;:&quot;&quot;,&quot;family&quot;:&quot;of Economic&quot;,&quot;given&quot;:&quot;Department&quot;,&quot;non-dropping-particle&quot;:&quot;&quot;,&quot;parse-names&quot;:false,&quot;suffix&quot;:&quot;&quot;},{&quot;dropping-particle&quot;:&quot;&quot;,&quot;family&quot;:&quot;Affairs&quot;,&quot;given&quot;:&quot;Social&quot;,&quot;non-dropping-particle&quot;:&quot;&quot;,&quot;parse-names&quot;:false,&quot;suffix&quot;:&quot;&quot;},{&quot;dropping-particle&quot;:&quot;&quot;,&quot;family&quot;:&quot;Division&quot;,&quot;given&quot;:&quot;Population&quot;,&quot;non-dropping-particle&quot;:&quot;&quot;,&quot;parse-names&quot;:false,&quot;suffix&quot;:&quot;&quot;}],&quot;id&quot;:&quot;492bfdb1-e2be-3005-b477-636cc5fb8719&quot;,&quot;issued&quot;:{&quot;date-parts&quot;:[[&quot;0&quot;]]},&quot;title&quot;:&quot;World Population Ageing 2019: Highlights&quot;,&quot;type&quot;:&quot;report&quot;},&quot;uris&quot;:[&quot;http://www.mendeley.com/documents/?uuid=492bfdb1-e2be-3005-b477-636cc5fb8719&quot;],&quot;isTemporary&quot;:false,&quot;legacyDesktopId&quot;:&quot;492bfdb1-e2be-3005-b477-636cc5fb8719&quot;}],&quot;properties&quot;:{&quot;noteIndex&quot;:0},&quot;isEdited&quot;:false,&quot;manualOverride&quot;:{&quot;citeprocText&quot;:&quot;[1]&quot;,&quot;isManuallyOverridden&quot;:false,&quot;manualOverrideText&quot;:&quot;&quot;},&quot;citationTag&quot;:&quot;MENDELEY_CITATION_v3_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&quot;},{&quot;citationID&quot;:&quot;MENDELEY_CITATION_5ae73b5c-69bb-4c78-ab86-2607817b6a21&quot;,&quot;citationItems&quot;:[{&quot;id&quot;:&quot;fba0c5d1-d498-3255-b8a9-f385714a7f5e&quot;,&quot;itemData&quot;:{&quot;DOI&quot;:&quot;10.1002/hec.1213&quot;,&quot;ISSN&quot;:&quot;10579230&quot;,&quot;PMID&quot;:&quot;17311357&quot;,&quot;abstract&quot;:&quot;This paper revisits the debate on the 'red herring', viz. the claim that population ageing will not have a significant impact on health care expenditure (HCE). It decomposes HCE into seven components, includes both survivors and deceased individuals, and estimates a two-part model of the demand for health care services, using a large Swiss data set for 1999. It finds no or weak age effects on HCE for the components of HCE when proximity to death is controlled for, and points to differences between users and non-users of long-term care (LTC). For deceased non-users of LTC services, a falling age curve for all components of HCE except for inpatient care is observed, while survivors show a weak age effect in ambulatory and inpatient care once proximity to death is controlled for. As to surviving users of LTC services, their probability of incurring LTC expenses markedly increases in old age, while most of the components of their conditional HCE show a decreasing age profile. Thus, a 'school of red herrings' can be claimed to exist-with the possible exception of LTC, where ageing might matter regardless of proximity to death. Copyright © 2007 John Wiley &amp; Sons, Ltd.&quot;,&quot;author&quot;:[{&quot;dropping-particle&quot;:&quot;&quot;,&quot;family&quot;:&quot;Werblow&quot;,&quot;given&quot;:&quot;Andreas&quot;,&quot;non-dropping-particle&quot;:&quot;&quot;,&quot;parse-names&quot;:false,&quot;suffix&quot;:&quot;&quot;},{&quot;dropping-particle&quot;:&quot;&quot;,&quot;family&quot;:&quot;Felder&quot;,&quot;given&quot;:&quot;Stefan&quot;,&quot;non-dropping-particle&quot;:&quot;&quot;,&quot;parse-names&quot;:false,&quot;suffix&quot;:&quot;&quot;},{&quot;dropping-particle&quot;:&quot;&quot;,&quot;family&quot;:&quot;Zweifel&quot;,&quot;given&quot;:&quot;Peter&quot;,&quot;non-dropping-particle&quot;:&quot;&quot;,&quot;parse-names&quot;:false,&quot;suffix&quot;:&quot;&quot;}],&quot;container-title&quot;:&quot;Health Economics&quot;,&quot;id&quot;:&quot;fba0c5d1-d498-3255-b8a9-f385714a7f5e&quot;,&quot;issue&quot;:&quot;10&quot;,&quot;issued&quot;:{&quot;date-parts&quot;:[[&quot;2007&quot;,&quot;10&quot;]]},&quot;page&quot;:&quot;1109-1126&quot;,&quot;publisher&quot;:&quot;Health Econ&quot;,&quot;title&quot;:&quot;Population ageing and health care expenditure: A school of 'Red Herrings'?&quot;,&quot;type&quot;:&quot;article-journal&quot;,&quot;volume&quot;:&quot;16&quot;},&quot;uris&quot;:[&quot;http://www.mendeley.com/documents/?uuid=fba0c5d1-d498-3255-b8a9-f385714a7f5e&quot;],&quot;isTemporary&quot;:false,&quot;legacyDesktopId&quot;:&quot;fba0c5d1-d498-3255-b8a9-f385714a7f5e&quot;},{&quot;id&quot;:&quot;e78ebdef-1b20-3840-9913-260034df6f79&quot;,&quot;itemData&quot;:{&quot;DOI&quot;:&quot;10.1002/(SICI)1099-1050(199909)8:6&lt;485::AID-HEC461&gt;3.0.CO;2-4&quot;,&quot;ISSN&quot;:&quot;10579230&quot;,&quot;PMID&quot;:&quot;10544314&quot;,&quot;abstract&quot;:&quot;This paper studies the relationship between health care expenditure (HCE) and age, using longitudinal rather than cross-sectional data. The econometric analysis of HCE in the last eight quarters of life of individuals who died during the period 1983-1992 indicates that HCE depends on remaining lifetime but not on calendar age, at least beyond 65+. The positive relationship between age and HCE observed in cross-sectional data may be caused by the simple fact that at age 80, for example, there are many more individuals living in their last 2 years than at age 65. The limited impact of age on HCE suggests that population ageing may contribute much less to future growth of the health care sector than claimed by most observers.&quot;,&quot;author&quot;:[{&quot;dropping-particle&quot;:&quot;&quot;,&quot;family&quot;:&quot;Zweifel&quot;,&quot;given&quot;:&quot;Peter&quot;,&quot;non-dropping-particle&quot;:&quot;&quot;,&quot;parse-names&quot;:false,&quot;suffix&quot;:&quot;&quot;},{&quot;dropping-particle&quot;:&quot;&quot;,&quot;family&quot;:&quot;Felder&quot;,&quot;given&quot;:&quot;Stefan&quot;,&quot;non-dropping-particle&quot;:&quot;&quot;,&quot;parse-names&quot;:false,&quot;suffix&quot;:&quot;&quot;},{&quot;dropping-particle&quot;:&quot;&quot;,&quot;family&quot;:&quot;Meiers&quot;,&quot;given&quot;:&quot;Markus&quot;,&quot;non-dropping-particle&quot;:&quot;&quot;,&quot;parse-names&quot;:false,&quot;suffix&quot;:&quot;&quot;}],&quot;container-title&quot;:&quot;Health Economics&quot;,&quot;id&quot;:&quot;e78ebdef-1b20-3840-9913-260034df6f79&quot;,&quot;issue&quot;:&quot;6&quot;,&quot;issued&quot;:{&quot;date-parts&quot;:[[&quot;1999&quot;,&quot;9&quot;,&quot;1&quot;]]},&quot;page&quot;:&quot;485-496&quot;,&quot;publisher&quot;:&quot;John Wiley &amp; Sons, Ltd&quot;,&quot;title&quot;:&quot;Ageing of population and health care expenditure: A red herring?&quot;,&quot;type&quot;:&quot;article&quot;,&quot;volume&quot;:&quot;8&quot;},&quot;uris&quot;:[&quot;http://www.mendeley.com/documents/?uuid=e78ebdef-1b20-3840-9913-260034df6f79&quot;],&quot;isTemporary&quot;:false,&quot;legacyDesktopId&quot;:&quot;e78ebdef-1b20-3840-9913-260034df6f79&quot;}],&quot;properties&quot;:{&quot;noteIndex&quot;:0},&quot;isEdited&quot;:false,&quot;manualOverride&quot;:{&quot;citeprocText&quot;:&quot;[2, 3]&quot;,&quot;isManuallyOverridden&quot;:false,&quot;manualOverrideText&quot;:&quot;&quot;},&quot;citationTag&quot;:&quot;MENDELEY_CITATION_v3_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&quot;},{&quot;citationID&quot;:&quot;MENDELEY_CITATION_ff646b97-db46-423c-95d9-6b5c27b5d759&quot;,&quot;citationItems&quot;:[{&quot;id&quot;:&quot;7368955f-b567-5d83-9ce9-0193a1a6c3c5&quot;,&quot;itemData&quot;:{&quot;DOI&quot;:&quot;10.1111/1475-6773.12518&quot;,&quot;ISSN&quot;:&quot;14756773&quot;,&quot;abstract&quot;:&quot;Objective: Hospital services use, which is a major driver of total health expenditures, is expected to rise over the next decades in Europe, especially because of population aging. The purpose of this article is to better understand the dynamics of older people's demand for hospital care over time in a cross-country setting. Data source: We used data from the Survey on Health, Ageing, and Retirement in Europe (SHARE), in 10 countries between 2004 and 2011. Study Design: We estimated a dynamic panel model of hospital admission for respondents aged 50 years or more. Principal Findings: Following prior research, we found evidence of state dependence in hospital use over time. We also found that rise in frailty—among other health covariates—is a strong predictor of increased hospital use. Progression by one point on the frailty scale [0;5] is associated with an additional risk of about 2.1 percent on average. Conclusions: Our results support promotion of early detection of frailty in primary care, and improvement of coordination between actors within the health system, as potential strategies to reduce avoidable or unnecessary hospital use among frail elderly.&quot;,&quot;author&quot;:[{&quot;dropping-particle&quot;:&quot;&quot;,&quot;family&quot;:&quot;Sirven&quot;,&quot;given&quot;:&quot;Nicolas&quot;,&quot;non-dropping-particle&quot;:&quot;&quot;,&quot;parse-names&quot;:false,&quot;suffix&quot;:&quot;&quot;},{&quot;dropping-particle&quot;:&quot;&quot;,&quot;family&quot;:&quot;Rapp&quot;,&quot;given&quot;:&quot;Thomas&quot;,&quot;non-dropping-particle&quot;:&quot;&quot;,&quot;parse-names&quot;:false,&quot;suffix&quot;:&quot;&quot;}],&quot;container-title&quot;:&quot;Health Services Research&quot;,&quot;id&quot;:&quot;7368955f-b567-5d83-9ce9-0193a1a6c3c5&quot;,&quot;issue&quot;:&quot;3&quot;,&quot;issued&quot;:{&quot;date-parts&quot;:[[&quot;2017&quot;,&quot;6&quot;,&quot;1&quot;]]},&quot;page&quot;:&quot;1168-1184&quot;,&quot;publisher&quot;:&quot;Blackwell Publishing Inc.&quot;,&quot;title&quot;:&quot;The Dynamics of Hospital Use among Older People Evidence for Europe Using SHARE Data&quot;,&quot;type&quot;:&quot;article-journal&quot;,&quot;volume&quot;:&quot;52&quot;},&quot;uris&quot;:[&quot;http://www.mendeley.com/documents/?uuid=20cee192-91c3-3dc5-adaf-3a15ffeebc44&quot;],&quot;isTemporary&quot;:false,&quot;legacyDesktopId&quot;:&quot;20cee192-91c3-3dc5-adaf-3a15ffeebc44&quot;}],&quot;properties&quot;:{&quot;noteIndex&quot;:0},&quot;isEdited&quot;:false,&quot;manualOverride&quot;:{&quot;citeprocText&quot;:&quot;[4]&quot;,&quot;isManuallyOverridden&quot;:false,&quot;manualOverrideText&quot;:&quot;&quot;},&quot;citationTag&quot;:&quot;MENDELEY_CITATION_v3_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&quot;},{&quot;citationID&quot;:&quot;MENDELEY_CITATION_cdf44cd9-f1d6-432c-a6dc-09abb043032e&quot;,&quot;citationItems&quot;:[{&quot;id&quot;:&quot;640a47e3-6403-3958-8a30-6f95f648ce7e&quot;,&quot;itemData&quot;:{&quot;DOI&quot;:&quot;10.1377/hlthaff.w5.r42&quot;,&quot;ISSN&quot;:&quot;02782715&quot;,&quot;PMID&quot;:&quot;16186150&quot;,&quot;abstract&quot;:&quot;This paper forecasts the impact of changing disability rates on spending by Medicare beneficiaries. We adjust for differential changes in spending by the disabled because the composition of the disabled population and the intensity of their treatment are changing. Among community-dwelling elderly, spending growth among the least disabled grew more quickly than among the most disabled, which offsets some of the cost savings associated with declining disability rates. Using estimates of spending trends by disability category, we project that the cost savings associated with improved disability rates will not dramatically slow Medicare spending in the long run.&quot;,&quot;author&quot;:[{&quot;dropping-particle&quot;:&quot;&quot;,&quot;family&quot;:&quot;Chernew&quot;,&quot;given&quot;:&quot;Michael E.&quot;,&quot;non-dropping-particle&quot;:&quot;&quot;,&quot;parse-names&quot;:false,&quot;suffix&quot;:&quot;&quot;},{&quot;dropping-particle&quot;:&quot;&quot;,&quot;family&quot;:&quot;Goldman&quot;,&quot;given&quot;:&quot;Dana P.&quot;,&quot;non-dropping-particle&quot;:&quot;&quot;,&quot;parse-names&quot;:false,&quot;suffix&quot;:&quot;&quot;},{&quot;dropping-particle&quot;:&quot;&quot;,&quot;family&quot;:&quot;Pan&quot;,&quot;given&quot;:&quot;Feng&quot;,&quot;non-dropping-particle&quot;:&quot;&quot;,&quot;parse-names&quot;:false,&quot;suffix&quot;:&quot;&quot;},{&quot;dropping-particle&quot;:&quot;&quot;,&quot;family&quot;:&quot;Shang&quot;,&quot;given&quot;:&quot;Baoping&quot;,&quot;non-dropping-particle&quot;:&quot;&quot;,&quot;parse-names&quot;:false,&quot;suffix&quot;:&quot;&quot;}],&quot;container-title&quot;:&quot;Health affairs (Project Hope)&quot;,&quot;id&quot;:&quot;640a47e3-6403-3958-8a30-6f95f648ce7e&quot;,&quot;issue&quot;:&quot;Suppl 2&quot;,&quot;issued&quot;:{&quot;date-parts&quot;:[[&quot;2005&quot;]]},&quot;publisher&quot;:&quot;Health Aff (Millwood)&quot;,&quot;title&quot;:&quot;Disability and health care spending among medicare beneficiaries.&quot;,&quot;type&quot;:&quot;article-journal&quot;,&quot;volume&quot;:&quot;24 Suppl 2&quot;},&quot;uris&quot;:[&quot;http://www.mendeley.com/documents/?uuid=640a47e3-6403-3958-8a30-6f95f648ce7e&quot;],&quot;isTemporary&quot;:false,&quot;legacyDesktopId&quot;:&quot;640a47e3-6403-3958-8a30-6f95f648ce7e&quot;}],&quot;properties&quot;:{&quot;noteIndex&quot;:0},&quot;isEdited&quot;:false,&quot;manualOverride&quot;:{&quot;citeprocText&quot;:&quot;[5]&quot;,&quot;isManuallyOverridden&quot;:false,&quot;manualOverrideText&quot;:&quot;&quot;},&quot;citationTag&quot;:&quot;MENDELEY_CITATION_v3_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&quot;},{&quot;citationID&quot;:&quot;MENDELEY_CITATION_ec1271a2-bd29-43d9-93e5-6385534c8e83&quot;,&quot;citationItems&quot;:[{&quot;id&quot;:&quot;0284a3c3-d515-3e6d-8c2b-b2cba33b9835&quot;,&quot;itemData&quot;:{&quot;DOI&quot;:&quot;10.3389/fnagi.2014.00192&quot;,&quot;ISSN&quot;:&quot;16634365&quot;,&quot;author&quot;:[{&quot;dropping-particle&quot;:&quot;&quot;,&quot;family&quot;:&quot;Cesari&quot;,&quot;given&quot;:&quot;Matteo&quot;,&quot;non-dropping-particle&quot;:&quot;&quot;,&quot;parse-names&quot;:false,&quot;suffix&quot;:&quot;&quot;},{&quot;dropping-particle&quot;:&quot;&quot;,&quot;family&quot;:&quot;Landi&quot;,&quot;given&quot;:&quot;Francesco&quot;,&quot;non-dropping-particle&quot;:&quot;&quot;,&quot;parse-names&quot;:false,&quot;suffix&quot;:&quot;&quot;},{&quot;dropping-particle&quot;:&quot;&quot;,&quot;family&quot;:&quot;Vellas&quot;,&quot;given&quot;:&quot;Bruno&quot;,&quot;non-dropping-particle&quot;:&quot;&quot;,&quot;parse-names&quot;:false,&quot;suffix&quot;:&quot;&quot;},{&quot;dropping-particle&quot;:&quot;&quot;,&quot;family&quot;:&quot;Bernabei&quot;,&quot;given&quot;:&quot;Roberto&quot;,&quot;non-dropping-particle&quot;:&quot;&quot;,&quot;parse-names&quot;:false,&quot;suffix&quot;:&quot;&quot;},{&quot;dropping-particle&quot;:&quot;&quot;,&quot;family&quot;:&quot;Marzetti&quot;,&quot;given&quot;:&quot;Emanuele&quot;,&quot;non-dropping-particle&quot;:&quot;&quot;,&quot;parse-names&quot;:false,&quot;suffix&quot;:&quot;&quot;}],&quot;container-title&quot;:&quot;Frontiers in Aging Neuroscience&quot;,&quot;id&quot;:&quot;0284a3c3-d515-3e6d-8c2b-b2cba33b9835&quot;,&quot;issue&quot;:&quot;JUL&quot;,&quot;issued&quot;:{&quot;date-parts&quot;:[[&quot;2014&quot;]]},&quot;publisher&quot;:&quot;Frontiers Research Foundation&quot;,&quot;title&quot;:&quot;Sarcopenia and physical frailty: Two sides of the same coin&quot;,&quot;type&quot;:&quot;article-journal&quot;,&quot;volume&quot;:&quot;6&quot;},&quot;uris&quot;:[&quot;http://www.mendeley.com/documents/?uuid=0284a3c3-d515-3e6d-8c2b-b2cba33b9835&quot;],&quot;isTemporary&quot;:false,&quot;legacyDesktopId&quot;:&quot;0284a3c3-d515-3e6d-8c2b-b2cba33b9835&quot;},{&quot;id&quot;:&quot;98c376d4-4f75-3a42-8046-3eeb511809ca&quot;,&quot;itemData&quot;:{&quot;DOI&quot;:&quot;10.1093/gerona/gls119&quot;,&quot;ISSN&quot;:&quot;10795006&quot;,&quot;abstract&quot;:&quot;Background.There is no consensus regarding the definition of frailty for clinical uses.Methods.A modified Delphi process was used to attempt to achieve consensus definition. Experts were selected from different fields and organized into five Focus Groups. A questionnaire was developed and sent to experts in the area of frailty. Responses and comments were analyzed using a pre-established strategy. Statements with an agreement more than or equal to 80% were accepted.Results.Overall, 44% of the statements regarding the concept of frailty and 18% of the statements regarding diagnostic criteria were accepted. There was consensus on the value of screening for frailty and about the identification of six domains of frailty for inclusion in a clinical definition, but no agreement was reached concerning a specific set of clinical/laboratory biomarkers useful for diagnosis.Conclusions.There is agreement on the usefulness of defining frailty in clinical settings as well as on its main dimensions. However, additional research is needed before an operative definition of frailty can be established. © 2012 The Author.&quot;,&quot;author&quot;:[{&quot;dropping-particle&quot;:&quot;&quot;,&quot;family&quot;:&quot;Rodríguez-Mañas&quot;,&quot;given&quot;:&quot;Leocadio&quot;,&quot;non-dropping-particle&quot;:&quot;&quot;,&quot;parse-names&quot;:false,&quot;suffix&quot;:&quot;&quot;},{&quot;dropping-particle&quot;:&quot;&quot;,&quot;family&quot;:&quot;Féart&quot;,&quot;given&quot;:&quot;Catherine&quot;,&quot;non-dropping-particle&quot;:&quot;&quot;,&quot;parse-names&quot;:false,&quot;suffix&quot;:&quot;&quot;},{&quot;dropping-particle&quot;:&quot;&quot;,&quot;family&quot;:&quot;Mann&quot;,&quot;given&quot;:&quot;Giovanni&quot;,&quot;non-dropping-particle&quot;:&quot;&quot;,&quot;parse-names&quot;:false,&quot;suffix&quot;:&quot;&quot;},{&quot;dropping-particle&quot;:&quot;&quot;,&quot;family&quot;:&quot;Viña&quot;,&quot;given&quot;:&quot;Jose&quot;,&quot;non-dropping-particle&quot;:&quot;&quot;,&quot;parse-names&quot;:false,&quot;suffix&quot;:&quot;&quot;},{&quot;dropping-particle&quot;:&quot;&quot;,&quot;family&quot;:&quot;Chatterji&quot;,&quot;given&quot;:&quot;Somnath&quot;,&quot;non-dropping-particle&quot;:&quot;&quot;,&quot;parse-names&quot;:false,&quot;suffix&quot;:&quot;&quot;},{&quot;dropping-particle&quot;:&quot;&quot;,&quot;family&quot;:&quot;Chodzko-Zajko&quot;,&quot;given&quot;:&quot;Wojtek&quot;,&quot;non-dropping-particle&quot;:&quot;&quot;,&quot;parse-names&quot;:false,&quot;suffix&quot;:&quot;&quot;},{&quot;dropping-particle&quot;:&quot;&quot;,&quot;family&quot;:&quot;Gonzalez-Colaço Harmand&quot;,&quot;given&quot;:&quot;Magali&quot;,&quot;non-dropping-particle&quot;:&quot;&quot;,&quot;parse-names&quot;:false,&quot;suffix&quot;:&quot;&quot;},{&quot;dropping-particle&quot;:&quot;&quot;,&quot;family&quot;:&quot;Bergman&quot;,&quot;given&quot;:&quot;Howard&quot;,&quot;non-dropping-particle&quot;:&quot;&quot;,&quot;parse-names&quot;:false,&quot;suffix&quot;:&quot;&quot;},{&quot;dropping-particle&quot;:&quot;&quot;,&quot;family&quot;:&quot;Carcaillon&quot;,&quot;given&quot;:&quot;Laure&quot;,&quot;non-dropping-particle&quot;:&quot;&quot;,&quot;parse-names&quot;:false,&quot;suffix&quot;:&quot;&quot;},{&quot;dropping-particle&quot;:&quot;&quot;,&quot;family&quot;:&quot;Nicholson&quot;,&quot;given&quot;:&quot;Caroline&quot;,&quot;non-dropping-particle&quot;:&quot;&quot;,&quot;parse-names&quot;:false,&quot;suffix&quot;:&quot;&quot;},{&quot;dropping-particle&quot;:&quot;&quot;,&quot;family&quot;:&quot;Scuteri&quot;,&quot;given&quot;:&quot;Angelo&quot;,&quot;non-dropping-particle&quot;:&quot;&quot;,&quot;parse-names&quot;:false,&quot;suffix&quot;:&quot;&quot;},{&quot;dropping-particle&quot;:&quot;&quot;,&quot;family&quot;:&quot;Sinclair&quot;,&quot;given&quot;:&quot;Alan&quot;,&quot;non-dropping-particle&quot;:&quot;&quot;,&quot;parse-names&quot;:false,&quot;suffix&quot;:&quot;&quot;},{&quot;dropping-particle&quot;:&quot;&quot;,&quot;family&quot;:&quot;Pelaez&quot;,&quot;given&quot;:&quot;Martha&quot;,&quot;non-dropping-particle&quot;:&quot;&quot;,&quot;parse-names&quot;:false,&quot;suffix&quot;:&quot;&quot;},{&quot;dropping-particle&quot;:&quot;&quot;,&quot;family&quot;:&quot;Cammen&quot;,&quot;given&quot;:&quot;Tischa&quot;,&quot;non-dropping-particle&quot;:&quot;Van Der&quot;,&quot;parse-names&quot;:false,&quot;suffix&quot;:&quot;&quot;},{&quot;dropping-particle&quot;:&quot;&quot;,&quot;family&quot;:&quot;Beland&quot;,&quot;given&quot;:&quot;François&quot;,&quot;non-dropping-particle&quot;:&quot;&quot;,&quot;parse-names&quot;:false,&quot;suffix&quot;:&quot;&quot;},{&quot;dropping-particle&quot;:&quot;&quot;,&quot;family&quot;:&quot;Bickenbach&quot;,&quot;given&quot;:&quot;Jerome&quot;,&quot;non-dropping-particle&quot;:&quot;&quot;,&quot;parse-names&quot;:false,&quot;suffix&quot;:&quot;&quot;},{&quot;dropping-particle&quot;:&quot;&quot;,&quot;family&quot;:&quot;Delamarche&quot;,&quot;given&quot;:&quot;Paul&quot;,&quot;non-dropping-particle&quot;:&quot;&quot;,&quot;parse-names&quot;:false,&quot;suffix&quot;:&quot;&quot;},{&quot;dropping-particle&quot;:&quot;&quot;,&quot;family&quot;:&quot;Ferrucci&quot;,&quot;given&quot;:&quot;Luigi&quot;,&quot;non-dropping-particle&quot;:&quot;&quot;,&quot;parse-names&quot;:false,&quot;suffix&quot;:&quot;&quot;},{&quot;dropping-particle&quot;:&quot;&quot;,&quot;family&quot;:&quot;Fried&quot;,&quot;given&quot;:&quot;Linda P.&quot;,&quot;non-dropping-particle&quot;:&quot;&quot;,&quot;parse-names&quot;:false,&quot;suffix&quot;:&quot;&quot;},{&quot;dropping-particle&quot;:&quot;&quot;,&quot;family&quot;:&quot;Gutiérrez-Robledo&quot;,&quot;given&quot;:&quot;Luis Miguel&quot;,&quot;non-dropping-particle&quot;:&quot;&quot;,&quot;parse-names&quot;:false,&quot;suffix&quot;:&quot;&quot;},{&quot;dropping-particle&quot;:&quot;&quot;,&quot;family&quot;:&quot;Rockwood&quot;,&quot;given&quot;:&quot;Kenneth&quot;,&quot;non-dropping-particle&quot;:&quot;&quot;,&quot;parse-names&quot;:false,&quot;suffix&quot;:&quot;&quot;},{&quot;dropping-particle&quot;:&quot;&quot;,&quot;family&quot;:&quot;Rodríguez Artalejo&quot;,&quot;given&quot;:&quot;Fernando&quot;,&quot;non-dropping-particle&quot;:&quot;&quot;,&quot;parse-names&quot;:false,&quot;suffix&quot;:&quot;&quot;},{&quot;dropping-particle&quot;:&quot;&quot;,&quot;family&quot;:&quot;Serviddio&quot;,&quot;given&quot;:&quot;Gaetano&quot;,&quot;non-dropping-particle&quot;:&quot;&quot;,&quot;parse-names&quot;:false,&quot;suffix&quot;:&quot;&quot;},{&quot;dropping-particle&quot;:&quot;&quot;,&quot;family&quot;:&quot;Vega&quot;,&quot;given&quot;:&quot;Enrique&quot;,&quot;non-dropping-particle&quot;:&quot;&quot;,&quot;parse-names&quot;:false,&quot;suffix&quot;:&quot;&quot;}],&quot;container-title&quot;:&quot;Journals of Gerontology - Series A Biological Sciences and Medical Sciences&quot;,&quot;id&quot;:&quot;98c376d4-4f75-3a42-8046-3eeb511809ca&quot;,&quot;issue&quot;:&quot;1&quot;,&quot;issued&quot;:{&quot;date-parts&quot;:[[&quot;2013&quot;,&quot;1&quot;]]},&quot;page&quot;:&quot;62-67&quot;,&quot;title&quot;:&quot;Searching for an operational definition of frailty: A delphi method based consensus statement. the frailty operative definition-consensus conference project&quot;,&quot;type&quot;:&quot;article-journal&quot;,&quot;volume&quot;:&quot;68&quot;},&quot;uris&quot;:[&quot;http://www.mendeley.com/documents/?uuid=98c376d4-4f75-3a42-8046-3eeb511809ca&quot;],&quot;isTemporary&quot;:false,&quot;legacyDesktopId&quot;:&quot;98c376d4-4f75-3a42-8046-3eeb511809ca&quot;}],&quot;properties&quot;:{&quot;noteIndex&quot;:0},&quot;isEdited&quot;:false,&quot;manualOverride&quot;:{&quot;citeprocText&quot;:&quot;[6, 7]&quot;,&quot;isManuallyOverridden&quot;:false,&quot;manualOverrideText&quot;:&quot;&quot;},&quot;citationTag&quot;:&quot;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&quot;},{&quot;citationID&quot;:&quot;MENDELEY_CITATION_50ccb09a-1dbd-495a-b1ea-3aecce3f405f&quot;,&quot;citationItems&quot;:[{&quot;id&quot;:&quot;98c376d4-4f75-3a42-8046-3eeb511809ca&quot;,&quot;itemData&quot;:{&quot;DOI&quot;:&quot;10.1093/gerona/gls119&quot;,&quot;ISSN&quot;:&quot;10795006&quot;,&quot;abstract&quot;:&quot;Background.There is no consensus regarding the definition of frailty for clinical uses.Methods.A modified Delphi process was used to attempt to achieve consensus definition. Experts were selected from different fields and organized into five Focus Groups. A questionnaire was developed and sent to experts in the area of frailty. Responses and comments were analyzed using a pre-established strategy. Statements with an agreement more than or equal to 80% were accepted.Results.Overall, 44% of the statements regarding the concept of frailty and 18% of the statements regarding diagnostic criteria were accepted. There was consensus on the value of screening for frailty and about the identification of six domains of frailty for inclusion in a clinical definition, but no agreement was reached concerning a specific set of clinical/laboratory biomarkers useful for diagnosis.Conclusions.There is agreement on the usefulness of defining frailty in clinical settings as well as on its main dimensions. However, additional research is needed before an operative definition of frailty can be established. © 2012 The Author.&quot;,&quot;author&quot;:[{&quot;dropping-particle&quot;:&quot;&quot;,&quot;family&quot;:&quot;Rodríguez-Mañas&quot;,&quot;given&quot;:&quot;Leocadio&quot;,&quot;non-dropping-particle&quot;:&quot;&quot;,&quot;parse-names&quot;:false,&quot;suffix&quot;:&quot;&quot;},{&quot;dropping-particle&quot;:&quot;&quot;,&quot;family&quot;:&quot;Féart&quot;,&quot;given&quot;:&quot;Catherine&quot;,&quot;non-dropping-particle&quot;:&quot;&quot;,&quot;parse-names&quot;:false,&quot;suffix&quot;:&quot;&quot;},{&quot;dropping-particle&quot;:&quot;&quot;,&quot;family&quot;:&quot;Mann&quot;,&quot;given&quot;:&quot;Giovanni&quot;,&quot;non-dropping-particle&quot;:&quot;&quot;,&quot;parse-names&quot;:false,&quot;suffix&quot;:&quot;&quot;},{&quot;dropping-particle&quot;:&quot;&quot;,&quot;family&quot;:&quot;Viña&quot;,&quot;given&quot;:&quot;Jose&quot;,&quot;non-dropping-particle&quot;:&quot;&quot;,&quot;parse-names&quot;:false,&quot;suffix&quot;:&quot;&quot;},{&quot;dropping-particle&quot;:&quot;&quot;,&quot;family&quot;:&quot;Chatterji&quot;,&quot;given&quot;:&quot;Somnath&quot;,&quot;non-dropping-particle&quot;:&quot;&quot;,&quot;parse-names&quot;:false,&quot;suffix&quot;:&quot;&quot;},{&quot;dropping-particle&quot;:&quot;&quot;,&quot;family&quot;:&quot;Chodzko-Zajko&quot;,&quot;given&quot;:&quot;Wojtek&quot;,&quot;non-dropping-particle&quot;:&quot;&quot;,&quot;parse-names&quot;:false,&quot;suffix&quot;:&quot;&quot;},{&quot;dropping-particle&quot;:&quot;&quot;,&quot;family&quot;:&quot;Gonzalez-Colaço Harmand&quot;,&quot;given&quot;:&quot;Magali&quot;,&quot;non-dropping-particle&quot;:&quot;&quot;,&quot;parse-names&quot;:false,&quot;suffix&quot;:&quot;&quot;},{&quot;dropping-particle&quot;:&quot;&quot;,&quot;family&quot;:&quot;Bergman&quot;,&quot;given&quot;:&quot;Howard&quot;,&quot;non-dropping-particle&quot;:&quot;&quot;,&quot;parse-names&quot;:false,&quot;suffix&quot;:&quot;&quot;},{&quot;dropping-particle&quot;:&quot;&quot;,&quot;family&quot;:&quot;Carcaillon&quot;,&quot;given&quot;:&quot;Laure&quot;,&quot;non-dropping-particle&quot;:&quot;&quot;,&quot;parse-names&quot;:false,&quot;suffix&quot;:&quot;&quot;},{&quot;dropping-particle&quot;:&quot;&quot;,&quot;family&quot;:&quot;Nicholson&quot;,&quot;given&quot;:&quot;Caroline&quot;,&quot;non-dropping-particle&quot;:&quot;&quot;,&quot;parse-names&quot;:false,&quot;suffix&quot;:&quot;&quot;},{&quot;dropping-particle&quot;:&quot;&quot;,&quot;family&quot;:&quot;Scuteri&quot;,&quot;given&quot;:&quot;Angelo&quot;,&quot;non-dropping-particle&quot;:&quot;&quot;,&quot;parse-names&quot;:false,&quot;suffix&quot;:&quot;&quot;},{&quot;dropping-particle&quot;:&quot;&quot;,&quot;family&quot;:&quot;Sinclair&quot;,&quot;given&quot;:&quot;Alan&quot;,&quot;non-dropping-particle&quot;:&quot;&quot;,&quot;parse-names&quot;:false,&quot;suffix&quot;:&quot;&quot;},{&quot;dropping-particle&quot;:&quot;&quot;,&quot;family&quot;:&quot;Pelaez&quot;,&quot;given&quot;:&quot;Martha&quot;,&quot;non-dropping-particle&quot;:&quot;&quot;,&quot;parse-names&quot;:false,&quot;suffix&quot;:&quot;&quot;},{&quot;dropping-particle&quot;:&quot;&quot;,&quot;family&quot;:&quot;Cammen&quot;,&quot;given&quot;:&quot;Tischa&quot;,&quot;non-dropping-particle&quot;:&quot;Van Der&quot;,&quot;parse-names&quot;:false,&quot;suffix&quot;:&quot;&quot;},{&quot;dropping-particle&quot;:&quot;&quot;,&quot;family&quot;:&quot;Beland&quot;,&quot;given&quot;:&quot;François&quot;,&quot;non-dropping-particle&quot;:&quot;&quot;,&quot;parse-names&quot;:false,&quot;suffix&quot;:&quot;&quot;},{&quot;dropping-particle&quot;:&quot;&quot;,&quot;family&quot;:&quot;Bickenbach&quot;,&quot;given&quot;:&quot;Jerome&quot;,&quot;non-dropping-particle&quot;:&quot;&quot;,&quot;parse-names&quot;:false,&quot;suffix&quot;:&quot;&quot;},{&quot;dropping-particle&quot;:&quot;&quot;,&quot;family&quot;:&quot;Delamarche&quot;,&quot;given&quot;:&quot;Paul&quot;,&quot;non-dropping-particle&quot;:&quot;&quot;,&quot;parse-names&quot;:false,&quot;suffix&quot;:&quot;&quot;},{&quot;dropping-particle&quot;:&quot;&quot;,&quot;family&quot;:&quot;Ferrucci&quot;,&quot;given&quot;:&quot;Luigi&quot;,&quot;non-dropping-particle&quot;:&quot;&quot;,&quot;parse-names&quot;:false,&quot;suffix&quot;:&quot;&quot;},{&quot;dropping-particle&quot;:&quot;&quot;,&quot;family&quot;:&quot;Fried&quot;,&quot;given&quot;:&quot;Linda P.&quot;,&quot;non-dropping-particle&quot;:&quot;&quot;,&quot;parse-names&quot;:false,&quot;suffix&quot;:&quot;&quot;},{&quot;dropping-particle&quot;:&quot;&quot;,&quot;family&quot;:&quot;Gutiérrez-Robledo&quot;,&quot;given&quot;:&quot;Luis Miguel&quot;,&quot;non-dropping-particle&quot;:&quot;&quot;,&quot;parse-names&quot;:false,&quot;suffix&quot;:&quot;&quot;},{&quot;dropping-particle&quot;:&quot;&quot;,&quot;family&quot;:&quot;Rockwood&quot;,&quot;given&quot;:&quot;Kenneth&quot;,&quot;non-dropping-particle&quot;:&quot;&quot;,&quot;parse-names&quot;:false,&quot;suffix&quot;:&quot;&quot;},{&quot;dropping-particle&quot;:&quot;&quot;,&quot;family&quot;:&quot;Rodríguez Artalejo&quot;,&quot;given&quot;:&quot;Fernando&quot;,&quot;non-dropping-particle&quot;:&quot;&quot;,&quot;parse-names&quot;:false,&quot;suffix&quot;:&quot;&quot;},{&quot;dropping-particle&quot;:&quot;&quot;,&quot;family&quot;:&quot;Serviddio&quot;,&quot;given&quot;:&quot;Gaetano&quot;,&quot;non-dropping-particle&quot;:&quot;&quot;,&quot;parse-names&quot;:false,&quot;suffix&quot;:&quot;&quot;},{&quot;dropping-particle&quot;:&quot;&quot;,&quot;family&quot;:&quot;Vega&quot;,&quot;given&quot;:&quot;Enrique&quot;,&quot;non-dropping-particle&quot;:&quot;&quot;,&quot;parse-names&quot;:false,&quot;suffix&quot;:&quot;&quot;}],&quot;container-title&quot;:&quot;Journals of Gerontology - Series A Biological Sciences and Medical Sciences&quot;,&quot;id&quot;:&quot;98c376d4-4f75-3a42-8046-3eeb511809ca&quot;,&quot;issue&quot;:&quot;1&quot;,&quot;issued&quot;:{&quot;date-parts&quot;:[[&quot;2013&quot;,&quot;1&quot;]]},&quot;page&quot;:&quot;62-67&quot;,&quot;title&quot;:&quot;Searching for an operational definition of frailty: A delphi method based consensus statement. the frailty operative definition-consensus conference project&quot;,&quot;type&quot;:&quot;article-journal&quot;,&quot;volume&quot;:&quot;68&quot;},&quot;uris&quot;:[&quot;http://www.mendeley.com/documents/?uuid=98c376d4-4f75-3a42-8046-3eeb511809ca&quot;],&quot;isTemporary&quot;:false,&quot;legacyDesktopId&quot;:&quot;98c376d4-4f75-3a42-8046-3eeb511809ca&quot;}],&quot;properties&quot;:{&quot;noteIndex&quot;:0},&quot;isEdited&quot;:false,&quot;manualOverride&quot;:{&quot;citeprocText&quot;:&quot;[7]&quot;,&quot;isManuallyOverridden&quot;:false,&quot;manualOverrideText&quot;:&quot;&quot;},&quot;citationTag&quot;:&quot;MENDELEY_CITATION_v3_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&quot;},{&quot;citationID&quot;:&quot;MENDELEY_CITATION_f93a09df-ccaf-442d-8cd4-335bf750188f&quot;,&quot;citationItems&quot;:[{&quot;id&quot;:&quot;5117c57e-3665-30b8-8f95-4341bdb14b2c&quot;,&quot;itemData&quot;:{&quot;DOI&quot;:&quot;10.1016/j.jamda.2011.01.003&quot;,&quot;ISSN&quot;:&quot;15389375&quot;,&quot;abstract&quot;:&quot;Sarcopenia, the age-associated loss of skeletal muscle mass and function, has considerable societal consequences for the development of frailty, disability, and health care planning. A group of geriatricians and scientists from academia and industry met in Rome, Italy, on November 18, 2009, to arrive at a consensus definition of sarcopenia. The current consensus definition was approved unanimously by the meeting participants and is as follows: Sarcopenia is defined as the age-associated loss of skeletal muscle mass and function. The causes of sarcopenia are multifactorial and can include disuse, altered endocrine function, chronic diseases, inflammation, insulin resistance, and nutritional deficiencies. Although cachexia may be a component of sarcopenia, the 2 conditions are not the same. The diagnosis of sarcopenia should be considered in all older patients who present with observed declines in physical function, strength, or overall health. Sarcopenia should specifically be considered in patients who are bedridden, cannot independently rise from a chair, or who have a measured gait speed less that 1 m/s-1. Patients who meet these criteria should further undergo body composition assessment using dual energy x-ray absorptiometry with sarcopenia being defined using currently validated definitions. A diagnosis of sarcopenia is consistent with a gait speed of less than 1 m·s-1 and an objectively measured low muscle mass (eg, appendicular mass relative to ht2 that is ≤ 7.23 kg/m2 in men and ≤ 5.67 kg/m2 in women). Sarcopenia is a highly prevalent condition in older persons that leads to disability, hospitalization, and death. © 2011 American Medical Directors Association.&quot;,&quot;author&quot;:[{&quot;dropping-particle&quot;:&quot;&quot;,&quot;family&quot;:&quot;Fielding&quot;,&quot;given&quot;:&quot;Roger A.&quot;,&quot;non-dropping-particle&quot;:&quot;&quot;,&quot;parse-names&quot;:false,&quot;suffix&quot;:&quot;&quot;},{&quot;dropping-particle&quot;:&quot;&quot;,&quot;family&quot;:&quot;Vellas&quot;,&quot;given&quot;:&quot;Bruno&quot;,&quot;non-dropping-particle&quot;:&quot;&quot;,&quot;parse-names&quot;:false,&quot;suffix&quot;:&quot;&quot;},{&quot;dropping-particle&quot;:&quot;&quot;,&quot;family&quot;:&quot;Evans&quot;,&quot;given&quot;:&quot;William J.&quot;,&quot;non-dropping-particle&quot;:&quot;&quot;,&quot;parse-names&quot;:false,&quot;suffix&quot;:&quot;&quot;},{&quot;dropping-particle&quot;:&quot;&quot;,&quot;family&quot;:&quot;Bhasin&quot;,&quot;given&quot;:&quot;Shalender&quot;,&quot;non-dropping-particle&quot;:&quot;&quot;,&quot;parse-names&quot;:false,&quot;suffix&quot;:&quot;&quot;},{&quot;dropping-particle&quot;:&quot;&quot;,&quot;family&quot;:&quot;Morley&quot;,&quot;given&quot;:&quot;John E.&quot;,&quot;non-dropping-particle&quot;:&quot;&quot;,&quot;parse-names&quot;:false,&quot;suffix&quot;:&quot;&quot;},{&quot;dropping-particle&quot;:&quot;&quot;,&quot;family&quot;:&quot;Newman&quot;,&quot;given&quot;:&quot;Anne B.&quot;,&quot;non-dropping-particle&quot;:&quot;&quot;,&quot;parse-names&quot;:false,&quot;suffix&quot;:&quot;&quot;},{&quot;dropping-particle&quot;:&quot;&quot;,&quot;family&quot;:&quot;Abellan van Kan&quot;,&quot;given&quot;:&quot;Gabor&quot;,&quot;non-dropping-particle&quot;:&quot;&quot;,&quot;parse-names&quot;:false,&quot;suffix&quot;:&quot;&quot;},{&quot;dropping-particle&quot;:&quot;&quot;,&quot;family&quot;:&quot;Andrieu&quot;,&quot;given&quot;:&quot;Sandrine&quot;,&quot;non-dropping-particle&quot;:&quot;&quot;,&quot;parse-names&quot;:false,&quot;suffix&quot;:&quot;&quot;},{&quot;dropping-particle&quot;:&quot;&quot;,&quot;family&quot;:&quot;Bauer&quot;,&quot;given&quot;:&quot;Juergen&quot;,&quot;non-dropping-particle&quot;:&quot;&quot;,&quot;parse-names&quot;:false,&quot;suffix&quot;:&quot;&quot;},{&quot;dropping-particle&quot;:&quot;&quot;,&quot;family&quot;:&quot;Breuille&quot;,&quot;given&quot;:&quot;Denis&quot;,&quot;non-dropping-particle&quot;:&quot;&quot;,&quot;parse-names&quot;:false,&quot;suffix&quot;:&quot;&quot;},{&quot;dropping-particle&quot;:&quot;&quot;,&quot;family&quot;:&quot;Cederholm&quot;,&quot;given&quot;:&quot;Tommy&quot;,&quot;non-dropping-particle&quot;:&quot;&quot;,&quot;parse-names&quot;:false,&quot;suffix&quot;:&quot;&quot;},{&quot;dropping-particle&quot;:&quot;&quot;,&quot;family&quot;:&quot;Chandler&quot;,&quot;given&quot;:&quot;Julie&quot;,&quot;non-dropping-particle&quot;:&quot;&quot;,&quot;parse-names&quot;:false,&quot;suffix&quot;:&quot;&quot;},{&quot;dropping-particle&quot;:&quot;&quot;,&quot;family&quot;:&quot;Meynard&quot;,&quot;given&quot;:&quot;Capucine&quot;,&quot;non-dropping-particle&quot;:&quot;De&quot;,&quot;parse-names&quot;:false,&quot;suffix&quot;:&quot;&quot;},{&quot;dropping-particle&quot;:&quot;&quot;,&quot;family&quot;:&quot;Donini&quot;,&quot;given&quot;:&quot;Lorenzo&quot;,&quot;non-dropping-particle&quot;:&quot;&quot;,&quot;parse-names&quot;:false,&quot;suffix&quot;:&quot;&quot;},{&quot;dropping-particle&quot;:&quot;&quot;,&quot;family&quot;:&quot;Harris&quot;,&quot;given&quot;:&quot;Tamara&quot;,&quot;non-dropping-particle&quot;:&quot;&quot;,&quot;parse-names&quot;:false,&quot;suffix&quot;:&quot;&quot;},{&quot;dropping-particle&quot;:&quot;&quot;,&quot;family&quot;:&quot;Kannt&quot;,&quot;given&quot;:&quot;Aimo&quot;,&quot;non-dropping-particle&quot;:&quot;&quot;,&quot;parse-names&quot;:false,&quot;suffix&quot;:&quot;&quot;},{&quot;dropping-particle&quot;:&quot;&quot;,&quot;family&quot;:&quot;Keime Guibert&quot;,&quot;given&quot;:&quot;Florence&quot;,&quot;non-dropping-particle&quot;:&quot;&quot;,&quot;parse-names&quot;:false,&quot;suffix&quot;:&quot;&quot;},{&quot;dropping-particle&quot;:&quot;&quot;,&quot;family&quot;:&quot;Onder&quot;,&quot;given&quot;:&quot;Graziano&quot;,&quot;non-dropping-particle&quot;:&quot;&quot;,&quot;parse-names&quot;:false,&quot;suffix&quot;:&quot;&quot;},{&quot;dropping-particle&quot;:&quot;&quot;,&quot;family&quot;:&quot;Papanicolaou&quot;,&quot;given&quot;:&quot;Dimitris&quot;,&quot;non-dropping-particle&quot;:&quot;&quot;,&quot;parse-names&quot;:false,&quot;suffix&quot;:&quot;&quot;},{&quot;dropping-particle&quot;:&quot;&quot;,&quot;family&quot;:&quot;Rolland&quot;,&quot;given&quot;:&quot;Yves&quot;,&quot;non-dropping-particle&quot;:&quot;&quot;,&quot;parse-names&quot;:false,&quot;suffix&quot;:&quot;&quot;},{&quot;dropping-particle&quot;:&quot;&quot;,&quot;family&quot;:&quot;Rooks&quot;,&quot;given&quot;:&quot;Daniel&quot;,&quot;non-dropping-particle&quot;:&quot;&quot;,&quot;parse-names&quot;:false,&quot;suffix&quot;:&quot;&quot;},{&quot;dropping-particle&quot;:&quot;&quot;,&quot;family&quot;:&quot;Sieber&quot;,&quot;given&quot;:&quot;Cornel&quot;,&quot;non-dropping-particle&quot;:&quot;&quot;,&quot;parse-names&quot;:false,&quot;suffix&quot;:&quot;&quot;},{&quot;dropping-particle&quot;:&quot;&quot;,&quot;family&quot;:&quot;Souhami&quot;,&quot;given&quot;:&quot;Elisabeth&quot;,&quot;non-dropping-particle&quot;:&quot;&quot;,&quot;parse-names&quot;:false,&quot;suffix&quot;:&quot;&quot;},{&quot;dropping-particle&quot;:&quot;&quot;,&quot;family&quot;:&quot;Verlaan&quot;,&quot;given&quot;:&quot;Sjors&quot;,&quot;non-dropping-particle&quot;:&quot;&quot;,&quot;parse-names&quot;:false,&quot;suffix&quot;:&quot;&quot;},{&quot;dropping-particle&quot;:&quot;&quot;,&quot;family&quot;:&quot;Zamboni&quot;,&quot;given&quot;:&quot;Mauro&quot;,&quot;non-dropping-particle&quot;:&quot;&quot;,&quot;parse-names&quot;:false,&quot;suffix&quot;:&quot;&quot;}],&quot;container-title&quot;:&quot;Journal of the American Medical Directors Association&quot;,&quot;id&quot;:&quot;5117c57e-3665-30b8-8f95-4341bdb14b2c&quot;,&quot;issue&quot;:&quot;4&quot;,&quot;issued&quot;:{&quot;date-parts&quot;:[[&quot;2011&quot;]]},&quot;page&quot;:&quot;249-256&quot;,&quot;publisher&quot;:&quot;Elsevier Inc.&quot;,&quot;title&quot;:&quot;Sarcopenia: An Undiagnosed Condition in Older Adults. Current Consensus Definition: Prevalence, Etiology, and Consequences. International Working Group on Sarcopenia&quot;,&quot;type&quot;:&quot;article-journal&quot;,&quot;volume&quot;:&quot;12&quot;},&quot;uris&quot;:[&quot;http://www.mendeley.com/documents/?uuid=5117c57e-3665-30b8-8f95-4341bdb14b2c&quot;],&quot;isTemporary&quot;:false,&quot;legacyDesktopId&quot;:&quot;5117c57e-3665-30b8-8f95-4341bdb14b2c&quot;}],&quot;properties&quot;:{&quot;noteIndex&quot;:0},&quot;isEdited&quot;:false,&quot;manualOverride&quot;:{&quot;citeprocText&quot;:&quot;[8]&quot;,&quot;isManuallyOverridden&quot;:false,&quot;manualOverrideText&quot;:&quot;&quot;},&quot;citationTag&quot;:&quot;MENDELEY_CITATION_v3_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&quot;},{&quot;citationID&quot;:&quot;MENDELEY_CITATION_69e9f73d-5318-4e54-b322-148e255e1212&quot;,&quot;citationItems&quot;:[{&quot;id&quot;:&quot;279f9cb7-a594-3a34-9908-f5e8933d28b8&quot;,&quot;itemData&quot;:{&quot;DOI&quot;:&quot;10.1038/clpt.2011.258&quot;,&quot;ISSN&quot;:&quot;00099236&quot;,&quot;PMID&quot;:&quot;22297385&quot;,&quot;abstract&quot;:&quot;Evidence about the association between treatment with high-risk medicines and frailty in older individuals is limited. We investigated the relationship between high-risk prescribing and frailty at baseline, as well as 2-year incident frailty, in 1,662 men 70 years of age. High-risk prescribing was defined as polypharmacy (5 medicines), hyperpolypharmacy (10 medicines), and by the Drug Burden Index (DBI), a dose-normalized measure of anticholinergic and sedative medicines. At baseline, frail participants had adjusted odds ratios (ORs) of 2.55 (95% confidence interval, CI: 1.69-3.84) for polypharmacy, 5.80 (95% CI: 2.90-11.61) for hyperpolypharmacy, and 2.33 (95% CI: 1.58-3.45) for DBI exposure, as compared with robust participants. Of the 1,242 men who were robust at baseline, 6.2% developed frailty over two years. Adjusted ORs of incident frailty were 2.45 (95% CI: 1.42-4.23) for polypharmacy, 2.50 (95% CI: 0.76-8.26) for hyperpolypharmacy, and 2.14 (95% CI: 1.25-3.64) for DBI exposure. High-risk prescribing may contribute to frailty in community-dwelling older men. © 2012 american Society for clinical Pharmacology and Therapeutics.&quot;,&quot;author&quot;:[{&quot;dropping-particle&quot;:&quot;&quot;,&quot;family&quot;:&quot;Gnjidic&quot;,&quot;given&quot;:&quot;D.&quot;,&quot;non-dropping-particle&quot;:&quot;&quot;,&quot;parse-names&quot;:false,&quot;suffix&quot;:&quot;&quot;},{&quot;dropping-particle&quot;:&quot;&quot;,&quot;family&quot;:&quot;Hilmer&quot;,&quot;given&quot;:&quot;S. N.&quot;,&quot;non-dropping-particle&quot;:&quot;&quot;,&quot;parse-names&quot;:false,&quot;suffix&quot;:&quot;&quot;},{&quot;dropping-particle&quot;:&quot;&quot;,&quot;family&quot;:&quot;Blyth&quot;,&quot;given&quot;:&quot;F. M.&quot;,&quot;non-dropping-particle&quot;:&quot;&quot;,&quot;parse-names&quot;:false,&quot;suffix&quot;:&quot;&quot;},{&quot;dropping-particle&quot;:&quot;&quot;,&quot;family&quot;:&quot;Naganathan&quot;,&quot;given&quot;:&quot;V.&quot;,&quot;non-dropping-particle&quot;:&quot;&quot;,&quot;parse-names&quot;:false,&quot;suffix&quot;:&quot;&quot;},{&quot;dropping-particle&quot;:&quot;&quot;,&quot;family&quot;:&quot;Cumming&quot;,&quot;given&quot;:&quot;R. G.&quot;,&quot;non-dropping-particle&quot;:&quot;&quot;,&quot;parse-names&quot;:false,&quot;suffix&quot;:&quot;&quot;},{&quot;dropping-particle&quot;:&quot;&quot;,&quot;family&quot;:&quot;Handelsman&quot;,&quot;given&quot;:&quot;D. J.&quot;,&quot;non-dropping-particle&quot;:&quot;&quot;,&quot;parse-names&quot;:false,&quot;suffix&quot;:&quot;&quot;},{&quot;dropping-particle&quot;:&quot;&quot;,&quot;family&quot;:&quot;McLachlan&quot;,&quot;given&quot;:&quot;A. J.&quot;,&quot;non-dropping-particle&quot;:&quot;&quot;,&quot;parse-names&quot;:false,&quot;suffix&quot;:&quot;&quot;},{&quot;dropping-particle&quot;:&quot;&quot;,&quot;family&quot;:&quot;Abernethy&quot;,&quot;given&quot;:&quot;D. R.&quot;,&quot;non-dropping-particle&quot;:&quot;&quot;,&quot;parse-names&quot;:false,&quot;suffix&quot;:&quot;&quot;},{&quot;dropping-particle&quot;:&quot;&quot;,&quot;family&quot;:&quot;Banks&quot;,&quot;given&quot;:&quot;E.&quot;,&quot;non-dropping-particle&quot;:&quot;&quot;,&quot;parse-names&quot;:false,&quot;suffix&quot;:&quot;&quot;},{&quot;dropping-particle&quot;:&quot;&quot;,&quot;family&quot;:&quot;Couteur&quot;,&quot;given&quot;:&quot;D. G.&quot;,&quot;non-dropping-particle&quot;:&quot;Le&quot;,&quot;parse-names&quot;:false,&quot;suffix&quot;:&quot;&quot;}],&quot;container-title&quot;:&quot;Clinical Pharmacology and Therapeutics&quot;,&quot;id&quot;:&quot;279f9cb7-a594-3a34-9908-f5e8933d28b8&quot;,&quot;issue&quot;:&quot;3&quot;,&quot;issued&quot;:{&quot;date-parts&quot;:[[&quot;2012&quot;,&quot;3&quot;]]},&quot;page&quot;:&quot;521-528&quot;,&quot;publisher&quot;:&quot;Clin Pharmacol Ther&quot;,&quot;title&quot;:&quot;High-risk prescribing and incidence of frailty among older community-dwelling men&quot;,&quot;type&quot;:&quot;article-journal&quot;,&quot;volume&quot;:&quot;91&quot;},&quot;uris&quot;:[&quot;http://www.mendeley.com/documents/?uuid=279f9cb7-a594-3a34-9908-f5e8933d28b8&quot;],&quot;isTemporary&quot;:false,&quot;legacyDesktopId&quot;:&quot;279f9cb7-a594-3a34-9908-f5e8933d28b8&quot;},{&quot;id&quot;:&quot;7d9d5776-ad52-391f-be6e-32f722cb676e&quot;,&quot;itemData&quot;:{&quot;DOI&quot;:&quot;10.1093/gerona/glx074&quot;,&quot;ISSN&quot;:&quot;1758535X&quot;,&quot;PMID&quot;:&quot;28481965&quot;,&quot;abstract&quot;:&quot;Background: Sarcopenia affects more than 10% of older adults. Next to age-associated physiologic changes, diseases like diabetes or inflammatory, neurological, malignant and endocrine disorders may contribute to the development of sarcopenia. Likewise, polypharmacy, i.e., multiple drug use, is common among older adults. Although the two conditions frequently co-occur, the association of polypharmacy with sarcopenia has not yet been examined. We investigated the association of polypharmacy and sarcopenia in a large cohort of community-dwelling older adults (60-84 years). Methods: Thousand five hundred and two participants from the Berlin Aging Study II were included. Polypharmacy was defined as concurrent use of 5 or more drugs (prescription and nonprescription). Body composition was assessed with dual-energy X-ray absorptiometry, and appendicular lean mass (ALM) was calculated as sum of the four limbs' lean mass. Sarcopenia was defined as low ALM-to-body mass index (BMI)-ratio using validated sex-specific cutoffs. Results: Mean age was 68.7 ± 3.7 years, 50.7% were female. The median (interquartile range) number of drugs was 2 (1-4); 21.1% of subjects reported regular use of ≥5 drugs. Subjects with polypharmacy were more often sarcopenic according to the applied ALM/BMI-cutoffs (16.3% vs 6.9%, p &lt; 0.001), with a higher BMI (p &lt; 0.001) and lower ALM/BMI (p &lt; 0.001), but no significant difference in mean ALM. Notably, polypharmacy was also associated with higher rates of reduced gait speed and exhaustion. Even after multivariable adjustment (sex, age, comorbid conditions and physical activity) polypharmacy was consistently associated with a significantly increased likelihood of sarcopenia (odds ratio = 2.24, 95% confidence interval [CI] = 1.33-3.75). Conclusion: Polypharmacy is associated with clinically relevant sarcopenia, as assessed by a low ALM/BMI.&quot;,&quot;author&quot;:[{&quot;dropping-particle&quot;:&quot;&quot;,&quot;family&quot;:&quot;König&quot;,&quot;given&quot;:&quot;Maximilian&quot;,&quot;non-dropping-particle&quot;:&quot;&quot;,&quot;parse-names&quot;:false,&quot;suffix&quot;:&quot;&quot;},{&quot;dropping-particle&quot;:&quot;&quot;,&quot;family&quot;:&quot;Spira&quot;,&quot;given&quot;:&quot;Dominik&quot;,&quot;non-dropping-particle&quot;:&quot;&quot;,&quot;parse-names&quot;:false,&quot;suffix&quot;:&quot;&quot;},{&quot;dropping-particle&quot;:&quot;&quot;,&quot;family&quot;:&quot;Demuth&quot;,&quot;given&quot;:&quot;Ilja&quot;,&quot;non-dropping-particle&quot;:&quot;&quot;,&quot;parse-names&quot;:false,&quot;suffix&quot;:&quot;&quot;},{&quot;dropping-particle&quot;:&quot;&quot;,&quot;family&quot;:&quot;Steinhagen-Thiessen&quot;,&quot;given&quot;:&quot;Elisabeth&quot;,&quot;non-dropping-particle&quot;:&quot;&quot;,&quot;parse-names&quot;:false,&quot;suffix&quot;:&quot;&quot;},{&quot;dropping-particle&quot;:&quot;&quot;,&quot;family&quot;:&quot;Norman&quot;,&quot;given&quot;:&quot;Kristina&quot;,&quot;non-dropping-particle&quot;:&quot;&quot;,&quot;parse-names&quot;:false,&quot;suffix&quot;:&quot;&quot;}],&quot;container-title&quot;:&quot;The journals of gerontology. Series A, Biological sciences and medical sciences&quot;,&quot;id&quot;:&quot;7d9d5776-ad52-391f-be6e-32f722cb676e&quot;,&quot;issue&quot;:&quot;1&quot;,&quot;issued&quot;:{&quot;date-parts&quot;:[[&quot;2017&quot;,&quot;12&quot;,&quot;12&quot;]]},&quot;page&quot;:&quot;117-122&quot;,&quot;publisher&quot;:&quot;J Gerontol A Biol Sci Med Sci&quot;,&quot;title&quot;:&quot;Polypharmacy as a Risk Factor for Clinically Relevant Sarcopenia: Results From the Berlin Aging Study II&quot;,&quot;type&quot;:&quot;article-journal&quot;,&quot;volume&quot;:&quot;73&quot;},&quot;uris&quot;:[&quot;http://www.mendeley.com/documents/?uuid=7d9d5776-ad52-391f-be6e-32f722cb676e&quot;],&quot;isTemporary&quot;:false,&quot;legacyDesktopId&quot;:&quot;7d9d5776-ad52-391f-be6e-32f722cb676e&quot;}],&quot;properties&quot;:{&quot;noteIndex&quot;:0},&quot;isEdited&quot;:false,&quot;manualOverride&quot;:{&quot;citeprocText&quot;:&quot;[9, 10]&quot;,&quot;isManuallyOverridden&quot;:false,&quot;manualOverrideText&quot;:&quot;&quot;},&quot;citationTag&quot;:&quot;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&quot;},{&quot;citationID&quot;:&quot;MENDELEY_CITATION_a33dddd6-18c2-4f5a-84a8-62e4c24a87f4&quot;,&quot;citationItems&quot;:[{&quot;id&quot;:&quot;d7f014ff-90a6-34e2-bf4f-da485f825741&quot;,&quot;itemData&quot;:{&quot;DOI&quot;:&quot;10.1111/imj.13935&quot;,&quot;ISSN&quot;:&quot;14455994&quot;,&quot;PMID&quot;:&quot;29665258&quot;,&quot;abstract&quot;:&quot;Background: Sarcopenia, obesity, and sarcopenic obesity are various features of the ageing process that can cause important health issues. The present study was undertaken to investigate the interrelationship between those body composition changes, including their clinical components and the quality-of-life variables. Methods: A total of 423 individuals aged 65 years or older was included in this cross-sectional study. Sarcopenia was diagnosed according to The European Working Group on Sarcopenia in Older People criteria. Body composition parameters were measured with a bioelectrical impedance analyser, and Turkish population-based cut-off points were preferred for diagnosis of sarcopenia. Comprehensive geriatric assessment was performed on all patients. A logistic regression analysis was performed to identify important factors for sarcopenia and sarcopenic obesity. Results: The prevalence of sarcopenic, obese and sarcopenic obese subjects was 14%, 35% and 11% respectively. The lowest mean gait speed and hand grip strength values were seen in the sarcopenic obese group (0.6 ± 0.3 m/s and 19.7 ± 9.8 kg respectively). Sarcopenic obese participants were associated with the highest rate for fall risk. The scores for domains of health-related quality of life were worse in both obesity and sarcopenic obesity when compared to others. Body mass index (BMI), number of drugs used, total body fat ratio and geriatric depression scale-short form scores were negatively correlated with all dimensions of SF-36 quality-of-life scale. Conclusions: Sarcopenia, obesity and sarcopenic obesity are associated with many negative health outcomes, such as high fall risk and low health-related quality of life in geriatric population.&quot;,&quot;author&quot;:[{&quot;dropping-particle&quot;:&quot;&quot;,&quot;family&quot;:&quot;Öztürk&quot;,&quot;given&quot;:&quot;Zeynel Abidin&quot;,&quot;non-dropping-particle&quot;:&quot;&quot;,&quot;parse-names&quot;:false,&quot;suffix&quot;:&quot;&quot;},{&quot;dropping-particle&quot;:&quot;&quot;,&quot;family&quot;:&quot;Türkbeyler&quot;,&quot;given&quot;:&quot;İbrahim Halil&quot;,&quot;non-dropping-particle&quot;:&quot;&quot;,&quot;parse-names&quot;:false,&quot;suffix&quot;:&quot;&quot;},{&quot;dropping-particle&quot;:&quot;&quot;,&quot;family&quot;:&quot;Abiyev&quot;,&quot;given&quot;:&quot;Azer&quot;,&quot;non-dropping-particle&quot;:&quot;&quot;,&quot;parse-names&quot;:false,&quot;suffix&quot;:&quot;&quot;},{&quot;dropping-particle&quot;:&quot;&quot;,&quot;family&quot;:&quot;Kul&quot;,&quot;given&quot;:&quot;Seval&quot;,&quot;non-dropping-particle&quot;:&quot;&quot;,&quot;parse-names&quot;:false,&quot;suffix&quot;:&quot;&quot;},{&quot;dropping-particle&quot;:&quot;&quot;,&quot;family&quot;:&quot;Edizer&quot;,&quot;given&quot;:&quot;Bahadır&quot;,&quot;non-dropping-particle&quot;:&quot;&quot;,&quot;parse-names&quot;:false,&quot;suffix&quot;:&quot;&quot;},{&quot;dropping-particle&quot;:&quot;&quot;,&quot;family&quot;:&quot;Yakaryılmaz&quot;,&quot;given&quot;:&quot;Funda Datli&quot;,&quot;non-dropping-particle&quot;:&quot;&quot;,&quot;parse-names&quot;:false,&quot;suffix&quot;:&quot;&quot;},{&quot;dropping-particle&quot;:&quot;&quot;,&quot;family&quot;:&quot;Soylu&quot;,&quot;given&quot;:&quot;Gülçimen&quot;,&quot;non-dropping-particle&quot;:&quot;&quot;,&quot;parse-names&quot;:false,&quot;suffix&quot;:&quot;&quot;}],&quot;container-title&quot;:&quot;Internal Medicine Journal&quot;,&quot;id&quot;:&quot;d7f014ff-90a6-34e2-bf4f-da485f825741&quot;,&quot;issue&quot;:&quot;8&quot;,&quot;issued&quot;:{&quot;date-parts&quot;:[[&quot;2018&quot;,&quot;8&quot;,&quot;1&quot;]]},&quot;page&quot;:&quot;973-981&quot;,&quot;publisher&quot;:&quot;Blackwell Publishing&quot;,&quot;title&quot;:&quot;Health-related quality of life and fall risk associated with age-related body composition changes; sarcopenia, obesity and sarcopenic obesity&quot;,&quot;type&quot;:&quot;article-journal&quot;,&quot;volume&quot;:&quot;48&quot;},&quot;uris&quot;:[&quot;http://www.mendeley.com/documents/?uuid=d7f014ff-90a6-34e2-bf4f-da485f825741&quot;],&quot;isTemporary&quot;:false,&quot;legacyDesktopId&quot;:&quot;d7f014ff-90a6-34e2-bf4f-da485f825741&quot;},{&quot;id&quot;:&quot;57af2012-e7aa-3d15-a662-84718128420a&quot;,&quot;itemData&quot;:{&quot;DOI&quot;:&quot;10.1136/jech-2015-206717&quot;,&quot;ISSN&quot;:&quot;14702738&quot;,&quot;PMID&quot;:&quot;26783304&quot;,&quot;abstract&quot;:&quot;Background With growing numbers of older people worldwide, improving and maintaining quality of life during the extended years of life are a major focus for healthcare providers and policymakers. Some studies have suggested frailty may be associated with worse quality of life. Objectives To review the associations between frailty and quality of life among community-dwelling older people. Methods A systematic literature search was performed using five databases for cross-sectional and longitudinal studies examining associations between frailty and quality of life among community-dwelling older people published in 2000 or later. Reference lists of relevant studies were also manually searched. Authors were requested for data for a meta-analysis if necessary. Meta-analysis was attempted for studies using the same frailty criteria and quality-of-life instrument. Methodological quality, heterogeneity and publication bias were assessed. Results The systematic review identified 5145 studies, among which 11 cross-sectional studies and two longitudinal studies were included in this review. Metaanalysis including four cross-sectional studies using the Fried Phenotype and 36-Item Short Form Health Survey showed that those classified as frail and prefrail had significantly lower mental and physical quality-of-life scores than those classified as non-frail. High heterogeneity and possible publication bias were noted. Conclusions This systematic review and meta-analysis has demonstrated the evidence of a consistent inverse association between frailty/prefrailty and quality of life among community-dwelling older people. Interventions targeted at reducing frailty may have the additional benefit of improving corresponding quality of life. More longitudinal analysis is required to determine this effect.&quot;,&quot;author&quot;:[{&quot;dropping-particle&quot;:&quot;&quot;,&quot;family&quot;:&quot;Kojima&quot;,&quot;given&quot;:&quot;Gotaro&quot;,&quot;non-dropping-particle&quot;:&quot;&quot;,&quot;parse-names&quot;:false,&quot;suffix&quot;:&quot;&quot;},{&quot;dropping-particle&quot;:&quot;&quot;,&quot;family&quot;:&quot;Iliffe&quot;,&quot;given&quot;:&quot;Steve&quot;,&quot;non-dropping-particle&quot;:&quot;&quot;,&quot;parse-names&quot;:false,&quot;suffix&quot;:&quot;&quot;},{&quot;dropping-particle&quot;:&quot;&quot;,&quot;family&quot;:&quot;Jivraj&quot;,&quot;given&quot;:&quot;Stephen&quot;,&quot;non-dropping-particle&quot;:&quot;&quot;,&quot;parse-names&quot;:false,&quot;suffix&quot;:&quot;&quot;},{&quot;dropping-particle&quot;:&quot;&quot;,&quot;family&quot;:&quot;Walters&quot;,&quot;given&quot;:&quot;Kate&quot;,&quot;non-dropping-particle&quot;:&quot;&quot;,&quot;parse-names&quot;:false,&quot;suffix&quot;:&quot;&quot;}],&quot;container-title&quot;:&quot;Journal of Epidemiology and Community Health&quot;,&quot;id&quot;:&quot;57af2012-e7aa-3d15-a662-84718128420a&quot;,&quot;issue&quot;:&quot;7&quot;,&quot;issued&quot;:{&quot;date-parts&quot;:[[&quot;2016&quot;,&quot;7&quot;,&quot;1&quot;]]},&quot;page&quot;:&quot;716-721&quot;,&quot;publisher&quot;:&quot;BMJ Publishing Group&quot;,&quot;title&quot;:&quot;Association between frailty and quality of life among community-dwelling older people: A systematic review and meta-analysis&quot;,&quot;type&quot;:&quot;article&quot;,&quot;volume&quot;:&quot;70&quot;},&quot;uris&quot;:[&quot;http://www.mendeley.com/documents/?uuid=57af2012-e7aa-3d15-a662-84718128420a&quot;],&quot;isTemporary&quot;:false,&quot;legacyDesktopId&quot;:&quot;57af2012-e7aa-3d15-a662-84718128420a&quot;},{&quot;id&quot;:&quot;dce46723-c0ff-52be-b9d5-f74306f76ba0&quot;,&quot;itemData&quot;:{&quot;ISSN&quot;:&quot;1079-5006&quot;,&quot;abstract&quot;:&quot;BACKGROUND: Frailty is considered highly prevalent in old age and to confer high risk for falls, disability, hospitalization, and mortality. Frailty has been considered synonymous with disability, comorbidity, and other characteristics, but it is recognized that it may have a biologic basis and be a distinct clinical syndrome. A standardized definition has not yet been established. METHODS: To develop and operationalize a phenotype of frailty in older adults and assess concurrent and predictive validity, the study used data from the Cardiovascular Health Study. Participants were 5,317 men and women 65 years and older (4,735 from an original cohort recruited in 1989-90 and 582 from an African American cohort recruited in 1992-93). Both cohorts received almost identical baseline evaluations and 7 and 4 years of follow-up, respectively, with annual examinations and surveillance for outcomes including incident disease, hospitalization, falls, disability, and mortality. RESULTS: Frailty was defined as a clinical syndrome in which three or more of the following criteria were present: unintentional weight loss (10 lbs in past year), self-reported exhaustion, weakness (grip strength), slow walking speed, and low physical activity. The overall prevalence of frailty in this community-dwelling population was 6.9%; it increased with age and was greater in women than men. Four-year incidence was 7.2%. Frailty was associated with being African American, having lower education and income, poorer health, and having higher rates of comorbid chronic diseases and disability. There was overlap, but not concordance, in the cooccurrence of frailty, comorbidity, and disability. This frailty phenotype was independently predictive (over 3 years) of incident falls, worsening mobility or ADL disability, hospitalization, and death, with hazard ratios ranging from 1.82 to 4.46, unadjusted, and 1.29-2.24, adjusted for a number of health, disease, and social characteristics predictive of 5-year mortality. Intermediate frailty status, as indicated by the presence of one or two criteria, showed intermediate risk of these outcomes as well as increased risk of becoming frail over 3-4 years of follow-up (odds ratios for incident frailty = 4.51 unadjusted and 2.63 adjusted for covariates, compared to those with no frailty criteria at baseline). CONCLUSIONS: This study provides a potential standardized definition for frailty in community-dwelling older adults and offers concurrent and predi…&quot;,&quot;author&quot;:[{&quot;dropping-particle&quot;:&quot;&quot;,&quot;family&quot;:&quot;Fried&quot;,&quot;given&quot;:&quot;L P&quot;,&quot;non-dropping-particle&quot;:&quot;&quot;,&quot;parse-names&quot;:false,&quot;suffix&quot;:&quot;&quot;},{&quot;dropping-particle&quot;:&quot;&quot;,&quot;family&quot;:&quot;Tangen&quot;,&quot;given&quot;:&quot;C M&quot;,&quot;non-dropping-particle&quot;:&quot;&quot;,&quot;parse-names&quot;:false,&quot;suffix&quot;:&quot;&quot;},{&quot;dropping-particle&quot;:&quot;&quot;,&quot;family&quot;:&quot;Walston&quot;,&quot;given&quot;:&quot;J&quot;,&quot;non-dropping-particle&quot;:&quot;&quot;,&quot;parse-names&quot;:false,&quot;suffix&quot;:&quot;&quot;},{&quot;dropping-particle&quot;:&quot;&quot;,&quot;family&quot;:&quot;Newman&quot;,&quot;given&quot;:&quot;A B&quot;,&quot;non-dropping-particle&quot;:&quot;&quot;,&quot;parse-names&quot;:false,&quot;suffix&quot;:&quot;&quot;},{&quot;dropping-particle&quot;:&quot;&quot;,&quot;family&quot;:&quot;Hirsch&quot;,&quot;given&quot;:&quot;C&quot;,&quot;non-dropping-particle&quot;:&quot;&quot;,&quot;parse-names&quot;:false,&quot;suffix&quot;:&quot;&quot;},{&quot;dropping-particle&quot;:&quot;&quot;,&quot;family&quot;:&quot;Gottdiener&quot;,&quot;given&quot;:&quot;J&quot;,&quot;non-dropping-particle&quot;:&quot;&quot;,&quot;parse-names&quot;:false,&quot;suffix&quot;:&quot;&quot;},{&quot;dropping-particle&quot;:&quot;&quot;,&quot;family&quot;:&quot;Seeman&quot;,&quot;given&quot;:&quot;T&quot;,&quot;non-dropping-particle&quot;:&quot;&quot;,&quot;parse-names&quot;:false,&quot;suffix&quot;:&quot;&quot;},{&quot;dropping-particle&quot;:&quot;&quot;,&quot;family&quot;:&quot;Tracy&quot;,&quot;given&quot;:&quot;R&quot;,&quot;non-dropping-particle&quot;:&quot;&quot;,&quot;parse-names&quot;:false,&quot;suffix&quot;:&quot;&quot;},{&quot;dropping-particle&quot;:&quot;&quot;,&quot;family&quot;:&quot;Kop&quot;,&quot;given&quot;:&quot;W J&quot;,&quot;non-dropping-particle&quot;:&quot;&quot;,&quot;parse-names&quot;:false,&quot;suffix&quot;:&quot;&quot;},{&quot;dropping-particle&quot;:&quot;&quot;,&quot;family&quot;:&quot;Burke&quot;,&quot;given&quot;:&quot;G&quot;,&quot;non-dropping-particle&quot;:&quot;&quot;,&quot;parse-names&quot;:false,&quot;suffix&quot;:&quot;&quot;},{&quot;dropping-particle&quot;:&quot;&quot;,&quot;family&quot;:&quot;McBurnie&quot;,&quot;given&quot;:&quot;M A&quot;,&quot;non-dropping-particle&quot;:&quot;&quot;,&quot;parse-names&quot;:false,&quot;suffix&quot;:&quot;&quot;},{&quot;dropping-particle&quot;:&quot;&quot;,&quot;family&quot;:&quot;Group&quot;,&quot;given&quot;:&quot;Cardiovascular Health Study Collaborative Research&quot;,&quot;non-dropping-particle&quot;:&quot;&quot;,&quot;parse-names&quot;:false,&quot;suffix&quot;:&quot;&quot;}],&quot;container-title&quot;:&quot;The Journals of Gerontology. Series A, Biological Sciences and Medical Sciences&quot;,&quot;id&quot;:&quot;dce46723-c0ff-52be-b9d5-f74306f76ba0&quot;,&quot;issue&quot;:&quot;3&quot;,&quot;issued&quot;:{&quot;date-parts&quot;:[[&quot;2001&quot;]]},&quot;language&quot;:&quot;eng&quot;,&quot;page&quot;:&quot;M146-156&quot;,&quot;title&quot;:&quot;Frailty in older adults: evidence for a phenotype&quot;,&quot;type&quot;:&quot;article-journal&quot;,&quot;volume&quot;:&quot;56&quot;},&quot;uris&quot;:[&quot;http://www.mendeley.com/documents/?uuid=95647758-7dd7-439d-a33f-52ab099d9056&quot;],&quot;isTemporary&quot;:false,&quot;legacyDesktopId&quot;:&quot;95647758-7dd7-439d-a33f-52ab099d9056&quot;}],&quot;properties&quot;:{&quot;noteIndex&quot;:0},&quot;isEdited&quot;:false,&quot;manualOverride&quot;:{&quot;citeprocText&quot;:&quot;[11–13]&quot;,&quot;isManuallyOverridden&quot;:false,&quot;manualOverrideText&quot;:&quot;&quot;},&quot;citationTag&quot;:&quot;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&quot;},{&quot;citationID&quot;:&quot;MENDELEY_CITATION_8fa990c6-519f-42ae-957a-b4642b663fa8&quot;,&quot;citationItems&quot;:[{&quot;id&quot;:&quot;21a4d38e-7274-39c7-b4e5-7183667d4bd3&quot;,&quot;itemData&quot;:{&quot;DOI&quot;:&quot;10.1111/1747-0080.12287&quot;,&quot;ISSN&quot;:&quot;17470080&quot;,&quot;PMID&quot;:&quot;28731551&quot;,&quot;abstract&quot;:&quot;Aim: The impact of sarcopenia on hospitalisation has been under intense investigation; however, little is known about the association between sarcopenia and their costs among hospitalised patients. The aim of the present study was to quantify the association between sarcopenia and hospitalisation costs among older adults. Methods: A cross-sectional study was conducted in 201 hospitalised older adults in a general hospital. Sarcopenia was identified according to the European Working Group on Sarcopenia in Older People (EWGSOP) criteria. Muscle mass was assessed by anthropometric measurements, muscle strength through handgrip strength evaluation and physical performance by Timed Up and Go Test. Nutritional status was evaluated using the Mini Nutritional Assessment—Short Form (MNA-SF), and hospital costs were assessed with the Diagnosis Related Groups (DRGs) system. Multivariable logistic regression models were fitted to quantify the association between sarcopenia and hospital costs. Increased hospital costs were considered when a patients′ cost was higher than the mean cost of an average patient (€2396.24). Results: Within this sample, 10.4% sarcopenic, 43.8% at nutritional risk and 14.9% undernourished older adults were identified. After adjustment, sarcopenia (OR = 5.70, 95% CI 1.57–20.71) and low muscle strength (OR = 2.40, 95% CI 1.12–5.15) were associated with increased hospital costs. Conclusions: Sarcopenia and low muscle strength at hospital admission were independently associated with increased hospital costs.&quot;,&quot;author&quot;:[{&quot;dropping-particle&quot;:&quot;&quot;,&quot;family&quot;:&quot;Antunes&quot;,&quot;given&quot;:&quot;Ana C.&quot;,&quot;non-dropping-particle&quot;:&quot;&quot;,&quot;parse-names&quot;:false,&quot;suffix&quot;:&quot;&quot;},{&quot;dropping-particle&quot;:&quot;&quot;,&quot;family&quot;:&quot;Araújo&quot;,&quot;given&quot;:&quot;Daniela A.&quot;,&quot;non-dropping-particle&quot;:&quot;&quot;,&quot;parse-names&quot;:false,&quot;suffix&quot;:&quot;&quot;},{&quot;dropping-particle&quot;:&quot;&quot;,&quot;family&quot;:&quot;Veríssimo&quot;,&quot;given&quot;:&quot;Manuel T.&quot;,&quot;non-dropping-particle&quot;:&quot;&quot;,&quot;parse-names&quot;:false,&quot;suffix&quot;:&quot;&quot;},{&quot;dropping-particle&quot;:&quot;&quot;,&quot;family&quot;:&quot;Amaral&quot;,&quot;given&quot;:&quot;Teresa F.&quot;,&quot;non-dropping-particle&quot;:&quot;&quot;,&quot;parse-names&quot;:false,&quot;suffix&quot;:&quot;&quot;}],&quot;container-title&quot;:&quot;Nutrition and Dietetics&quot;,&quot;id&quot;:&quot;21a4d38e-7274-39c7-b4e5-7183667d4bd3&quot;,&quot;issue&quot;:&quot;1&quot;,&quot;issued&quot;:{&quot;date-parts&quot;:[[&quot;2017&quot;,&quot;2&quot;,&quot;1&quot;]]},&quot;page&quot;:&quot;46-50&quot;,&quot;publisher&quot;:&quot;Blackwell Publishing Ltd&quot;,&quot;title&quot;:&quot;Sarcopenia and hospitalisation costs in older adults: a cross-sectional study&quot;,&quot;type&quot;:&quot;article-journal&quot;,&quot;volume&quot;:&quot;74&quot;},&quot;uris&quot;:[&quot;http://www.mendeley.com/documents/?uuid=21a4d38e-7274-39c7-b4e5-7183667d4bd3&quot;],&quot;isTemporary&quot;:false,&quot;legacyDesktopId&quot;:&quot;21a4d38e-7274-39c7-b4e5-7183667d4bd3&quot;},{&quot;id&quot;:&quot;75c0e68c-4dc1-53a6-8076-c32bb99ad9ea&quot;,&quot;itemData&quot;:{&quot;DOI&quot;:&quot;10.1111/1475-6773.12211&quot;,&quot;ISSN&quot;:&quot;14756773&quot;,&quot;abstract&quot;:&quot;Objective To examine the patterns of health care utilization by the elderly and test the influence of functional decline. Data Source and Study Design We used the three regular waves of the SHARE survey to estimate the influence of frailty on health care utilization in 10 European countries. We controlled for the main correlates of frailty and unobserved individual effects. Results The frail elderly increase their primary and hospital care utilization before the onset of disability. Multimorbidity moderates the effect of frailty on care utilization. Conclusions The prevalence of frailty is high in most countries and is expected to increase. This renders frailty prevention and remediation efforts imperative for two complementary reasons: to promote healthier aging and to reduce the burden on health systems.&quot;,&quot;author&quot;:[{&quot;dropping-particle&quot;:&quot;&quot;,&quot;family&quot;:&quot;Ilinca&quot;,&quot;given&quot;:&quot;Stefania&quot;,&quot;non-dropping-particle&quot;:&quot;&quot;,&quot;parse-names&quot;:false,&quot;suffix&quot;:&quot;&quot;},{&quot;dropping-particle&quot;:&quot;&quot;,&quot;family&quot;:&quot;Calciolari&quot;,&quot;given&quot;:&quot;Stefano&quot;,&quot;non-dropping-particle&quot;:&quot;&quot;,&quot;parse-names&quot;:false,&quot;suffix&quot;:&quot;&quot;}],&quot;container-title&quot;:&quot;Health Services Research&quot;,&quot;id&quot;:&quot;75c0e68c-4dc1-53a6-8076-c32bb99ad9ea&quot;,&quot;issue&quot;:&quot;1&quot;,&quot;issued&quot;:{&quot;date-parts&quot;:[[&quot;2015&quot;,&quot;2&quot;,&quot;1&quot;]]},&quot;page&quot;:&quot;305-320&quot;,&quot;publisher&quot;:&quot;Blackwell Publishing Inc.&quot;,&quot;title&quot;:&quot;The patterns of health care utilization by elderly Europeans: Frailty and its implications for health systems&quot;,&quot;type&quot;:&quot;article-journal&quot;,&quot;volume&quot;:&quot;50&quot;},&quot;uris&quot;:[&quot;http://www.mendeley.com/documents/?uuid=48130d8c-4d5b-3432-8a15-6c9eda9a8e4b&quot;],&quot;isTemporary&quot;:false,&quot;legacyDesktopId&quot;:&quot;48130d8c-4d5b-3432-8a15-6c9eda9a8e4b&quot;},{&quot;id&quot;:&quot;7368955f-b567-5d83-9ce9-0193a1a6c3c5&quot;,&quot;itemData&quot;:{&quot;DOI&quot;:&quot;10.1111/1475-6773.12518&quot;,&quot;ISSN&quot;:&quot;14756773&quot;,&quot;abstract&quot;:&quot;Objective: Hospital services use, which is a major driver of total health expenditures, is expected to rise over the next decades in Europe, especially because of population aging. The purpose of this article is to better understand the dynamics of older people's demand for hospital care over time in a cross-country setting. Data source: We used data from the Survey on Health, Ageing, and Retirement in Europe (SHARE), in 10 countries between 2004 and 2011. Study Design: We estimated a dynamic panel model of hospital admission for respondents aged 50 years or more. Principal Findings: Following prior research, we found evidence of state dependence in hospital use over time. We also found that rise in frailty—among other health covariates—is a strong predictor of increased hospital use. Progression by one point on the frailty scale [0;5] is associated with an additional risk of about 2.1 percent on average. Conclusions: Our results support promotion of early detection of frailty in primary care, and improvement of coordination between actors within the health system, as potential strategies to reduce avoidable or unnecessary hospital use among frail elderly.&quot;,&quot;author&quot;:[{&quot;dropping-particle&quot;:&quot;&quot;,&quot;family&quot;:&quot;Sirven&quot;,&quot;given&quot;:&quot;Nicolas&quot;,&quot;non-dropping-particle&quot;:&quot;&quot;,&quot;parse-names&quot;:false,&quot;suffix&quot;:&quot;&quot;},{&quot;dropping-particle&quot;:&quot;&quot;,&quot;family&quot;:&quot;Rapp&quot;,&quot;given&quot;:&quot;Thomas&quot;,&quot;non-dropping-particle&quot;:&quot;&quot;,&quot;parse-names&quot;:false,&quot;suffix&quot;:&quot;&quot;}],&quot;container-title&quot;:&quot;Health Services Research&quot;,&quot;id&quot;:&quot;7368955f-b567-5d83-9ce9-0193a1a6c3c5&quot;,&quot;issue&quot;:&quot;3&quot;,&quot;issued&quot;:{&quot;date-parts&quot;:[[&quot;2017&quot;,&quot;6&quot;,&quot;1&quot;]]},&quot;page&quot;:&quot;1168-1184&quot;,&quot;publisher&quot;:&quot;Blackwell Publishing Inc.&quot;,&quot;title&quot;:&quot;The Dynamics of Hospital Use among Older People Evidence for Europe Using SHARE Data&quot;,&quot;type&quot;:&quot;article-journal&quot;,&quot;volume&quot;:&quot;52&quot;},&quot;uris&quot;:[&quot;http://www.mendeley.com/documents/?uuid=20cee192-91c3-3dc5-adaf-3a15ffeebc44&quot;],&quot;isTemporary&quot;:false,&quot;legacyDesktopId&quot;:&quot;20cee192-91c3-3dc5-adaf-3a15ffeebc44&quot;},{&quot;id&quot;:&quot;22a06cc0-89f9-50c2-a52c-9f7d1b49a714&quot;,&quot;itemData&quot;:{&quot;ISSN&quot;:&quot;1565-1088&quot;,&quot;abstract&quot;:&quot;BACKGROUND: Frailty is a dynamic process with transitions over time. OBJECTIVES: To examine frailty transitions and their relationship to utilization of health services. METHODS: Frailty status using the Vulnerable Elders Survey (VES-13) was determined for 608 community-dwelling older people interviewed in a 2008 national survey and for 281 re-interviewed in 2014. The effect of frailty on death 6 years later was assessed using Cox proportional hazards analysis. Participants were divided into four groups based on their frailty transition. Demographic, functional and health characteristics were compared between the four groups using the Kruskal-Wallis and paired t-test. The independent association between the four frailty groups and health services utilization was assessed using logistic regression. RESULTS: Between 2008 and 2014, 24% of 608 participants were lost to follow-up, 9% were non- frail, 37% were frail, and 30% died. The Cox ratio showed that 86% of the non-frail in 2008 were alive 6 years later vs. 52% of the frail (hazard ratio 3.5, confidence interval 2.2-5.4). Frailty transitions in the 281 participants interviewed at both time points revealed that 19% stayed non-frail, 22% became frail, 22% stayed frail and 37% became more frail. Becoming frail, staying frail or becoming more frail compared to staying non-frail was independently associated with a greater risk for requiring help on a regular basis, having a formal caregiver, and requiring home care. CONCLUSIONS: Any transition away from the non-frail state increased the use of health care services. Interventions to target early transition to frailty should be encouraged.&quot;,&quot;author&quot;:[{&quot;dropping-particle&quot;:&quot;&quot;,&quot;family&quot;:&quot;Bentur&quot;,&quot;given&quot;:&quot;Netta&quot;,&quot;non-dropping-particle&quot;:&quot;&quot;,&quot;parse-names&quot;:false,&quot;suffix&quot;:&quot;&quot;},{&quot;dropping-particle&quot;:&quot;&quot;,&quot;family&quot;:&quot;Sternberg&quot;,&quot;given&quot;:&quot;Shelley A&quot;,&quot;non-dropping-particle&quot;:&quot;&quot;,&quot;parse-names&quot;:false,&quot;suffix&quot;:&quot;&quot;},{&quot;dropping-particle&quot;:&quot;&quot;,&quot;family&quot;:&quot;Shuldiner&quot;,&quot;given&quot;:&quot;Jennifer&quot;,&quot;non-dropping-particle&quot;:&quot;&quot;,&quot;parse-names&quot;:false,&quot;suffix&quot;:&quot;&quot;}],&quot;container-title&quot;:&quot;The Israel Medical Association journal: IMAJ&quot;,&quot;id&quot;:&quot;22a06cc0-89f9-50c2-a52c-9f7d1b49a714&quot;,&quot;issue&quot;:&quot;8&quot;,&quot;issued&quot;:{&quot;date-parts&quot;:[[&quot;2016&quot;]]},&quot;language&quot;:&quot;eng&quot;,&quot;page&quot;:&quot;449-453&quot;,&quot;title&quot;:&quot;Frailty Transitions in Community Dwelling Older People&quot;,&quot;type&quot;:&quot;article-journal&quot;,&quot;volume&quot;:&quot;18&quot;},&quot;uris&quot;:[&quot;http://www.mendeley.com/documents/?uuid=39fd6d26-7068-463e-814f-d0c584eb13f9&quot;],&quot;isTemporary&quot;:false,&quot;legacyDesktopId&quot;:&quot;39fd6d26-7068-463e-814f-d0c584eb13f9&quot;}],&quot;properties&quot;:{&quot;noteIndex&quot;:0},&quot;isEdited&quot;:false,&quot;manualOverride&quot;:{&quot;citeprocText&quot;:&quot;[4, 14–16]&quot;,&quot;isManuallyOverridden&quot;:false,&quot;manualOverrideText&quot;:&quot;&quot;},&quot;citationTag&quot;:&quot;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&quot;},{&quot;citationID&quot;:&quot;MENDELEY_CITATION_aadaf818-fc36-404d-96e7-30b4b893293b&quot;,&quot;citationItems&quot;:[{&quot;id&quot;:&quot;20ce3c22-77d2-3d9c-bc82-a45d7a3b505e&quot;,&quot;itemData&quot;:{&quot;DOI&quot;:&quot;10.1093/ageing/afw247&quot;,&quot;ISSN&quot;:&quot;0002-0729, 1468-2834&quot;,&quot;author&quot;:[{&quot;dropping-particle&quot;:&quot;&quot;,&quot;family&quot;:&quot;Puts&quot;,&quot;given&quot;:&quot;Martine T E&quot;,&quot;non-dropping-particle&quot;:&quot;&quot;,&quot;parse-names&quot;:false,&quot;suffix&quot;:&quot;&quot;},{&quot;dropping-particle&quot;:&quot;&quot;,&quot;family&quot;:&quot;Toubasi&quot;,&quot;given&quot;:&quot;Samar&quot;,&quot;non-dropping-particle&quot;:&quot;&quot;,&quot;parse-names&quot;:false,&quot;suffix&quot;:&quot;&quot;},{&quot;dropping-particle&quot;:&quot;&quot;,&quot;family&quot;:&quot;Andrew&quot;,&quot;given&quot;:&quot;Melissa K&quot;,&quot;non-dropping-particle&quot;:&quot;&quot;,&quot;parse-names&quot;:false,&quot;suffix&quot;:&quot;&quot;},{&quot;dropping-particle&quot;:&quot;&quot;,&quot;family&quot;:&quot;Ashe&quot;,&quot;given&quot;:&quot;Maureen C&quot;,&quot;non-dropping-particle&quot;:&quot;&quot;,&quot;parse-names&quot;:false,&quot;suffix&quot;:&quot;&quot;},{&quot;dropping-particle&quot;:&quot;&quot;,&quot;family&quot;:&quot;Ploeg&quot;,&quot;given&quot;:&quot;Jenny&quot;,&quot;non-dropping-particle&quot;:&quot;&quot;,&quot;parse-names&quot;:false,&quot;suffix&quot;:&quot;&quot;},{&quot;dropping-particle&quot;:&quot;&quot;,&quot;family&quot;:&quot;Atkinson&quot;,&quot;given&quot;:&quot;Esther&quot;,&quot;non-dropping-particle&quot;:&quot;&quot;,&quot;parse-names&quot;:false,&quot;suffix&quot;:&quot;&quot;},{&quot;dropping-particle&quot;:&quot;&quot;,&quot;family&quot;:&quot;Ayala&quot;,&quot;given&quot;:&quot;Ana Patricia&quot;,&quot;non-dropping-particle&quot;:&quot;&quot;,&quot;parse-names&quot;:false,&quot;suffix&quot;:&quot;&quot;},{&quot;dropping-particle&quot;:&quot;&quot;,&quot;family&quot;:&quot;Roy&quot;,&quot;given&quot;:&quot;Angelique&quot;,&quot;non-dropping-particle&quot;:&quot;&quot;,&quot;parse-names&quot;:false,&quot;suffix&quot;:&quot;&quot;},{&quot;dropping-particle&quot;:&quot;&quot;,&quot;family&quot;:&quot;Rodríguez Monforte&quot;,&quot;given&quot;:&quot;Miriam&quot;,&quot;non-dropping-particle&quot;:&quot;&quot;,&quot;parse-names&quot;:false,&quot;suffix&quot;:&quot;&quot;},{&quot;dropping-particle&quot;:&quot;&quot;,&quot;family&quot;:&quot;Bergman&quot;,&quot;given&quot;:&quot;Howard&quot;,&quot;non-dropping-particle&quot;:&quot;&quot;,&quot;parse-names&quot;:false,&quot;suffix&quot;:&quot;&quot;},{&quot;dropping-particle&quot;:&quot;&quot;,&quot;family&quot;:&quot;McGilton&quot;,&quot;given&quot;:&quot;Kathy&quot;,&quot;non-dropping-particle&quot;:&quot;&quot;,&quot;parse-names&quot;:false,&quot;suffix&quot;:&quot;&quot;}],&quot;container-title&quot;:&quot;Age and Ageing&quot;,&quot;id&quot;:&quot;20ce3c22-77d2-3d9c-bc82-a45d7a3b505e&quot;,&quot;issued&quot;:{&quot;date-parts&quot;:[[&quot;2017&quot;,&quot;2&quot;,&quot;7&quot;]]},&quot;language&quot;:&quot;en&quot;,&quot;title&quot;:&quot;Interventions to prevent or reduce the level of frailty in community-dwelling older adults: a scoping review of the literature and international policies&quot;,&quot;type&quot;:&quot;article-journal&quot;},&quot;uris&quot;:[&quot;http://www.mendeley.com/documents/?uuid=b3ca8811-ad0d-45bf-aa0b-0fe4e99ff63b&quot;],&quot;isTemporary&quot;:false,&quot;legacyDesktopId&quot;:&quot;b3ca8811-ad0d-45bf-aa0b-0fe4e99ff63b&quot;},{&quot;id&quot;:&quot;d43e2760-660a-3dd6-938c-593063c1c7b9&quot;,&quot;itemData&quot;:{&quot;DOI&quot;:&quot;10.1001/archinte.166.4.418&quot;,&quot;ISSN&quot;:&quot;15383679&quot;,&quot;PMID&quot;:&quot;16505261&quot;,&quot;abstract&quot;:&quot;Background: Little is known about the natural course of frailty. We performed a prospective study to determine the transition rates between frailty states and to evaluate the effect of the preceding frailty state on subsequent frailty transitions. Methods: We studied 754 community-living persons, aged 70 years or older, who were nondisabled in 4 essential activities of daily living. Frailty, assessed every 18 months for 54 months, was defined on the basis of weight loss, exhaustion, low physical activity, muscle weakness, and slow walking speed. Participants were classified as frail if they met 3 or more of these criteria, as pre-frail if they met 1 or 2 of the criteria, and as nonfrail if they met none of the criteria. Results: Of the 754 participants, 434 (57.6%) had at least 1 transition between any 2 of the 3 frailty states during 54 months. The rates were 36.8%, 21.5%, and 9.2% for 1, 2, and 3 transitions, respectively. During the 18-month intervals, transitions to states of greater frailty were more common (rates up to 43.3%) than transitions to states of lesser frailty (rates up to 23.0%), and the probability of transitioning from being frail to nonfrail was very low (rates, 0%-0.9%), even during an extended period. The likelihood of transitioning between frailty states was highly dependent on one's preceding frailty state. Conclusions: Frailty among older persons is a dynamic process, characterized by frequent transitions between frailty states over time. Our findings suggest ample opportunity for the prevention and remediation of frailty. ©2006 American Medical Association. All rights reserved.&quot;,&quot;author&quot;:[{&quot;dropping-particle&quot;:&quot;&quot;,&quot;family&quot;:&quot;Gill&quot;,&quot;given&quot;:&quot;Thomas M.&quot;,&quot;non-dropping-particle&quot;:&quot;&quot;,&quot;parse-names&quot;:false,&quot;suffix&quot;:&quot;&quot;},{&quot;dropping-particle&quot;:&quot;&quot;,&quot;family&quot;:&quot;Gahbauer&quot;,&quot;given&quot;:&quot;Evelyne A.&quot;,&quot;non-dropping-particle&quot;:&quot;&quot;,&quot;parse-names&quot;:false,&quot;suffix&quot;:&quot;&quot;},{&quot;dropping-particle&quot;:&quot;&quot;,&quot;family&quot;:&quot;Allore&quot;,&quot;given&quot;:&quot;Heather G.&quot;,&quot;non-dropping-particle&quot;:&quot;&quot;,&quot;parse-names&quot;:false,&quot;suffix&quot;:&quot;&quot;},{&quot;dropping-particle&quot;:&quot;&quot;,&quot;family&quot;:&quot;Han&quot;,&quot;given&quot;:&quot;Ling&quot;,&quot;non-dropping-particle&quot;:&quot;&quot;,&quot;parse-names&quot;:false,&quot;suffix&quot;:&quot;&quot;}],&quot;container-title&quot;:&quot;Archives of Internal Medicine&quot;,&quot;id&quot;:&quot;d43e2760-660a-3dd6-938c-593063c1c7b9&quot;,&quot;issue&quot;:&quot;4&quot;,&quot;issued&quot;:{&quot;date-parts&quot;:[[&quot;2006&quot;,&quot;2&quot;,&quot;27&quot;]]},&quot;page&quot;:&quot;418-423&quot;,&quot;publisher&quot;:&quot;American Medical Association&quot;,&quot;title&quot;:&quot;Transitions between frailty states among community-living older persons&quot;,&quot;type&quot;:&quot;article-journal&quot;,&quot;volume&quot;:&quot;166&quot;},&quot;uris&quot;:[&quot;http://www.mendeley.com/documents/?uuid=d43e2760-660a-3dd6-938c-593063c1c7b9&quot;],&quot;isTemporary&quot;:false,&quot;legacyDesktopId&quot;:&quot;d43e2760-660a-3dd6-938c-593063c1c7b9&quot;},{&quot;id&quot;:&quot;658d5bda-058c-3ba9-a86a-3d72a2705af2&quot;,&quot;itemData&quot;:{&quot;DOI&quot;:&quot;10.1007/s12603-019-1273-z&quot;,&quot;abstract&quot;:&quot;Objective The task force of the International Conference of Frailty and Sarcopenia Research (ICFSR) developed these clinical practice guidelines to overview the current evidence-base and to provide recommendations for the identification and management of frailty in older adults.  Methods These recommendations were formed using the GRADE approach, which ranked the strength and certainty (quality) of the supporting evidence behind each recommendation. Where the evidence-base was limited or of low quality, Consensus Based Recommendations (CBRs) were formulated. The recommendations focus on the clinical and practical aspects of care for older people with frailty, and promote person-centred care.  Recommendations for Screening and Assessment The task force recommends that health practitioners case identify/screen all older adults for frailty using a validated instrument suitable for the specific setting or context (strong recommendation). Ideally, the screening instrument should exclude disability as part of the screening process. For individuals screened as positive for frailty, a more comprehensive clinical assessment should be performed to identify signs and underlying mechanisms of frailty (strong recommendation).  Recommendations for Management A comprehensive care plan for frailty should address polypharmacy (whether rational or nonrational), the management of sarcopenia, the treatable causes of weight loss, and the causes of exhaustion (depression, anaemia, hypotension, hypothyroidism, and B12 deficiency) (strong recommendation). All persons with frailty should receive social support as needed to address unmet needs and encourage adherence to a comprehensive care plan (strong recommendation). First-line therapy for the management of frailty should include a multi-component physical activity programme with a resistance-based training component (strong recommendation). Protein/caloric supplementation is recommended when weight loss or undernutrition are present (conditional recommendation). No recommendation was given for systematic additional therapies such as cognitive therapy, problem-solving therapy, vitamin D supplementation, and hormone-based treatment. Pharmacological treatment as presently available is not recommended therapy for the treatment of frailty.&quot;,&quot;author&quot;:[{&quot;dropping-particle&quot;:&quot;&quot;,&quot;family&quot;:&quot;Dent&quot;,&quot;given&quot;:&quot;Elsa&quot;,&quot;non-dropping-particle&quot;:&quot;&quot;,&quot;parse-names&quot;:false,&quot;suffix&quot;:&quot;&quot;},{&quot;dropping-particle&quot;:&quot;&quot;,&quot;family&quot;:&quot;Morley&quot;,&quot;given&quot;:&quot;J&quot;,&quot;non-dropping-particle&quot;:&quot;&quot;,&quot;parse-names&quot;:false,&quot;suffix&quot;:&quot;&quot;},{&quot;dropping-particle&quot;:&quot;&quot;,&quot;family&quot;:&quot;Cruz-Jentoft&quot;,&quot;given&quot;:&quot;A&quot;,&quot;non-dropping-particle&quot;:&quot;&quot;,&quot;parse-names&quot;:false,&quot;suffix&quot;:&quot;&quot;},{&quot;dropping-particle&quot;:&quot;&quot;,&quot;family&quot;:&quot;Woodhouse&quot;,&quot;given&quot;:&quot;L&quot;,&quot;non-dropping-particle&quot;:&quot;&quot;,&quot;parse-names&quot;:false,&quot;suffix&quot;:&quot;&quot;},{&quot;dropping-particle&quot;:&quot;&quot;,&quot;family&quot;:&quot;Rodríguez-Mañas&quot;,&quot;given&quot;:&quot;Leocadio&quot;,&quot;non-dropping-particle&quot;:&quot;&quot;,&quot;parse-names&quot;:false,&quot;suffix&quot;:&quot;&quot;},{&quot;dropping-particle&quot;:&quot;&quot;,&quot;family&quot;:&quot;Fried&quot;,&quot;given&quot;:&quot;Linda&quot;,&quot;non-dropping-particle&quot;:&quot;&quot;,&quot;parse-names&quot;:false,&quot;suffix&quot;:&quot;&quot;},{&quot;dropping-particle&quot;:&quot;&quot;,&quot;family&quot;:&quot;Woo&quot;,&quot;given&quot;:&quot;J&quot;,&quot;non-dropping-particle&quot;:&quot;&quot;,&quot;parse-names&quot;:false,&quot;suffix&quot;:&quot;&quot;},{&quot;dropping-particle&quot;:&quot;&quot;,&quot;family&quot;:&quot;Aprahamian&quot;,&quot;given&quot;:&quot;Ivan&quot;,&quot;non-dropping-particle&quot;:&quot;&quot;,&quot;parse-names&quot;:false,&quot;suffix&quot;:&quot;&quot;},{&quot;dropping-particle&quot;:&quot;&quot;,&quot;family&quot;:&quot;Sanford&quot;,&quot;given&quot;:&quot;A&quot;,&quot;non-dropping-particle&quot;:&quot;&quot;,&quot;parse-names&quot;:false,&quot;suffix&quot;:&quot;&quot;},{&quot;dropping-particle&quot;:&quot;&quot;,&quot;family&quot;:&quot;Lundy&quot;,&quot;given&quot;:&quot;J&quot;,&quot;non-dropping-particle&quot;:&quot;&quot;,&quot;parse-names&quot;:false,&quot;suffix&quot;:&quot;&quot;},{&quot;dropping-particle&quot;:&quot;&quot;,&quot;family&quot;:&quot;Landi&quot;,&quot;given&quot;:&quot;Francesco&quot;,&quot;non-dropping-particle&quot;:&quot;&quot;,&quot;parse-names&quot;:false,&quot;suffix&quot;:&quot;&quot;},{&quot;dropping-particle&quot;:&quot;&quot;,&quot;family&quot;:&quot;Beilby&quot;,&quot;given&quot;:&quot;Justin&quot;,&quot;non-dropping-particle&quot;:&quot;&quot;,&quot;parse-names&quot;:false,&quot;suffix&quot;:&quot;&quot;},{&quot;dropping-particle&quot;:&quot;&quot;,&quot;family&quot;:&quot;Martin&quot;,&quot;given&quot;:&quot;Finbarr&quot;,&quot;non-dropping-particle&quot;:&quot;&quot;,&quot;parse-names&quot;:false,&quot;suffix&quot;:&quot;&quot;},{&quot;dropping-particle&quot;:&quot;&quot;,&quot;family&quot;:&quot;Bauer&quot;,&quot;given&quot;:&quot;Juergen&quot;,&quot;non-dropping-particle&quot;:&quot;&quot;,&quot;parse-names&quot;:false,&quot;suffix&quot;:&quot;&quot;},{&quot;dropping-particle&quot;:&quot;&quot;,&quot;family&quot;:&quot;Ferrucci&quot;,&quot;given&quot;:&quot;L&quot;,&quot;non-dropping-particle&quot;:&quot;&quot;,&quot;parse-names&quot;:false,&quot;suffix&quot;:&quot;&quot;},{&quot;dropping-particle&quot;:&quot;&quot;,&quot;family&quot;:&quot;Merchant&quot;,&quot;given&quot;:&quot;R&quot;,&quot;non-dropping-particle&quot;:&quot;&quot;,&quot;parse-names&quot;:false,&quot;suffix&quot;:&quot;&quot;},{&quot;dropping-particle&quot;:&quot;&quot;,&quot;family&quot;:&quot;Dong&quot;,&quot;given&quot;:&quot;B&quot;,&quot;non-dropping-particle&quot;:&quot;&quot;,&quot;parse-names&quot;:false,&quot;suffix&quot;:&quot;&quot;},{&quot;dropping-particle&quot;:&quot;&quot;,&quot;family&quot;:&quot;Arai&quot;,&quot;given&quot;:&quot;Hidenori&quot;,&quot;non-dropping-particle&quot;:&quot;&quot;,&quot;parse-names&quot;:false,&quot;suffix&quot;:&quot;&quot;},{&quot;dropping-particle&quot;:&quot;&quot;,&quot;family&quot;:&quot;Hoogendijk&quot;,&quot;given&quot;:&quot;Emiel&quot;,&quot;non-dropping-particle&quot;:&quot;&quot;,&quot;parse-names&quot;:false,&quot;suffix&quot;:&quot;&quot;},{&quot;dropping-particle&quot;:&quot;&quot;,&quot;family&quot;:&quot;Vellas&quot;,&quot;given&quot;:&quot;B&quot;,&quot;non-dropping-particle&quot;:&quot;&quot;,&quot;parse-names&quot;:false,&quot;suffix&quot;:&quot;&quot;}],&quot;container-title&quot;:&quot;The journal of nutrition, health &amp; aging&quot;,&quot;id&quot;:&quot;658d5bda-058c-3ba9-a86a-3d72a2705af2&quot;,&quot;issued&quot;:{&quot;date-parts&quot;:[[&quot;2019&quot;]]},&quot;title&quot;:&quot;Physical Frailty: ICFSR International Clinical Practice Guidelines for Identification and Management&quot;,&quot;type&quot;:&quot;article-journal&quot;},&quot;uris&quot;:[&quot;http://www.mendeley.com/documents/?uuid=e893ac19-a54b-47eb-aa28-4e7e66ef7e78&quot;],&quot;isTemporary&quot;:false,&quot;legacyDesktopId&quot;:&quot;e893ac19-a54b-47eb-aa28-4e7e66ef7e78&quot;},{&quot;id&quot;:&quot;a0f3694f-debd-3cdf-b3b1-9e0bf38284c3&quot;,&quot;itemData&quot;:{&quot;DOI&quot;:&quot;10.3390/nu12092820&quot;,&quot;ISSN&quot;:&quot;20726643&quot;,&quot;abstract&quot;:&quot;Aging is a global public health concern. From the age of 50, muscle mass, muscle strength and physical performance tend to decline. Sarcopenia and frailty are frequent in community-dwelling older adults and are associated with negative outcomes such as physical disability and mortality. Therefore, the identification of therapeutic strategies to prevent and fight sarcopenia and frailty is of great interest. This systematic review aims to summarize the impact of nutritional interventions alone or combined with other treatment(s) in older community-dwelling adults on (1) the three indicators of sarcopenia, i.e., muscle mass, muscle strength and physical performance; and (2) the hospitalization and readmission rates. The literature search was performed on Medline and included studies published between January 2010 and June 2020. We included randomized controlled trials of nutritional intervention alone or combined with other treatment(s) in community-living subjects aged 65 or older. In total, 28 articles were retained in the final analysis. This systematic review highlights the importance of a multimodal approach, including at least a combined nutritional and exercise intervention, to improve muscle mass, muscle strength and physical performance, in community-dwelling older adults but especially in frail and sarcopenic subjects. Regarding hospitalization and readmission rate, data were limited and inconclusive. Future studies should continue to investigate the effects of such interventions in this population.&quot;,&quot;author&quot;:[{&quot;dropping-particle&quot;:&quot;&quot;,&quot;family&quot;:&quot;Mareschal&quot;,&quot;given&quot;:&quot;Julie&quot;,&quot;non-dropping-particle&quot;:&quot;&quot;,&quot;parse-names&quot;:false,&quot;suffix&quot;:&quot;&quot;},{&quot;dropping-particle&quot;:&quot;&quot;,&quot;family&quot;:&quot;Genton&quot;,&quot;given&quot;:&quot;Laurence&quot;,&quot;non-dropping-particle&quot;:&quot;&quot;,&quot;parse-names&quot;:false,&quot;suffix&quot;:&quot;&quot;},{&quot;dropping-particle&quot;:&quot;&quot;,&quot;family&quot;:&quot;Collet&quot;,&quot;given&quot;:&quot;Tinh Hai&quot;,&quot;non-dropping-particle&quot;:&quot;&quot;,&quot;parse-names&quot;:false,&quot;suffix&quot;:&quot;&quot;},{&quot;dropping-particle&quot;:&quot;&quot;,&quot;family&quot;:&quot;Graf&quot;,&quot;given&quot;:&quot;Christophe&quot;,&quot;non-dropping-particle&quot;:&quot;&quot;,&quot;parse-names&quot;:false,&quot;suffix&quot;:&quot;&quot;}],&quot;container-title&quot;:&quot;Nutrients&quot;,&quot;id&quot;:&quot;a0f3694f-debd-3cdf-b3b1-9e0bf38284c3&quot;,&quot;issue&quot;:&quot;9&quot;,&quot;issued&quot;:{&quot;date-parts&quot;:[[&quot;2020&quot;,&quot;9&quot;,&quot;1&quot;]]},&quot;page&quot;:&quot;1-21&quot;,&quot;publisher&quot;:&quot;MDPI AG&quot;,&quot;title&quot;:&quot;Nutritional intervention to prevent the functional decline in community-dwelling older adults: A systematic review&quot;,&quot;type&quot;:&quot;article&quot;,&quot;volume&quot;:&quot;12&quot;},&quot;uris&quot;:[&quot;http://www.mendeley.com/documents/?uuid=a0f3694f-debd-3cdf-b3b1-9e0bf38284c3&quot;],&quot;isTemporary&quot;:false,&quot;legacyDesktopId&quot;:&quot;a0f3694f-debd-3cdf-b3b1-9e0bf38284c3&quot;}],&quot;properties&quot;:{&quot;noteIndex&quot;:0},&quot;isEdited&quot;:false,&quot;manualOverride&quot;:{&quot;citeprocText&quot;:&quot;[17–20]&quot;,&quot;isManuallyOverridden&quot;:false,&quot;manualOverrideText&quot;:&quot;&quot;},&quot;citationTag&quot;:&quot;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&quot;},{&quot;citationID&quot;:&quot;MENDELEY_CITATION_78500f87-423f-4129-aef8-bb61165327ca&quot;,&quot;citationItems&quot;:[{&quot;id&quot;:&quot;285ecd53-3046-39c8-91b7-c9c33e51065f&quot;,&quot;itemData&quot;:{&quot;DOI&quot;:&quot;10.1016/j.cger.2015.04.005&quot;,&quot;ISSN&quot;:&quot;1879-8853&quot;,&quot;abstract&quot;:&quot;Physical function decreases with aging, which may result in adverse outcomes (eg, disability, loss of independence, institutionalization, death). Physical function impairment is a common trait of frailty and sarcopenia. These two conditions, albeit highly common, have not yet received a unique operational definition, which has impeded their implementation in standard practice. Here, we introduce a conceptual model in which sarcopenia is proposed as the biological substrate and the pathway whereby the consequences of physical frailty develop. This conceptualization may open new venues for the design of interventions against physical frailty and promote the translation of findings to the clinical arena.&quot;,&quot;author&quot;:[{&quot;dropping-particle&quot;:&quot;&quot;,&quot;family&quot;:&quot;Landi&quot;,&quot;given&quot;:&quot;Francesco&quot;,&quot;non-dropping-particle&quot;:&quot;&quot;,&quot;parse-names&quot;:false,&quot;suffix&quot;:&quot;&quot;},{&quot;dropping-particle&quot;:&quot;&quot;,&quot;family&quot;:&quot;Calvani&quot;,&quot;given&quot;:&quot;Riccardo&quot;,&quot;non-dropping-particle&quot;:&quot;&quot;,&quot;parse-names&quot;:false,&quot;suffix&quot;:&quot;&quot;},{&quot;dropping-particle&quot;:&quot;&quot;,&quot;family&quot;:&quot;Cesari&quot;,&quot;given&quot;:&quot;Matteo&quot;,&quot;non-dropping-particle&quot;:&quot;&quot;,&quot;parse-names&quot;:false,&quot;suffix&quot;:&quot;&quot;},{&quot;dropping-particle&quot;:&quot;&quot;,&quot;family&quot;:&quot;Tosato&quot;,&quot;given&quot;:&quot;Matteo&quot;,&quot;non-dropping-particle&quot;:&quot;&quot;,&quot;parse-names&quot;:false,&quot;suffix&quot;:&quot;&quot;},{&quot;dropping-particle&quot;:&quot;&quot;,&quot;family&quot;:&quot;Martone&quot;,&quot;given&quot;:&quot;Anna Maria&quot;,&quot;non-dropping-particle&quot;:&quot;&quot;,&quot;parse-names&quot;:false,&quot;suffix&quot;:&quot;&quot;},{&quot;dropping-particle&quot;:&quot;&quot;,&quot;family&quot;:&quot;Bernabei&quot;,&quot;given&quot;:&quot;Roberto&quot;,&quot;non-dropping-particle&quot;:&quot;&quot;,&quot;parse-names&quot;:false,&quot;suffix&quot;:&quot;&quot;},{&quot;dropping-particle&quot;:&quot;&quot;,&quot;family&quot;:&quot;Onder&quot;,&quot;given&quot;:&quot;Graziano&quot;,&quot;non-dropping-particle&quot;:&quot;&quot;,&quot;parse-names&quot;:false,&quot;suffix&quot;:&quot;&quot;},{&quot;dropping-particle&quot;:&quot;&quot;,&quot;family&quot;:&quot;Marzetti&quot;,&quot;given&quot;:&quot;Emanuele&quot;,&quot;non-dropping-particle&quot;:&quot;&quot;,&quot;parse-names&quot;:false,&quot;suffix&quot;:&quot;&quot;}],&quot;container-title&quot;:&quot;Clinics in Geriatric Medicine&quot;,&quot;id&quot;:&quot;285ecd53-3046-39c8-91b7-c9c33e51065f&quot;,&quot;issue&quot;:&quot;3&quot;,&quot;issued&quot;:{&quot;date-parts&quot;:[[&quot;2015&quot;]]},&quot;language&quot;:&quot;eng&quot;,&quot;page&quot;:&quot;367-374&quot;,&quot;title&quot;:&quot;Sarcopenia as the Biological Substrate of Physical Frailty&quot;,&quot;type&quot;:&quot;article-journal&quot;,&quot;volume&quot;:&quot;31&quot;},&quot;uris&quot;:[&quot;http://www.mendeley.com/documents/?uuid=318103cb-1a24-4589-b09f-41d504e5cb14&quot;],&quot;isTemporary&quot;:false,&quot;legacyDesktopId&quot;:&quot;318103cb-1a24-4589-b09f-41d504e5cb14&quot;}],&quot;properties&quot;:{&quot;noteIndex&quot;:0},&quot;isEdited&quot;:false,&quot;manualOverride&quot;:{&quot;citeprocText&quot;:&quot;[21]&quot;,&quot;isManuallyOverridden&quot;:false,&quot;manualOverrideText&quot;:&quot;&quot;},&quot;citationTag&quot;:&quot;MENDELEY_CITATION_v3_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&quot;},{&quot;citationID&quot;:&quot;MENDELEY_CITATION_72927b76-d595-41cf-8e17-8851890826f2&quot;,&quot;citationItems&quot;:[{&quot;id&quot;:&quot;65976e7e-2378-3ae3-b0a1-5ba2b83b22e5&quot;,&quot;itemData&quot;:{&quot;DOI&quot;:&quot;10.1016/j.jamda.2017.09.014&quot;,&quot;ISSN&quot;:&quot;15389375&quot;,&quot;abstract&quot;:&quot;Introduction: Frailty and sarcopenia are correlates of musculoskeletal aging that represent a state of vulnerability increasing the risk of negative health outcomes. Standardized definitions are lacking for both, and sometimes both concepts are used interchangeably. However, no large study has assessed the coexistence of these 2 entities in a cohort of older community-dwelling people. Methods: Data were taken from the Toledo Study of Healthy Aging (TSHA), a study of community-dwelling elderly (≥65 years). The study population consists of 1611 participants with frailty and sarcopenia assessments. For sarcopenia, we used 3 criteria: European Working Group on Sarcopenia in Older People (EWGSOP), the Foundation for the National Institutes of Health (FNIH), and the FNIH fitted to the cut-off points of our population [standardized FNIH (sFNIH)]. Frailty was assessed according to the Fried criteria with cut-off points adjusted to our population. We used logistic regression to assess the relationship between sarcopenia and frailty and measures of diagnostic accuracy to evaluate the potential use of sarcopenia as a diagnostic marker for frailty. Results: The mean age of the population was 75.42 years (±5.86). Overall, 72 (4.5%) were frail. In addition, 352 (21.8%), 332 (20.6%), and 453 (28.1%) participants were considered sarcopenic according to the EWGSOP, FNIH, and sFNIH criteria, respectively. The prevalence of frailty among those with sarcopenia was 8.2% (29/352), 15.7% (52/332), and 10.4% (47/453). Moreover, among frail people, the prevalence of sarcopenia was 40.27%, 72.2%, and 65.3% according to the used criteria. Sarcopenia showed a low sensitivity (&lt;10%) but high specificity (&gt;97%) for the diagnosis of frailty, with a low intercorrelation (Cramer V = 0.16, 0.40, and 0.30) between the 3 criteria and frailty. Using multivariate logistic regression, frailty was associated with sarcopenia according to EWGSOP [odds ratio (OR) = 1.67, 95% confidence interval (CI) = 0.95, 2.96], FNIH (OR = 10.61, 95% CI = 5.8, 19.4), and sFNIH (OR = 6.63, 95% CI =3.5, 12.53). Conclusion: Frailty and sarcopenia are distinct but related conditions. Sarcopenia is not a useful clinical biomarker of frailty, but its absence might be useful to exclude frailty.&quot;,&quot;author&quot;:[{&quot;dropping-particle&quot;:&quot;&quot;,&quot;family&quot;:&quot;Davies&quot;,&quot;given&quot;:&quot;B.&quot;,&quot;non-dropping-particle&quot;:&quot;&quot;,&quot;parse-names&quot;:false,&quot;suffix&quot;:&quot;&quot;},{&quot;dropping-particle&quot;:&quot;&quot;,&quot;family&quot;:&quot;García&quot;,&quot;given&quot;:&quot;F.&quot;,&quot;non-dropping-particle&quot;:&quot;&quot;,&quot;parse-names&quot;:false,&quot;suffix&quot;:&quot;&quot;},{&quot;dropping-particle&quot;:&quot;&quot;,&quot;family&quot;:&quot;Ara&quot;,&quot;given&quot;:&quot;I.&quot;,&quot;non-dropping-particle&quot;:&quot;&quot;,&quot;parse-names&quot;:false,&quot;suffix&quot;:&quot;&quot;},{&quot;dropping-particle&quot;:&quot;&quot;,&quot;family&quot;:&quot;Artalejo&quot;,&quot;given&quot;:&quot;F. Rodríguez&quot;,&quot;non-dropping-particle&quot;:&quot;&quot;,&quot;parse-names&quot;:false,&quot;suffix&quot;:&quot;&quot;},{&quot;dropping-particle&quot;:&quot;&quot;,&quot;family&quot;:&quot;Rodriguez-Mañas&quot;,&quot;given&quot;:&quot;L.&quot;,&quot;non-dropping-particle&quot;:&quot;&quot;,&quot;parse-names&quot;:false,&quot;suffix&quot;:&quot;&quot;},{&quot;dropping-particle&quot;:&quot;&quot;,&quot;family&quot;:&quot;Walter&quot;,&quot;given&quot;:&quot;S.&quot;,&quot;non-dropping-particle&quot;:&quot;&quot;,&quot;parse-names&quot;:false,&quot;suffix&quot;:&quot;&quot;}],&quot;container-title&quot;:&quot;Journal of the American Medical Directors Association&quot;,&quot;id&quot;:&quot;65976e7e-2378-3ae3-b0a1-5ba2b83b22e5&quot;,&quot;issue&quot;:&quot;4&quot;,&quot;issued&quot;:{&quot;date-parts&quot;:[[&quot;2018&quot;,&quot;4&quot;,&quot;1&quot;]]},&quot;page&quot;:&quot;282-286&quot;,&quot;publisher&quot;:&quot;Elsevier Inc.&quot;,&quot;title&quot;:&quot;Relationship Between Sarcopenia and Frailty in the Toledo Study of Healthy Aging: A Population Based Cross-Sectional Study&quot;,&quot;type&quot;:&quot;article-journal&quot;,&quot;volume&quot;:&quot;19&quot;},&quot;uris&quot;:[&quot;http://www.mendeley.com/documents/?uuid=65976e7e-2378-3ae3-b0a1-5ba2b83b22e5&quot;],&quot;isTemporary&quot;:false,&quot;legacyDesktopId&quot;:&quot;65976e7e-2378-3ae3-b0a1-5ba2b83b22e5&quot;}],&quot;properties&quot;:{&quot;noteIndex&quot;:0},&quot;isEdited&quot;:false,&quot;manualOverride&quot;:{&quot;citeprocText&quot;:&quot;[22]&quot;,&quot;isManuallyOverridden&quot;:false,&quot;manualOverrideText&quot;:&quot;&quot;},&quot;citationTag&quot;:&quot;MENDELEY_CITATION_v3_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&quot;},{&quot;citationID&quot;:&quot;MENDELEY_CITATION_3efc745a-3fe8-47ad-9918-15c3a81603f1&quot;,&quot;citationItems&quot;:[{&quot;id&quot;:&quot;84c01562-77c7-3c63-b95a-d14e6c10705e&quot;,&quot;itemData&quot;:{&quot;DOI&quot;:&quot;10.1016/j.jamda.2020.09.024&quot;,&quot;ISSN&quot;:&quot;15389375&quot;,&quot;abstract&quot;:&quot;Objective: To determine which of 8 commonly employed frailty assessment tools demonstrate the most appropriate characteristics to be employed in different clinical and social settings. Design: Cross-sectional multicenter European-based study. Setting and Participants: 1440 patients aged ≥75 years evaluated in geriatric inpatient wards, geriatric outpatient clinics, primary care clinics, and nursing homes. Methods: The frailty instruments used were Frailty Phenotype, SHARE-FI, 3-item Frailty Trait Scale (FTS-3), 5-item Frailty Trait Scale (FTS-5), FRAIL, 35-item Frailty Index (FI-35), Gérontopôle Frailty Screening Tool (GFST), and Clinical Frailty Scale (CFS). The settings were geriatrics wards, outpatient clinics, primary care, and nursing homes. Suitability was evaluated by considering the feasibility (patients with the test fully completed), administration time (time spent for administering the test), and interscale agreement (Cohen kappa index among instruments to detect frailty). Results: The prevalence of frailty varied across settings and adopted tests. The scales with the mean highest feasibility were the FRAIL scale (99.4%), SHARE-FI (98.3%), and GFST (95.0%). The mean shortest administration times were obtained with CFS (24 seconds), GFST (72 seconds), and FRAIL scale (90 seconds). The interscale agreement between most of the tests was fair. CFS followed by FTS-5 agreed at least moderately with a greater number of scales overall and in almost all settings. Conclusions and Implications: Based on feasibility, time to undertake the tool, and agreement with other scales, different scales would be recommended according to the setting considered. Our findings suggest that most of the tools evaluated are actually assessing different frailty constructs.&quot;,&quot;author&quot;:[{&quot;dropping-particle&quot;:&quot;&quot;,&quot;family&quot;:&quot;Oviedo-Briones&quot;,&quot;given&quot;:&quot;Myriam&quot;,&quot;non-dropping-particle&quot;:&quot;&quot;,&quot;parse-names&quot;:false,&quot;suffix&quot;:&quot;&quot;},{&quot;dropping-particle&quot;:&quot;&quot;,&quot;family&quot;:&quot;Laso&quot;,&quot;given&quot;:&quot;Ángel Rodríguez&quot;,&quot;non-dropping-particle&quot;:&quot;&quot;,&quot;parse-names&quot;:false,&quot;suffix&quot;:&quot;&quot;},{&quot;dropping-particle&quot;:&quot;&quot;,&quot;family&quot;:&quot;Carnicero&quot;,&quot;given&quot;:&quot;José Antonio&quot;,&quot;non-dropping-particle&quot;:&quot;&quot;,&quot;parse-names&quot;:false,&quot;suffix&quot;:&quot;&quot;},{&quot;dropping-particle&quot;:&quot;&quot;,&quot;family&quot;:&quot;Cesari&quot;,&quot;given&quot;:&quot;Matteo&quot;,&quot;non-dropping-particle&quot;:&quot;&quot;,&quot;parse-names&quot;:false,&quot;suffix&quot;:&quot;&quot;},{&quot;dropping-particle&quot;:&quot;&quot;,&quot;family&quot;:&quot;Grodzicki&quot;,&quot;given&quot;:&quot;Tomasz&quot;,&quot;non-dropping-particle&quot;:&quot;&quot;,&quot;parse-names&quot;:false,&quot;suffix&quot;:&quot;&quot;},{&quot;dropping-particle&quot;:&quot;&quot;,&quot;family&quot;:&quot;Gryglewska&quot;,&quot;given&quot;:&quot;Barbara&quot;,&quot;non-dropping-particle&quot;:&quot;&quot;,&quot;parse-names&quot;:false,&quot;suffix&quot;:&quot;&quot;},{&quot;dropping-particle&quot;:&quot;&quot;,&quot;family&quot;:&quot;Sinclair&quot;,&quot;given&quot;:&quot;Alan&quot;,&quot;non-dropping-particle&quot;:&quot;&quot;,&quot;parse-names&quot;:false,&quot;suffix&quot;:&quot;&quot;},{&quot;dropping-particle&quot;:&quot;&quot;,&quot;family&quot;:&quot;Landi&quot;,&quot;given&quot;:&quot;Francesco&quot;,&quot;non-dropping-particle&quot;:&quot;&quot;,&quot;parse-names&quot;:false,&quot;suffix&quot;:&quot;&quot;},{&quot;dropping-particle&quot;:&quot;&quot;,&quot;family&quot;:&quot;Vellas&quot;,&quot;given&quot;:&quot;Bruno&quot;,&quot;non-dropping-particle&quot;:&quot;&quot;,&quot;parse-names&quot;:false,&quot;suffix&quot;:&quot;&quot;},{&quot;dropping-particle&quot;:&quot;&quot;,&quot;family&quot;:&quot;Checa-López&quot;,&quot;given&quot;:&quot;Marta&quot;,&quot;non-dropping-particle&quot;:&quot;&quot;,&quot;parse-names&quot;:false,&quot;suffix&quot;:&quot;&quot;},{&quot;dropping-particle&quot;:&quot;&quot;,&quot;family&quot;:&quot;Rodriguez-Mañas&quot;,&quot;given&quot;:&quot;Leocadio&quot;,&quot;non-dropping-particle&quot;:&quot;&quot;,&quot;parse-names&quot;:false,&quot;suffix&quot;:&quot;&quot;}],&quot;container-title&quot;:&quot;Journal of the American Medical Directors Association&quot;,&quot;id&quot;:&quot;84c01562-77c7-3c63-b95a-d14e6c10705e&quot;,&quot;issue&quot;:&quot;0&quot;,&quot;issued&quot;:{&quot;date-parts&quot;:[[&quot;2020&quot;]]},&quot;publisher&quot;:&quot;Elsevier Inc.&quot;,&quot;title&quot;:&quot;A Comparison of Frailty Assessment Instruments in Different Clinical and Social Care Settings: The Frailtools Project&quot;,&quot;type&quot;:&quot;article-journal&quot;,&quot;volume&quot;:&quot;0&quot;},&quot;uris&quot;:[&quot;http://www.mendeley.com/documents/?uuid=84c01562-77c7-3c63-b95a-d14e6c10705e&quot;],&quot;isTemporary&quot;:false,&quot;legacyDesktopId&quot;:&quot;84c01562-77c7-3c63-b95a-d14e6c10705e&quot;},{&quot;id&quot;:&quot;a7562ce1-647f-33aa-967b-3fd1329ca21a&quot;,&quot;itemData&quot;:{&quot;DOI&quot;:&quot;10.1093/aje/kwx061&quot;,&quot;ISSN&quot;:&quot;14766256&quot;,&quot;PMID&quot;:&quot;28633404&quot;,&quot;abstract&quot;:&quot;In elderly populations, frailty is associated with higher mortality risk. Although many frailty scores (FS) have been proposed, no single score is considered the gold standard. We aimed to evaluate the agreement between a wide range of FS in the English Longitudinal Study of Ageing (ELSA). Through a literature search, we identified 35 FS that could be calculated in ELSA wave 2 (2004-2005). We examined agreement between each frailty score and the mean of 35 FS, using a modified Bland-Altman model and Cohen's kappa (κ). Missing data were imputed. Data from 5,377 participants (ages ≥60 years) were analyzed (44.7% men, 55.3% women). FS showed widely differing degrees of agreement with the mean of all scores and between each pair of scores. Frailty classification also showed a very wide range of agreement (Cohen's κ = 0.10-0.83). Agreement was highest among \&quot;accumulation of deficits\&quot;-type FS, while accuracy was highest for multidimensional FS. There is marked heterogeneity in the degree to which various FS estimate frailty and in the identification of particular individuals as frail. Different FS are based on different concepts of frailty, and most pairs cannot be assumed to be interchangeable. Research results based on different FS cannot be compared or pooled.&quot;,&quot;author&quot;:[{&quot;dropping-particle&quot;:&quot;&quot;,&quot;family&quot;:&quot;Aguayo&quot;,&quot;given&quot;:&quot;Gloria A.&quot;,&quot;non-dropping-particle&quot;:&quot;&quot;,&quot;parse-names&quot;:false,&quot;suffix&quot;:&quot;&quot;},{&quot;dropping-particle&quot;:&quot;&quot;,&quot;family&quot;:&quot;Donneau&quot;,&quot;given&quot;:&quot;Anne Françoise&quot;,&quot;non-dropping-particle&quot;:&quot;&quot;,&quot;parse-names&quot;:false,&quot;suffix&quot;:&quot;&quot;},{&quot;dropping-particle&quot;:&quot;&quot;,&quot;family&quot;:&quot;Vaillant&quot;,&quot;given&quot;:&quot;Michel T.&quot;,&quot;non-dropping-particle&quot;:&quot;&quot;,&quot;parse-names&quot;:false,&quot;suffix&quot;:&quot;&quot;},{&quot;dropping-particle&quot;:&quot;&quot;,&quot;family&quot;:&quot;Schritz&quot;,&quot;given&quot;:&quot;Anna&quot;,&quot;non-dropping-particle&quot;:&quot;&quot;,&quot;parse-names&quot;:false,&quot;suffix&quot;:&quot;&quot;},{&quot;dropping-particle&quot;:&quot;&quot;,&quot;family&quot;:&quot;Franco&quot;,&quot;given&quot;:&quot;Oscar H.&quot;,&quot;non-dropping-particle&quot;:&quot;&quot;,&quot;parse-names&quot;:false,&quot;suffix&quot;:&quot;&quot;},{&quot;dropping-particle&quot;:&quot;&quot;,&quot;family&quot;:&quot;Stranges&quot;,&quot;given&quot;:&quot;Saverio&quot;,&quot;non-dropping-particle&quot;:&quot;&quot;,&quot;parse-names&quot;:false,&quot;suffix&quot;:&quot;&quot;},{&quot;dropping-particle&quot;:&quot;&quot;,&quot;family&quot;:&quot;Malisoux&quot;,&quot;given&quot;:&quot;Laurent&quot;,&quot;non-dropping-particle&quot;:&quot;&quot;,&quot;parse-names&quot;:false,&quot;suffix&quot;:&quot;&quot;},{&quot;dropping-particle&quot;:&quot;&quot;,&quot;family&quot;:&quot;Guillaume&quot;,&quot;given&quot;:&quot;Michèle&quot;,&quot;non-dropping-particle&quot;:&quot;&quot;,&quot;parse-names&quot;:false,&quot;suffix&quot;:&quot;&quot;},{&quot;dropping-particle&quot;:&quot;&quot;,&quot;family&quot;:&quot;Witte&quot;,&quot;given&quot;:&quot;Daniel R.&quot;,&quot;non-dropping-particle&quot;:&quot;&quot;,&quot;parse-names&quot;:false,&quot;suffix&quot;:&quot;&quot;}],&quot;container-title&quot;:&quot;American Journal of Epidemiology&quot;,&quot;id&quot;:&quot;a7562ce1-647f-33aa-967b-3fd1329ca21a&quot;,&quot;issue&quot;:&quot;4&quot;,&quot;issued&quot;:{&quot;date-parts&quot;:[[&quot;2017&quot;,&quot;8&quot;,&quot;15&quot;]]},&quot;page&quot;:&quot;420-434&quot;,&quot;publisher&quot;:&quot;Oxford University Press&quot;,&quot;title&quot;:&quot;Agreement between 35 published frailty scores in the general population&quot;,&quot;type&quot;:&quot;article-journal&quot;,&quot;volume&quot;:&quot;186&quot;},&quot;uris&quot;:[&quot;http://www.mendeley.com/documents/?uuid=a7562ce1-647f-33aa-967b-3fd1329ca21a&quot;],&quot;isTemporary&quot;:false,&quot;legacyDesktopId&quot;:&quot;a7562ce1-647f-33aa-967b-3fd1329ca21a&quot;},{&quot;id&quot;:&quot;5314b1f7-2f28-3f99-a99b-1067883a38b0&quot;,&quot;itemData&quot;:{&quot;type&quot;:&quot;article-journal&quot;,&quot;id&quot;:&quot;5314b1f7-2f28-3f99-a99b-1067883a38b0&quot;,&quot;title&quot;:&quot;Instruments for the detection of frailty syndrome in older adults: A systematic review&quot;,&quot;author&quot;:[{&quot;family&quot;:&quot;Wilke Fallerid&quot;,&quot;given&quot;:&quot;Jossiana&quot;,&quot;parse-names&quot;:false,&quot;dropping-particle&quot;:&quot;&quot;,&quot;non-dropping-particle&quot;:&quot;&quot;},{&quot;family&quot;:&quot;Do&quot;,&quot;given&quot;:&quot;David&quot;,&quot;parse-names&quot;:false,&quot;dropping-particle&quot;:&quot;&quot;,&quot;non-dropping-particle&quot;:&quot;&quot;},{&quot;family&quot;:&quot;Pereira&quot;,&quot;given&quot;:&quot;Nascimento&quot;,&quot;parse-names&quot;:false,&quot;dropping-particle&quot;:&quot;&quot;,&quot;non-dropping-particle&quot;:&quot;&quot;},{&quot;family&quot;:&quot;Souza&quot;,&quot;given&quot;:&quot;Suzana&quot;,&quot;parse-names&quot;:false,&quot;dropping-particle&quot;:&quot;&quot;,&quot;non-dropping-particle&quot;:&quot;de&quot;},{&quot;family&quot;:&quot;Nampo&quot;,&quot;given&quot;:&quot;Fernando Kenji&quot;,&quot;parse-names&quot;:false,&quot;dropping-particle&quot;:&quot;&quot;,&quot;non-dropping-particle&quot;:&quot;&quot;},{&quot;family&quot;:&quot;Souza Orlandi&quot;,&quot;given&quot;:&quot;Fabiana&quot;,&quot;parse-names&quot;:false,&quot;dropping-particle&quot;:&quot;&quot;,&quot;non-dropping-particle&quot;:&quot;de&quot;},{&quot;family&quot;:&quot;Matumotoid&quot;,&quot;given&quot;:&quot;Silvia&quot;,&quot;parse-names&quot;:false,&quot;dropping-particle&quot;:&quot;&quot;,&quot;non-dropping-particle&quot;:&quot;&quot;}],&quot;accessed&quot;:{&quot;date-parts&quot;:[[2022,2,16]]},&quot;DOI&quot;:&quot;10.1371/journal.pone.0216166&quot;,&quot;ISBN&quot;:&quot;1111111111&quot;,&quot;URL&quot;:&quot;https://doi.org/10.1371/journal.pone.0216166.t001&quot;,&quot;issued&quot;:{&quot;date-parts&quot;:[[2019]]},&quot;abstract&quot;:&quot;Frailty is a dynamic process in which there is a reduction in the physical, psychological and/ or social function associated with aging. The aim of this study was to identify instruments for the detection of frailty in older adults, characterizing their components, application scenarios , ability to identify pre-frailty and clinimetric properties evaluated. The study was conducted according to the Preferred Reporting Items for Systematic Reviews and Meta-Analyses (PRISMA), under registration number CRD42017039318. A total of 14 electronic sources were searched to identify studies that investigated instruments for the detection of frailty or that presented the construction and/or clinimetric evaluation of the instrument, according to criteria established by the COnsensus-based Standards for the selection of health Measurement INstruments (COSMIN). 96 studies were included in the qualitative synthesis: 51 instruments for the detection of frailty were identified, with predominantly physical domains; 40 were constructed and/or validated for use in the older adult community population, 28 only highlighted the distinction between frail and non-frail individuals and 23 presented three or more levels of frailty. The FRAGIRE, FRAIL Scale, Edmonton Frail Scale and IVCF-20 instruments were the most frequently analyzed in relation to clinimetric properties. It was concluded that: (I) there is a large number of instruments for measuring the same construct, which makes it difficult for researchers and clinicians to choose the most appropriate; (II) the FRAGIRE and CFAI stand out due to their multidimensional aspects, including an environmental assessment; however, (III) the need for standardization of the scales was identified, since the use of different instruments in clinical trials may prevent the comparability of the results in systematic reviews and; (IV) considering the different instruments identified in this review, the choice of researchers/clinicians should be guided by the issues related to the translation and validation for their location and the suitability for their context. PLOS ONE | https://doi.&quot;},&quot;isTemporary&quot;:false}],&quot;properties&quot;:{&quot;noteIndex&quot;:0},&quot;isEdited&quot;:false,&quot;manualOverride&quot;:{&quot;citeprocText&quot;:&quot;[23–25]&quot;,&quot;isManuallyOverridden&quot;:true,&quot;manualOverrideText&quot;:&quot;[23, 24, 25]&quot;},&quot;citationTag&quot;:&quot;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&quot;},{&quot;citationID&quot;:&quot;MENDELEY_CITATION_9c9e8f16-5e8c-4e0d-9054-f36e2cbe6ad3&quot;,&quot;citationItems&quot;:[{&quot;id&quot;:&quot;0fc17bab-1a88-3597-808f-2f75f184b85a&quot;,&quot;itemData&quot;:{&quot;DOI&quot;:&quot;10.1503/cmaj.050051&quot;,&quot;ISSN&quot;:&quot;08203946&quot;,&quot;PMID&quot;:&quot;16129869&quot;,&quot;abstract&quot;:&quot;Background: There is no single generally accepted clinical definition of frailty. Previously developed tools to assess frailty that have been shown to be predictive of death or need for entry into an institutional facility have not gained acceptance among practising clinicians. We aimed to develop a tool that would be both predictive and easy to use. Methods: We developed the 7-point Clinical Frailty Scale and applied it and other established tools that measure frailty to 2305 elderly patients who participated in the second stage of the Canadian Study of Health and Aging (CSHA). We followed this cohort prospectively; after 5 years, we determined the ability of the Clinical Frailty Scale to predict death or need for institutional care, and correlated the results with those obtained from other established tools. Results: The CSHA Clinical Frailty Scale was highly correlated (r = 0.80) with the Frailty Index. Each 1-category increment of our scale significantly increased the medium-term risks of death (21.2% within about 70 mo, 95% confidence interval [CI] 12.5%-30.6%) and entry into an institution (23.9%, 95% CI 8.8%-41.2%) in multivariable models that adjusted for age, sex and education. Analyses of receiver operating characteristic curves showed that our Clinical Frailty Scale performed better than measures of cognition, function or comorbidity in assessing risk for death (area under the curve 0.77 for 18-month and 0.70 for 70-month mortality). Interpretation: Frailty is a valid and clinically important construct that is recognizable by physicians. Clinical judgments about frailty can yield useful predictive information. © 2005 CMA Media Inc. or its licensors.&quot;,&quot;author&quot;:[{&quot;dropping-particle&quot;:&quot;&quot;,&quot;family&quot;:&quot;Rockwood&quot;,&quot;given&quot;:&quot;Kenneth&quot;,&quot;non-dropping-particle&quot;:&quot;&quot;,&quot;parse-names&quot;:false,&quot;suffix&quot;:&quot;&quot;},{&quot;dropping-particle&quot;:&quot;&quot;,&quot;family&quot;:&quot;Song&quot;,&quot;given&quot;:&quot;Xiaowei&quot;,&quot;non-dropping-particle&quot;:&quot;&quot;,&quot;parse-names&quot;:false,&quot;suffix&quot;:&quot;&quot;},{&quot;dropping-particle&quot;:&quot;&quot;,&quot;family&quot;:&quot;MacKnight&quot;,&quot;given&quot;:&quot;Chris&quot;,&quot;non-dropping-particle&quot;:&quot;&quot;,&quot;parse-names&quot;:false,&quot;suffix&quot;:&quot;&quot;},{&quot;dropping-particle&quot;:&quot;&quot;,&quot;family&quot;:&quot;Bergman&quot;,&quot;given&quot;:&quot;Howard&quot;,&quot;non-dropping-particle&quot;:&quot;&quot;,&quot;parse-names&quot;:false,&quot;suffix&quot;:&quot;&quot;},{&quot;dropping-particle&quot;:&quot;&quot;,&quot;family&quot;:&quot;Hogan&quot;,&quot;given&quot;:&quot;David B.&quot;,&quot;non-dropping-particle&quot;:&quot;&quot;,&quot;parse-names&quot;:false,&quot;suffix&quot;:&quot;&quot;},{&quot;dropping-particle&quot;:&quot;&quot;,&quot;family&quot;:&quot;McDowell&quot;,&quot;given&quot;:&quot;Ian&quot;,&quot;non-dropping-particle&quot;:&quot;&quot;,&quot;parse-names&quot;:false,&quot;suffix&quot;:&quot;&quot;},{&quot;dropping-particle&quot;:&quot;&quot;,&quot;family&quot;:&quot;Mitnitski&quot;,&quot;given&quot;:&quot;Arnold&quot;,&quot;non-dropping-particle&quot;:&quot;&quot;,&quot;parse-names&quot;:false,&quot;suffix&quot;:&quot;&quot;}],&quot;container-title&quot;:&quot;CMAJ&quot;,&quot;id&quot;:&quot;0fc17bab-1a88-3597-808f-2f75f184b85a&quot;,&quot;issue&quot;:&quot;5&quot;,&quot;issued&quot;:{&quot;date-parts&quot;:[[&quot;2005&quot;,&quot;8&quot;,&quot;30&quot;]]},&quot;page&quot;:&quot;489-495&quot;,&quot;publisher&quot;:&quot;CMAJ&quot;,&quot;title&quot;:&quot;A global clinical measure of fitness and frailty in elderly people&quot;,&quot;type&quot;:&quot;article-journal&quot;,&quot;volume&quot;:&quot;173&quot;},&quot;uris&quot;:[&quot;http://www.mendeley.com/documents/?uuid=0fc17bab-1a88-3597-808f-2f75f184b85a&quot;],&quot;isTemporary&quot;:false,&quot;legacyDesktopId&quot;:&quot;0fc17bab-1a88-3597-808f-2f75f184b85a&quot;},{&quot;id&quot;:&quot;dd66bcba-60a1-3f4c-98ed-6a499ee22102&quot;,&quot;itemData&quot;:{&quot;DOI&quot;:&quot;10.1093/ageing/afx162&quot;,&quot;ISSN&quot;:&quot;0002-0729&quot;,&quot;abstract&quot;:&quot;Background: two popular operational definitions of frailty, the frailty phenotype and Frailty index (FI), are based on different theories. Although FI was shown to be superior in predicting mortality to the frailty phenotype, no meta-analysis on mortality risk according to FI has been found in the literature. Methods: an electronic systematic literature search was conducted in August 2016 using four databases (Embase, Medline, CINAHL and PsycINFO) for prospective cohort studies published in 2000 or later, examining the mortality risk according to frailty measured by FI. A meta-analysis was performed to synthesise pooled mortality risk estimates. Results: of 2,617 studies identified by the systematic review, 18 cohorts from 19 studies were included. Thirteen cohorts showed hazard ratios (HRs) per 0.01 increase in FI, six cohorts showed HRs per 0.1 increase in FI and two cohorts each showed odds ratios (ORs) per 0.01 and 0.1 increase in FI, respectively. All meta-analyses suggested that higher FI was significantly associated with higher mortality risk (pooled HR per 0.01 FI increase = 1.039, 95% CI = 1.033-1.044, P &lt; 0.001; pooled HR per 0.1 FI increase = 1.282, 95% CI = 1.258-1.307, P &lt; 0.001; pooled OR per 0.01 FI increase = 1.054, 95% CI = 1.040-1.068, P &lt; 0.001; pooled OR per 0.1 FI increase = 1.706, 95% CI = 1.547-1.881, P &lt; 0.001). Meta-regression analysis among 13 cohorts with HR per 0.01 increase in FI showed that the studies with shorter follow-up periods and with lower female proportion were associated with higher mortality risks by FI. Conclusions: this systematic review and meta-analysis was the first to quantitatively demonstrate that frailty measured by the FI is a significant predictor of mortality.&quot;,&quot;author&quot;:[{&quot;dropping-particle&quot;:&quot;&quot;,&quot;family&quot;:&quot;Kojima&quot;,&quot;given&quot;:&quot;Gotaro&quot;,&quot;non-dropping-particle&quot;:&quot;&quot;,&quot;parse-names&quot;:false,&quot;suffix&quot;:&quot;&quot;},{&quot;dropping-particle&quot;:&quot;&quot;,&quot;family&quot;:&quot;Iliffe&quot;,&quot;given&quot;:&quot;Steve&quot;,&quot;non-dropping-particle&quot;:&quot;&quot;,&quot;parse-names&quot;:false,&quot;suffix&quot;:&quot;&quot;},{&quot;dropping-particle&quot;:&quot;&quot;,&quot;family&quot;:&quot;Walters&quot;,&quot;given&quot;:&quot;Kate&quot;,&quot;non-dropping-particle&quot;:&quot;&quot;,&quot;parse-names&quot;:false,&quot;suffix&quot;:&quot;&quot;}],&quot;container-title&quot;:&quot;Age and Ageing&quot;,&quot;id&quot;:&quot;dd66bcba-60a1-3f4c-98ed-6a499ee22102&quot;,&quot;issue&quot;:&quot;2&quot;,&quot;issued&quot;:{&quot;date-parts&quot;:[[&quot;2018&quot;,&quot;3&quot;,&quot;1&quot;]]},&quot;page&quot;:&quot;193-200&quot;,&quot;publisher&quot;:&quot;Oxford University Press&quot;,&quot;title&quot;:&quot;Frailty index as a predictor of mortality: a systematic review and meta-analysis&quot;,&quot;type&quot;:&quot;article-journal&quot;,&quot;volume&quot;:&quot;47&quot;},&quot;uris&quot;:[&quot;http://www.mendeley.com/documents/?uuid=dd66bcba-60a1-3f4c-98ed-6a499ee22102&quot;],&quot;isTemporary&quot;:false,&quot;legacyDesktopId&quot;:&quot;dd66bcba-60a1-3f4c-98ed-6a499ee22102&quot;}],&quot;properties&quot;:{&quot;noteIndex&quot;:0},&quot;isEdited&quot;:false,&quot;manualOverride&quot;:{&quot;citeprocText&quot;:&quot;[26, 27]&quot;,&quot;isManuallyOverridden&quot;:false,&quot;manualOverrideText&quot;:&quot;&quot;},&quot;citationTag&quot;:&quot;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&quot;},{&quot;citationID&quot;:&quot;MENDELEY_CITATION_32d9eddd-7df8-4561-b304-31ebce510d9e&quot;,&quot;citationItems&quot;:[{&quot;id&quot;:&quot;f158bcba-30cf-31f9-8c61-ea51fc78afa0&quot;,&quot;itemData&quot;:{&quot;DOI&quot;:&quot;10.1371/journal.pone.0120144&quot;,&quot;ISSN&quot;:&quot;1932-6203&quot;,&quot;abstract&quot;:&quot;Objectives: To compare the predictive accuracy of the frailty index (FI) of deficit accumulation and the phenotypic frailty (PF) model in predicting risks of future falls, fractures and death in women aged ≥55 years. Methods: Based on the data from the Global Longitudinal Study of Osteoporosis in Women (GLOW) 3-year Hamilton cohort (n = 3,985), we compared the predictive accuracy of the FI and PF in risks of falls, fractures and death using three strategies: (1) investigated the relationship with adverse health outcomes by increasing per one-fifth (i.e., 20%) of the FI and PF; (2) trichotomized the FI based on the overlap in the density distribution of the FI by the three groups (robust, pre-frail and frail) which were defined by the PF; (3) categorized the women according to a predicted probability function of falls during the third year of follow-up predicted by the FI. Logistic regression models were used for falls and death, while survival analyses were conducted for fractures. Results: The FI and PF agreed with each other at a good level of consensus (correlation coefficients ≥ 0.56) in all the three strategies. Both the FI and PF approaches predicted adverse health outcomes significantly. The FI quantified the risks of future falls, fractures and death more precisely than the PF. Both the FI and PF discriminated risks of adverse outcomes in multivariable models with acceptable and comparable area under the curve (AUCs) for falls (AUCs ≥ 0.68) and death (AUCs ≥ 0.79), and c-indices for fractures (c-indices ≥ 0.69) respectively. Conclusions: The FI is comparable with the PF in predicting risks of adverse health outcomes. These findings may indicate the flexibility in the choice of frailty model for the elderly in the populationbased settings.&quot;,&quot;author&quot;:[{&quot;dropping-particle&quot;:&quot;&quot;,&quot;family&quot;:&quot;Li&quot;,&quot;given&quot;:&quot;Guowei&quot;,&quot;non-dropping-particle&quot;:&quot;&quot;,&quot;parse-names&quot;:false,&quot;suffix&quot;:&quot;&quot;},{&quot;dropping-particle&quot;:&quot;&quot;,&quot;family&quot;:&quot;Thabane&quot;,&quot;given&quot;:&quot;Lehana&quot;,&quot;non-dropping-particle&quot;:&quot;&quot;,&quot;parse-names&quot;:false,&quot;suffix&quot;:&quot;&quot;},{&quot;dropping-particle&quot;:&quot;&quot;,&quot;family&quot;:&quot;Ioannidis&quot;,&quot;given&quot;:&quot;George&quot;,&quot;non-dropping-particle&quot;:&quot;&quot;,&quot;parse-names&quot;:false,&quot;suffix&quot;:&quot;&quot;},{&quot;dropping-particle&quot;:&quot;&quot;,&quot;family&quot;:&quot;Kennedy&quot;,&quot;given&quot;:&quot;Courtney&quot;,&quot;non-dropping-particle&quot;:&quot;&quot;,&quot;parse-names&quot;:false,&quot;suffix&quot;:&quot;&quot;},{&quot;dropping-particle&quot;:&quot;&quot;,&quot;family&quot;:&quot;Papaioannou&quot;,&quot;given&quot;:&quot;Alexandra&quot;,&quot;non-dropping-particle&quot;:&quot;&quot;,&quot;parse-names&quot;:false,&quot;suffix&quot;:&quot;&quot;},{&quot;dropping-particle&quot;:&quot;&quot;,&quot;family&quot;:&quot;Adachi&quot;,&quot;given&quot;:&quot;Jonathan D.&quot;,&quot;non-dropping-particle&quot;:&quot;&quot;,&quot;parse-names&quot;:false,&quot;suffix&quot;:&quot;&quot;}],&quot;container-title&quot;:&quot;PLOS ONE&quot;,&quot;editor&quot;:[{&quot;dropping-particle&quot;:&quot;&quot;,&quot;family&quot;:&quot;Chamberlain&quot;,&quot;given&quot;:&quot;Alanna M&quot;,&quot;non-dropping-particle&quot;:&quot;&quot;,&quot;parse-names&quot;:false,&quot;suffix&quot;:&quot;&quot;}],&quot;id&quot;:&quot;f158bcba-30cf-31f9-8c61-ea51fc78afa0&quot;,&quot;issue&quot;:&quot;3&quot;,&quot;issued&quot;:{&quot;date-parts&quot;:[[&quot;2015&quot;,&quot;3&quot;,&quot;12&quot;]]},&quot;page&quot;:&quot;e0120144&quot;,&quot;publisher&quot;:&quot;Public Library of Science&quot;,&quot;title&quot;:&quot;Comparison between Frailty Index of Deficit Accumulation and Phenotypic Model to Predict Risk of Falls: Data from the Global Longitudinal Study of Osteoporosis in Women (GLOW) Hamilton Cohort&quot;,&quot;type&quot;:&quot;article-journal&quot;,&quot;volume&quot;:&quot;10&quot;},&quot;uris&quot;:[&quot;http://www.mendeley.com/documents/?uuid=f158bcba-30cf-31f9-8c61-ea51fc78afa0&quot;],&quot;isTemporary&quot;:false,&quot;legacyDesktopId&quot;:&quot;f158bcba-30cf-31f9-8c61-ea51fc78afa0&quot;}],&quot;properties&quot;:{&quot;noteIndex&quot;:0},&quot;isEdited&quot;:false,&quot;manualOverride&quot;:{&quot;citeprocText&quot;:&quot;[28]&quot;,&quot;isManuallyOverridden&quot;:false,&quot;manualOverrideText&quot;:&quot;&quot;},&quot;citationTag&quot;:&quot;MENDELEY_CITATION_v3_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&quot;},{&quot;citationID&quot;:&quot;MENDELEY_CITATION_a8509311-46bd-4502-8811-8038bbd31625&quot;,&quot;properties&quot;:{&quot;noteIndex&quot;:0},&quot;isEdited&quot;:false,&quot;manualOverride&quot;:{&quot;isManuallyOverridden&quot;:false,&quot;citeprocText&quot;:&quot;[29]&quot;,&quot;manualOverrideText&quot;:&quot;&quot;},&quot;citationItems&quot;:[{&quot;id&quot;:&quot;16d49c1f-1846-3c42-8aee-f94c1edc2e3c&quot;,&quot;itemData&quot;:{&quot;type&quot;:&quot;article-journal&quot;,&quot;id&quot;:&quot;16d49c1f-1846-3c42-8aee-f94c1edc2e3c&quot;,&quot;title&quot;:&quot;Frailty in older adults: evidence for a phenotype&quot;,&quot;author&quot;:[{&quot;family&quot;:&quot;Fried&quot;,&quot;given&quot;:&quot;L P&quot;,&quot;parse-names&quot;:false,&quot;dropping-particle&quot;:&quot;&quot;,&quot;non-dropping-particle&quot;:&quot;&quot;},{&quot;family&quot;:&quot;Tangen&quot;,&quot;given&quot;:&quot;C M&quot;,&quot;parse-names&quot;:false,&quot;dropping-particle&quot;:&quot;&quot;,&quot;non-dropping-particle&quot;:&quot;&quot;},{&quot;family&quot;:&quot;Walston&quot;,&quot;given&quot;:&quot;J&quot;,&quot;parse-names&quot;:false,&quot;dropping-particle&quot;:&quot;&quot;,&quot;non-dropping-particle&quot;:&quot;&quot;},{&quot;family&quot;:&quot;Newman&quot;,&quot;given&quot;:&quot;A B&quot;,&quot;parse-names&quot;:false,&quot;dropping-particle&quot;:&quot;&quot;,&quot;non-dropping-particle&quot;:&quot;&quot;},{&quot;family&quot;:&quot;Hirsch&quot;,&quot;given&quot;:&quot;C&quot;,&quot;parse-names&quot;:false,&quot;dropping-particle&quot;:&quot;&quot;,&quot;non-dropping-particle&quot;:&quot;&quot;},{&quot;family&quot;:&quot;Gottdiener&quot;,&quot;given&quot;:&quot;J&quot;,&quot;parse-names&quot;:false,&quot;dropping-particle&quot;:&quot;&quot;,&quot;non-dropping-particle&quot;:&quot;&quot;},{&quot;family&quot;:&quot;Seeman&quot;,&quot;given&quot;:&quot;T&quot;,&quot;parse-names&quot;:false,&quot;dropping-particle&quot;:&quot;&quot;,&quot;non-dropping-particle&quot;:&quot;&quot;},{&quot;family&quot;:&quot;Tracy&quot;,&quot;given&quot;:&quot;R&quot;,&quot;parse-names&quot;:false,&quot;dropping-particle&quot;:&quot;&quot;,&quot;non-dropping-particle&quot;:&quot;&quot;},{&quot;family&quot;:&quot;Kop&quot;,&quot;given&quot;:&quot;W J&quot;,&quot;parse-names&quot;:false,&quot;dropping-particle&quot;:&quot;&quot;,&quot;non-dropping-particle&quot;:&quot;&quot;},{&quot;family&quot;:&quot;Burke&quot;,&quot;given&quot;:&quot;G&quot;,&quot;parse-names&quot;:false,&quot;dropping-particle&quot;:&quot;&quot;,&quot;non-dropping-particle&quot;:&quot;&quot;},{&quot;family&quot;:&quot;McBurnie&quot;,&quot;given&quot;:&quot;M A&quot;,&quot;parse-names&quot;:false,&quot;dropping-particle&quot;:&quot;&quot;,&quot;non-dropping-particle&quot;:&quot;&quot;},{&quot;family&quot;:&quot;Group&quot;,&quot;given&quot;:&quot;Cardiovascular Health Study Collaborative Research&quot;,&quot;parse-names&quot;:false,&quot;dropping-particle&quot;:&quot;&quot;,&quot;non-dropping-particle&quot;:&quot;&quot;}],&quot;container-title&quot;:&quot;The Journals of Gerontology. Series A, Biological Sciences and Medical Sciences&quot;,&quot;DOI&quot;:&quot;10.1093/gerona/56.3.m146&quot;,&quot;ISSN&quot;:&quot;1079-5006&quot;,&quot;URL&quot;:&quot;http://files/325/Fried et al. - 2001 - Frailty in older adults evidence for a phenotype.pdf&quot;,&quot;issued&quot;:{&quot;date-parts&quot;:[[2001]]},&quot;page&quot;:&quot;M146-156&quot;,&quot;language&quot;:&quot;eng&quot;,&quot;abstract&quot;:&quot;BACKGROUND: Frailty is considered highly prevalent in old age and to confer high risk for falls, disability, hospitalization, and mortality. Frailty has been considered synonymous with disability, comorbidity, and other characteristics, but it is recognized that it may have a biologic basis and be a distinct clinical syndrome. A standardized definition has not yet been established. METHODS: To develop and operationalize a phenotype of frailty in older adults and assess concurrent and predictive validity, the study used data from the Cardiovascular Health Study. Participants were 5,317 men and women 65 years and older (4,735 from an original cohort recruited in 1989-90 and 582 from an African American cohort recruited in 1992-93). Both cohorts received almost identical baseline evaluations and 7 and 4 years of follow-up, respectively, with annual examinations and surveillance for outcomes including incident disease, hospitalization, falls, disability, and mortality. RESULTS: Frailty was defined as a clinical syndrome in which three or more of the following criteria were present: unintentional weight loss (10 lbs in past year), self-reported exhaustion, weakness (grip strength), slow walking speed, and low physical activity. The overall prevalence of frailty in this community-dwelling population was 6.9%; it increased with age and was greater in women than men. Four-year incidence was 7.2%. Frailty was associated with being African American, having lower education and income, poorer health, and having higher rates of comorbid chronic diseases and disability. There was overlap, but not concordance, in the cooccurrence of frailty, comorbidity, and disability. This frailty phenotype was independently predictive (over 3 years) of incident falls, worsening mobility or ADL disability, hospitalization, and death, with hazard ratios ranging from 1.82 to 4.46, unadjusted, and 1.29-2.24, adjusted for a number of health, disease, and social characteristics predictive of 5-year mortality. Intermediate frailty status, as indicated by the presence of one or two criteria, showed intermediate risk of these outcomes as well as increased risk of becoming frail over 3-4 years of follow-up (odds ratios for incident frailty = 4.51 unadjusted and 2.63 adjusted for covariates, compared to those with no frailty criteria at baseline). CONCLUSIONS: This study provides a potential standardized definition for frailty in community-dwelling older adults and offers concurrent and predictive validity for the definition. It also finds that there is an intermediate stage identifying those at high risk of frailty. Finally, it provides evidence that frailty is not synonymous with either comorbidity or disability, but comorbidity is an etiologic risk factor for, and disability is an outcome of, frailty. This provides a potential basis for clinical assessment for those who are frail or at risk, and for future research to develop interventions for frailty based on a standardized ascertainment of frailty.&quot;,&quot;issue&quot;:&quot;3&quot;,&quot;volume&quot;:&quot;56&quot;,&quot;expandedJournalTitle&quot;:&quot;The Journals of Gerontology. Series A, Biological Sciences and Medical Sciences&quot;},&quot;isTemporary&quot;:false}],&quot;citationTag&quot;:&quot;MENDELEY_CITATION_v3_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&quot;},{&quot;citationID&quot;:&quot;MENDELEY_CITATION_3683ed39-0582-4752-983a-143cfca9f893&quot;,&quot;citationItems&quot;:[{&quot;id&quot;:&quot;19aec7d6-3779-3e21-abb9-fcd769298e47&quot;,&quot;itemData&quot;:{&quot;DOI&quot;:&quot;10.1016/j.jamda.2019.12.008&quot;,&quot;ISSN&quot;:&quot;1538-9375&quot;,&quot;PMID&quot;:&quot;32005416&quot;,&quot;abstract&quot;:&quot;OBJECTIVES To develop short versions of the Frailty Trait Scale (FTS) for use in clinical settings. DESIGN Prospective population-based cohort study. SETTING AND PARTICIPANTS Data from 1634 participants from the Toledo Study for Healthy Aging. METHODS The 12-item Frailty Trait Scale (FTS) reduction was performed based on an area under the curve (AUC) analysis adjusted by age, sex, and comorbidity. Items that maximized prognostic information for adverse events were selected. Each item score was done at the same time as the reduction, identifying the score that maximized the predictive ability for adverse events. For each short version of the FTS, cutoffs that optimized the prognostic information (sensitivity and specificity) were chosen, and their predictive value was later compared with a surrogate gold standard for frailty (the Fried Phenotype). RESULTS Two short forms, the 5-item (FTS5) (range 0-50) and 3-item (FTS3) (range 0-30), were identified, both with AUCs for health adverse events similar to the 12-item FTS. The identified cutoffs were &gt;25 for the FTS5 scale and &gt;15 for the FTS3. The frailty prevalence with these cutoffs was 24% and 20% for the FTS5 and FTS3, respectively, whereas frailty according to Fried Phenotype (FP) reached 8% and prefrailty reached 41%. In general, the FTS5 showed better prognostic performance than the FP, especially with prefrail individuals, in whom the FTS5 form identified 65% of participants with an almost basal risk and 35% with a very high risk for mortality (OR: 4) and frailty (OR: 6.6-8.7), a high risk for hospitalization (OR: 1.9-2.1), and a moderate risk for disability (OR: 1.7) who could be considered frail. The FTS3 form had worse performance than the FTS5, showing 31% of false negatives between frail participants identified by FP with a high risk of adverse events. CONCLUSIONS AND IMPLICATIONS The FTS5 is a short scale that is easy to administer and has a similar performance to the FTS, and it can be used in clinical settings for frailty diagnosis and evolution.&quot;,&quot;author&quot;:[{&quot;dropping-particle&quot;:&quot;&quot;,&quot;family&quot;:&quot;García-García&quot;,&quot;given&quot;:&quot;Francisco Jose&quot;,&quot;non-dropping-particle&quot;:&quot;&quot;,&quot;parse-names&quot;:false,&quot;suffix&quot;:&quot;&quot;},{&quot;dropping-particle&quot;:&quot;&quot;,&quot;family&quot;:&quot;Carnicero&quot;,&quot;given&quot;:&quot;Jose Antonio&quot;,&quot;non-dropping-particle&quot;:&quot;&quot;,&quot;parse-names&quot;:false,&quot;suffix&quot;:&quot;&quot;},{&quot;dropping-particle&quot;:&quot;&quot;,&quot;family&quot;:&quot;Losa-Reyna&quot;,&quot;given&quot;:&quot;Jose&quot;,&quot;non-dropping-particle&quot;:&quot;&quot;,&quot;parse-names&quot;:false,&quot;suffix&quot;:&quot;&quot;},{&quot;dropping-particle&quot;:&quot;&quot;,&quot;family&quot;:&quot;Alfaro-Acha&quot;,&quot;given&quot;:&quot;Ana&quot;,&quot;non-dropping-particle&quot;:&quot;&quot;,&quot;parse-names&quot;:false,&quot;suffix&quot;:&quot;&quot;},{&quot;dropping-particle&quot;:&quot;&quot;,&quot;family&quot;:&quot;Castillo-Gallego&quot;,&quot;given&quot;:&quot;Carmen&quot;,&quot;non-dropping-particle&quot;:&quot;&quot;,&quot;parse-names&quot;:false,&quot;suffix&quot;:&quot;&quot;},{&quot;dropping-particle&quot;:&quot;&quot;,&quot;family&quot;:&quot;Rosado-Artalejo&quot;,&quot;given&quot;:&quot;Cristina&quot;,&quot;non-dropping-particle&quot;:&quot;&quot;,&quot;parse-names&quot;:false,&quot;suffix&quot;:&quot;&quot;},{&quot;dropping-particle&quot;:&quot;&quot;,&quot;family&quot;:&quot;Gutiérrrez-Ávila&quot;,&quot;given&quot;:&quot;Gonzalo&quot;,&quot;non-dropping-particle&quot;:&quot;&quot;,&quot;parse-names&quot;:false,&quot;suffix&quot;:&quot;&quot;},{&quot;dropping-particle&quot;:&quot;&quot;,&quot;family&quot;:&quot;Rodriguez-Mañas&quot;,&quot;given&quot;:&quot;Leocadio&quot;,&quot;non-dropping-particle&quot;:&quot;&quot;,&quot;parse-names&quot;:false,&quot;suffix&quot;:&quot;&quot;}],&quot;container-title&quot;:&quot;Journal of the American Medical Directors Association&quot;,&quot;id&quot;:&quot;19aec7d6-3779-3e21-abb9-fcd769298e47&quot;,&quot;issued&quot;:{&quot;date-parts&quot;:[[&quot;2020&quot;,&quot;1&quot;,&quot;28&quot;]]},&quot;publisher&quot;:&quot;Elsevier Inc.&quot;,&quot;title&quot;:&quot;Frailty Trait Scale-Short Form: A Frailty Instrument for Clinical Practice.&quot;,&quot;type&quot;:&quot;article-journal&quot;},&quot;uris&quot;:[&quot;http://www.mendeley.com/documents/?uuid=19aec7d6-3779-3e21-abb9-fcd769298e47&quot;],&quot;isTemporary&quot;:false,&quot;legacyDesktopId&quot;:&quot;19aec7d6-3779-3e21-abb9-fcd769298e47&quot;}],&quot;properties&quot;:{&quot;noteIndex&quot;:0},&quot;isEdited&quot;:false,&quot;manualOverride&quot;:{&quot;citeprocText&quot;:&quot;[30]&quot;,&quot;isManuallyOverridden&quot;:false,&quot;manualOverrideText&quot;:&quot;&quot;},&quot;citationTag&quot;:&quot;MENDELEY_CITATION_v3_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&quot;},{&quot;citationID&quot;:&quot;MENDELEY_CITATION_4026037a-d09f-4b56-b91c-e0992bd82d7f&quot;,&quot;properties&quot;:{&quot;noteIndex&quot;:0},&quot;isEdited&quot;:false,&quot;manualOverride&quot;:{&quot;isManuallyOverridden&quot;:false,&quot;citeprocText&quot;:&quot;[31]&quot;,&quot;manualOverrideText&quot;:&quot;&quot;},&quot;citationItems&quot;:[{&quot;id&quot;:&quot;edc268fb-f45d-32d1-9fda-9be3c8b61f00&quot;,&quot;itemData&quot;:{&quot;type&quot;:&quot;article-journal&quot;,&quot;id&quot;:&quot;edc268fb-f45d-32d1-9fda-9be3c8b61f00&quot;,&quot;title&quot;:&quot;Associations between frailty trajectories and frailty status and adverse outcomes in community-dwelling older adults&quot;,&quot;author&quot;:[{&quot;family&quot;:&quot;Álvarez-Bustos&quot;,&quot;given&quot;:&quot;Alejandro&quot;,&quot;parse-names&quot;:false,&quot;dropping-particle&quot;:&quot;&quot;,&quot;non-dropping-particle&quot;:&quot;&quot;},{&quot;family&quot;:&quot;Carnicero-Carreño&quot;,&quot;given&quot;:&quot;Jose Antonio&quot;,&quot;parse-names&quot;:false,&quot;dropping-particle&quot;:&quot;&quot;,&quot;non-dropping-particle&quot;:&quot;&quot;},{&quot;family&quot;:&quot;Sanchez-Sanchez&quot;,&quot;given&quot;:&quot;Juan Luis&quot;,&quot;parse-names&quot;:false,&quot;dropping-particle&quot;:&quot;&quot;,&quot;non-dropping-particle&quot;:&quot;&quot;},{&quot;family&quot;:&quot;Garcia-Garcia&quot;,&quot;given&quot;:&quot;Francisco Javier&quot;,&quot;parse-names&quot;:false,&quot;dropping-particle&quot;:&quot;&quot;,&quot;non-dropping-particle&quot;:&quot;&quot;},{&quot;family&quot;:&quot;Alonso-Bouzón&quot;,&quot;given&quot;:&quot;Cristina&quot;,&quot;parse-names&quot;:false,&quot;dropping-particle&quot;:&quot;&quot;,&quot;non-dropping-particle&quot;:&quot;&quot;},{&quot;family&quot;:&quot;Rodríguez-Mañas&quot;,&quot;given&quot;:&quot;Leocadio&quot;,&quot;parse-names&quot;:false,&quot;dropping-particle&quot;:&quot;&quot;,&quot;non-dropping-particle&quot;:&quot;&quot;}],&quot;container-title&quot;:&quot;Journal of cachexia, sarcopenia and muscle&quot;,&quot;accessed&quot;:{&quot;date-parts&quot;:[[2022,2,14]]},&quot;DOI&quot;:&quot;10.1002/JCSM.12888&quot;,&quot;ISSN&quot;:&quot;2190-6009&quot;,&quot;PMID&quot;:&quot;34951157&quot;,&quot;URL&quot;:&quot;https://pubmed.ncbi.nlm.nih.gov/34951157/&quot;,&quot;issued&quot;:{&quot;date-parts&quot;:[[2022]]},&quot;abstract&quot;:&quot;Background: The association between frailty and adverse outcomes has been clearly defined. Frailty is associated with age, but different frailty evolution patterns might determine the incidence of adverse outcomes at older ages. So far, few observational studies have examined how distinct frailty trajectories could be associated with differences in the risk of adverse events and assessing whether frailty trajectories could define risk of death, hospitalization, worsening, and incident disability better than one-off assessment. Our hypothesis is that prospective increases in frailty levels are associated with higher risk of adverse events compared with subjects that prospectively decreased frailty levels. Methods: Participants' data were taken from the Toledo Study of Healthy Ageing. Frailty was evaluated using the Frailty Trait Scale 5 (FTS5), being 0 the lower (the most robust) and 50 the highest (the frailest) score. FTS5 scores at baseline and follow-up (median 5.04 years) were used to construct frailty trajectories according to group-based trajectory modelling (GBTM). Multivariate Cox proportional hazard and logistic regression models were used to explore associations between frailty status and trajectory membership and the adverse outcomes. Deaths were ascertained through the Spanish National Death Index. Disability was evaluated through the Katz Index. Hospitalization was defined as first admission to Toledo Hospital. Results: Nine hundred and seventy-five older adults (mean age 73.14 ± 4.69; 43.38% men) were included. GBTM identified five FTS5 trajectories: worsening from non-frailty (WNF), improving to non-frailty (INF), developing frailty (DF), remaining frail (RF), and increasing frailty (IF). Subjects belonging to trajectories of increasing frailty scores or showing consistently higher frailty levels presented with an increased risk of mortality {DF [hazard ratio (HR), 95% confidence interval (CI)] = 2.01 [1.21–3.32]; RF = 1.92 [1.18–3.12]; IF = 2.67 [1.48–4.81]}, incident [DF (HR, 95% CI) = 2.06 (1.11–3.82); RF = 2.29 (1.30–4.03); IF = 3.55 (1.37–9.24)], and worsening disability [DF (HR, 95% CI) = 2.11 (1.19–3.76); RF = 2.14 (1.26–3.64); IF = 2.21 (1.06–4.62)], compared with subjects prospectively showing decreases in frailty levels or maintaining low FTS5 scores. A secondary result was a significant dose–response relationship between baseline FTS5 score and adverse events. Conclusions: Belonging to trajectories of prospectively increasing/consistently high frailty scores over time are associated with an increased risk of adverse outcomes compared with maintaining low or reducing frailty scores. Our results support the dynamic nature of frailty and the potential benefit of interventions aimed at reducing its levels on relevant and burdensome adverse outcomes.&quot;,&quot;publisher&quot;:&quot;J Cachexia Sarcopenia Muscle&quot;,&quot;issue&quot;:&quot;1&quot;,&quot;volume&quot;:&quot;13&quot;,&quot;expandedJournalTitle&quot;:&quot;Journal of cachexia, sarcopenia and muscle&quot;},&quot;isTemporary&quot;:false}],&quot;citationTag&quot;:&quot;MENDELEY_CITATION_v3_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&quot;},{&quot;citationID&quot;:&quot;MENDELEY_CITATION_dc2c6533-ae1f-4b74-a4ed-0b1186328da6&quot;,&quot;citationItems&quot;:[{&quot;id&quot;:&quot;250d39a5-eec1-3844-b524-0df5a42b56ee&quot;,&quot;itemData&quot;:{&quot;DOI&quot;:&quot;10.1016/j.jpsychores.2015.09.015&quot;,&quot;ISSN&quot;:&quot;18791360&quot;,&quot;PMID&quot;:&quot;26526316&quot;,&quot;abstract&quot;:&quot;Objectives: Measures of frailty (Groningen Frailty Indicator, GFI) and case complexity (INTERMED for the Elderly, IM-E-SA) may assist healthcare professionals to allocate healthcare resources. Both instruments have been evaluated with good psychometric properties. Limited evidence has been published about their predictive validity. Thus, our aim is to evaluate the predictive validity of both instruments on healthcare costs. Methods: Multivariate linear regression models were developed to estimate associations between the predictors frailty (GFI) and/or case complexity (IM-E-SA) and the healthcare costs (in € log transformed) in the following year. All models were adjusted for demographics and the presence of morbidity. Results: In the multivariate regression analyses the continuous scores of the GFI and IM-E-SA remained significant predictors for total healthcare costs. Adjusted βs for GFI and IM-E-SA were respectively 0.14 (95% CI 0.10-0.18) and 0.06 (95% CI 0.04-0.07). The corresponding explained variance (R2) for both models was 0.40. Frailty remained a significant predictor of long-term care costs (adjusted β 0.13 [95% CI 0.09-0.16]), while case complexity was a significant predictor of curative care costs (adjusted β 0.03 [95% CI 0.02-0.05]). Conclusions: The GFI and IM-E-SA both accurately predict total healthcare costs in the following year.&quot;,&quot;author&quot;:[{&quot;dropping-particle&quot;:&quot;&quot;,&quot;family&quot;:&quot;Peters&quot;,&quot;given&quot;:&quot;Lilian L.&quot;,&quot;non-dropping-particle&quot;:&quot;&quot;,&quot;parse-names&quot;:false,&quot;suffix&quot;:&quot;&quot;},{&quot;dropping-particle&quot;:&quot;&quot;,&quot;family&quot;:&quot;Burgerhof&quot;,&quot;given&quot;:&quot;Johannes G.M.&quot;,&quot;non-dropping-particle&quot;:&quot;&quot;,&quot;parse-names&quot;:false,&quot;suffix&quot;:&quot;&quot;},{&quot;dropping-particle&quot;:&quot;&quot;,&quot;family&quot;:&quot;Boter&quot;,&quot;given&quot;:&quot;Han&quot;,&quot;non-dropping-particle&quot;:&quot;&quot;,&quot;parse-names&quot;:false,&quot;suffix&quot;:&quot;&quot;},{&quot;dropping-particle&quot;:&quot;&quot;,&quot;family&quot;:&quot;Wild&quot;,&quot;given&quot;:&quot;Beate&quot;,&quot;non-dropping-particle&quot;:&quot;&quot;,&quot;parse-names&quot;:false,&quot;suffix&quot;:&quot;&quot;},{&quot;dropping-particle&quot;:&quot;&quot;,&quot;family&quot;:&quot;Buskens&quot;,&quot;given&quot;:&quot;Erik&quot;,&quot;non-dropping-particle&quot;:&quot;&quot;,&quot;parse-names&quot;:false,&quot;suffix&quot;:&quot;&quot;},{&quot;dropping-particle&quot;:&quot;&quot;,&quot;family&quot;:&quot;Slaets&quot;,&quot;given&quot;:&quot;Joris P.J.&quot;,&quot;non-dropping-particle&quot;:&quot;&quot;,&quot;parse-names&quot;:false,&quot;suffix&quot;:&quot;&quot;}],&quot;container-title&quot;:&quot;Journal of Psychosomatic Research&quot;,&quot;id&quot;:&quot;250d39a5-eec1-3844-b524-0df5a42b56ee&quot;,&quot;issue&quot;:&quot;5&quot;,&quot;issued&quot;:{&quot;date-parts&quot;:[[&quot;2015&quot;]]},&quot;page&quot;:&quot;404-411&quot;,&quot;publisher&quot;:&quot;Elsevier Inc.&quot;,&quot;title&quot;:&quot;Predictive validity of a frailty measure (GFI) and a case complexity measure (IM-E-SA) on healthcare costs in an elderly population&quot;,&quot;type&quot;:&quot;article-journal&quot;,&quot;volume&quot;:&quot;79&quot;},&quot;uris&quot;:[&quot;http://www.mendeley.com/documents/?uuid=250d39a5-eec1-3844-b524-0df5a42b56ee&quot;],&quot;isTemporary&quot;:false,&quot;legacyDesktopId&quot;:&quot;250d39a5-eec1-3844-b524-0df5a42b56ee&quot;},{&quot;id&quot;:&quot;7368955f-b567-5d83-9ce9-0193a1a6c3c5&quot;,&quot;itemData&quot;:{&quot;DOI&quot;:&quot;10.1111/1475-6773.12518&quot;,&quot;ISSN&quot;:&quot;14756773&quot;,&quot;abstract&quot;:&quot;Objective: Hospital services use, which is a major driver of total health expenditures, is expected to rise over the next decades in Europe, especially because of population aging. The purpose of this article is to better understand the dynamics of older people's demand for hospital care over time in a cross-country setting. Data source: We used data from the Survey on Health, Ageing, and Retirement in Europe (SHARE), in 10 countries between 2004 and 2011. Study Design: We estimated a dynamic panel model of hospital admission for respondents aged 50 years or more. Principal Findings: Following prior research, we found evidence of state dependence in hospital use over time. We also found that rise in frailty—among other health covariates—is a strong predictor of increased hospital use. Progression by one point on the frailty scale [0;5] is associated with an additional risk of about 2.1 percent on average. Conclusions: Our results support promotion of early detection of frailty in primary care, and improvement of coordination between actors within the health system, as potential strategies to reduce avoidable or unnecessary hospital use among frail elderly.&quot;,&quot;author&quot;:[{&quot;dropping-particle&quot;:&quot;&quot;,&quot;family&quot;:&quot;Sirven&quot;,&quot;given&quot;:&quot;Nicolas&quot;,&quot;non-dropping-particle&quot;:&quot;&quot;,&quot;parse-names&quot;:false,&quot;suffix&quot;:&quot;&quot;},{&quot;dropping-particle&quot;:&quot;&quot;,&quot;family&quot;:&quot;Rapp&quot;,&quot;given&quot;:&quot;Thomas&quot;,&quot;non-dropping-particle&quot;:&quot;&quot;,&quot;parse-names&quot;:false,&quot;suffix&quot;:&quot;&quot;}],&quot;container-title&quot;:&quot;Health Services Research&quot;,&quot;id&quot;:&quot;7368955f-b567-5d83-9ce9-0193a1a6c3c5&quot;,&quot;issue&quot;:&quot;3&quot;,&quot;issued&quot;:{&quot;date-parts&quot;:[[&quot;2017&quot;,&quot;6&quot;,&quot;1&quot;]]},&quot;page&quot;:&quot;1168-1184&quot;,&quot;publisher&quot;:&quot;Blackwell Publishing Inc.&quot;,&quot;title&quot;:&quot;The Dynamics of Hospital Use among Older People Evidence for Europe Using SHARE Data&quot;,&quot;type&quot;:&quot;article-journal&quot;,&quot;volume&quot;:&quot;52&quot;},&quot;uris&quot;:[&quot;http://www.mendeley.com/documents/?uuid=20cee192-91c3-3dc5-adaf-3a15ffeebc44&quot;],&quot;isTemporary&quot;:false,&quot;legacyDesktopId&quot;:&quot;20cee192-91c3-3dc5-adaf-3a15ffeebc44&quot;},{&quot;id&quot;:&quot;08b51356-0a5a-38c0-a170-b055b2925c9d&quot;,&quot;itemData&quot;:{&quot;DOI&quot;:&quot;10.1007/s12603-016-0727-9&quot;,&quot;ISSN&quot;:&quot;17604788&quot;,&quot;abstract&quot;:&quot;Background: Frailty is associated with adverse health outcomes, but its association with hospital healthcare costs has not been analyzed. The main objective was to estimate the adjusted annual costs and use of hospital healthcare resources in frail older adults compared to non frail ones. Design: FRADEA Study. Mean follow-up 1044 days (SD 314). Setting: Albacete city, Spain. Participants: 830 adults ≥70 years. Measurements: Age, sex, comorbidity measured with the Charlson index and Fried´s Frailty phenotype as independent variables, and use of hospital resources (hospital admissions, emergency visits, and specialist visits), and hospital healthcare costs as outcome variables. Outcome data were collected from Minimum Data Set of the Complejo Hospitalario Universitario Albacete. The cost base year was 2013. Logistic regression and two-part models were used to analyze the association between frailty and the use of healthcare resources. Generalized Linear Models were applied to estimate the impact of frailty and comorbidity on the healthcare costs. Results: The average cost associated with the use of health resources was 1,922€/year. Frail participants had an average total cost of health resources of 2,476€/year, pre-frail 2,056€/year, and non-frail 1,217€/year. 67% of the total health cost was associated with hospital admission cost, 29% with specialist visits cost and 4% with emergency visits cost. Frailty and comorbidity were the most important factors associated with the use of hospital healthcare resources. Adjusted healthcare costs were 592€/year and 458€/year greater in frail and pre-frail participants respectively, compared to non-frail ones, and having a Charlson index ≥ 3, was associated with an increased costs of 2,289€/year. Conclusion: Frailty and comorbidity are meaningful and complementary associated with increased hospital healthcare resources use, and related costs.&quot;,&quot;author&quot;:[{&quot;dropping-particle&quot;:&quot;&quot;,&quot;family&quot;:&quot;García-Nogueras&quot;,&quot;given&quot;:&quot;I.&quot;,&quot;non-dropping-particle&quot;:&quot;&quot;,&quot;parse-names&quot;:false,&quot;suffix&quot;:&quot;&quot;},{&quot;dropping-particle&quot;:&quot;&quot;,&quot;family&quot;:&quot;Aranda-Reneo&quot;,&quot;given&quot;:&quot;I.&quot;,&quot;non-dropping-particle&quot;:&quot;&quot;,&quot;parse-names&quot;:false,&quot;suffix&quot;:&quot;&quot;},{&quot;dropping-particle&quot;:&quot;&quot;,&quot;family&quot;:&quot;Peña-Longobardo&quot;,&quot;given&quot;:&quot;L. M.&quot;,&quot;non-dropping-particle&quot;:&quot;&quot;,&quot;parse-names&quot;:false,&quot;suffix&quot;:&quot;&quot;},{&quot;dropping-particle&quot;:&quot;&quot;,&quot;family&quot;:&quot;Oliva-Moreno&quot;,&quot;given&quot;:&quot;J.&quot;,&quot;non-dropping-particle&quot;:&quot;&quot;,&quot;parse-names&quot;:false,&quot;suffix&quot;:&quot;&quot;},{&quot;dropping-particle&quot;:&quot;&quot;,&quot;family&quot;:&quot;Abizanda&quot;,&quot;given&quot;:&quot;Pedro&quot;,&quot;non-dropping-particle&quot;:&quot;&quot;,&quot;parse-names&quot;:false,&quot;suffix&quot;:&quot;&quot;}],&quot;container-title&quot;:&quot;Journal of Nutrition, Health and Aging&quot;,&quot;id&quot;:&quot;08b51356-0a5a-38c0-a170-b055b2925c9d&quot;,&quot;issue&quot;:&quot;2&quot;,&quot;issued&quot;:{&quot;date-parts&quot;:[[&quot;2017&quot;,&quot;2&quot;,&quot;1&quot;]]},&quot;page&quot;:&quot;207-214&quot;,&quot;publisher&quot;:&quot;Springer-Verlag France&quot;,&quot;title&quot;:&quot;Use of health resources and healthcare costs associated with frailty: The FRADEA study&quot;,&quot;type&quot;:&quot;article-journal&quot;,&quot;volume&quot;:&quot;21&quot;},&quot;uris&quot;:[&quot;http://www.mendeley.com/documents/?uuid=08b51356-0a5a-38c0-a170-b055b2925c9d&quot;],&quot;isTemporary&quot;:false,&quot;legacyDesktopId&quot;:&quot;08b51356-0a5a-38c0-a170-b055b2925c9d&quot;},{&quot;id&quot;:&quot;8eb9ff15-57f8-384d-b7a8-1ef64ee4fb85&quot;,&quot;itemData&quot;:{&quot;DOI&quot;:&quot;10.1093/ageing/afx157&quot;,&quot;ISSN&quot;:&quot;14682834&quot;,&quot;PMID&quot;:&quot;29036424&quot;,&quot;abstract&quot;:&quot;Objective: to investigate how frailty and frailty symptoms affect healthcare costs in older age longitudinally. Methods: data were gathered from a prospective cohort study in Saarland, Germany (two waves with 3-year interval, n = 1,636 aged 57-84 years at baseline). Frailty was assessed by the five Fried frailty criteria. Frailty was defined as having at least three criteria, the presence of 1-2 criteria as 'pre-frail'. Healthcare costs were quantified based on self-reported healthcare use in the sectors of inpatient treatment, outpatient treatment, professional nursing care and informal care as well as the provision of pharmaceuticals, medical supplies and dental prostheses. Results: while the onset of pre-frailty did not increase (log) total healthcare costs after adjusting for potential confounders including comorbidity, progression from non-frailty to frailty was associated with an increase in total healthcare costs (for example, costs increased by ~54 and 101% if 3 and 4 or 5 symptoms were present, respectively). This association of frailty onset with increased healthcare costs was in particular observed in the inpatient sector and for informal nursing care. Among the frailty symptoms, the onset of exhaustion was associated with an increase in total healthcare costs, whereas changes in slowness, weakness, weight loss and low-physical activity were not significantly associated with an increase in total healthcare costs. Conclusions: our data stress the economic relevance of frailty in late life. Postponing or reducing frailty might be fruitful in order to reduce healthcare costs.&quot;,&quot;author&quot;:[{&quot;dropping-particle&quot;:&quot;&quot;,&quot;family&quot;:&quot;Hajek&quot;,&quot;given&quot;:&quot;André&quot;,&quot;non-dropping-particle&quot;:&quot;&quot;,&quot;parse-names&quot;:false,&quot;suffix&quot;:&quot;&quot;},{&quot;dropping-particle&quot;:&quot;&quot;,&quot;family&quot;:&quot;Bock&quot;,&quot;given&quot;:&quot;Jens Oliver&quot;,&quot;non-dropping-particle&quot;:&quot;&quot;,&quot;parse-names&quot;:false,&quot;suffix&quot;:&quot;&quot;},{&quot;dropping-particle&quot;:&quot;&quot;,&quot;family&quot;:&quot;Saum&quot;,&quot;given&quot;:&quot;Kai Uwe&quot;,&quot;non-dropping-particle&quot;:&quot;&quot;,&quot;parse-names&quot;:false,&quot;suffix&quot;:&quot;&quot;},{&quot;dropping-particle&quot;:&quot;&quot;,&quot;family&quot;:&quot;Matschinger&quot;,&quot;given&quot;:&quot;Herbert&quot;,&quot;non-dropping-particle&quot;:&quot;&quot;,&quot;parse-names&quot;:false,&quot;suffix&quot;:&quot;&quot;},{&quot;dropping-particle&quot;:&quot;&quot;,&quot;family&quot;:&quot;Brenner&quot;,&quot;given&quot;:&quot;Hermann&quot;,&quot;non-dropping-particle&quot;:&quot;&quot;,&quot;parse-names&quot;:false,&quot;suffix&quot;:&quot;&quot;},{&quot;dropping-particle&quot;:&quot;&quot;,&quot;family&quot;:&quot;Holleczek&quot;,&quot;given&quot;:&quot;Bernd&quot;,&quot;non-dropping-particle&quot;:&quot;&quot;,&quot;parse-names&quot;:false,&quot;suffix&quot;:&quot;&quot;},{&quot;dropping-particle&quot;:&quot;&quot;,&quot;family&quot;:&quot;Haefeli&quot;,&quot;given&quot;:&quot;Walter E.&quot;,&quot;non-dropping-particle&quot;:&quot;&quot;,&quot;parse-names&quot;:false,&quot;suffix&quot;:&quot;&quot;},{&quot;dropping-particle&quot;:&quot;&quot;,&quot;family&quot;:&quot;Heider&quot;,&quot;given&quot;:&quot;Dirk&quot;,&quot;non-dropping-particle&quot;:&quot;&quot;,&quot;parse-names&quot;:false,&quot;suffix&quot;:&quot;&quot;},{&quot;dropping-particle&quot;:&quot;&quot;,&quot;family&quot;:&quot;König&quot;,&quot;given&quot;:&quot;Hans Helmut&quot;,&quot;non-dropping-particle&quot;:&quot;&quot;,&quot;parse-names&quot;:false,&quot;suffix&quot;:&quot;&quot;}],&quot;container-title&quot;:&quot;Age and Ageing&quot;,&quot;id&quot;:&quot;8eb9ff15-57f8-384d-b7a8-1ef64ee4fb85&quot;,&quot;issue&quot;:&quot;2&quot;,&quot;issued&quot;:{&quot;date-parts&quot;:[[&quot;2018&quot;,&quot;3&quot;,&quot;1&quot;]]},&quot;page&quot;:&quot;233-241&quot;,&quot;publisher&quot;:&quot;Oxford University Press&quot;,&quot;title&quot;:&quot;Frailty and healthcare costs-longitudinal results of a prospective cohort study&quot;,&quot;type&quot;:&quot;article-journal&quot;,&quot;volume&quot;:&quot;47&quot;},&quot;uris&quot;:[&quot;http://www.mendeley.com/documents/?uuid=8eb9ff15-57f8-384d-b7a8-1ef64ee4fb85&quot;],&quot;isTemporary&quot;:false,&quot;legacyDesktopId&quot;:&quot;8eb9ff15-57f8-384d-b7a8-1ef64ee4fb85&quot;},{&quot;id&quot;:&quot;3bb94221-d8a2-3097-83a7-af4b0a889d97&quot;,&quot;itemData&quot;:{&quot;DOI&quot;:&quot;10.14283/jfa.2019.10&quot;,&quot;ISSN&quot;:&quot;22601341&quot;,&quot;PMID&quot;:&quot;30997923&quot;,&quot;abstract&quot;:&quot;BACKGROUND: Sarcopenia is characterized by progressive loss of muscle mass with corresponding decline in strength and/or physical function. The economic burden of sarcopenia-associated disability is considerable in the US. OBJECTIVE: To estimate the cost of hospitalizations in US adults with sarcopenia categorized by age, sex, and race/ethnicity. DESIGN, SETTING AND PARTICIPANTS: A retrospective, prevalence based, economic burden study, consisting of 4011 adults aged ≥40 years with and without sarcopenia. METHODS: Data on prevalence of low lean mass, functional limitations, and hospitalizations were obtained from the National Health and Nutrition Examination Survey (1999-2004); cost of hospitalizations was obtained from the Healthcare Cost and Utilization Project - National Inpatient Sample (2014), and population estimates were obtained from the US Census (2014). Probability and cost of hospitalizations were estimated by multiple logistic regression and negative binomial regression models, respectively. RESULTS: The total estimated cost of hospitalizations in individuals with sarcopenia was USD $40.4 billion with an average per person cost of USD $260. Within this category, average per person cost was highest for Hispanic women (USD $548) and lowest for Non-Hispanic Black women (USD $25); average per person cost was higher for older adults (≥65 years) (USD $375) than younger adults (40-64 years) (USD $204) with sarcopenia. The total cost of hospitalizations in individuals with sarcopenia (≥65 years) was USD $19.12 billion. Individuals with sarcopenia had greater odds of hospitalization (OR, 1.95; p&lt;.001) compared to those without and had an annual marginal increase in cost of USD $2315.7 per person compared to individuals without sarcopenia. CONCLUSION: Sarcopenia places considerable economic burden on the US healthcare system. The ethnic disparity and economic burden associated with sarcopenia warrant further investigation.&quot;,&quot;author&quot;:[{&quot;dropping-particle&quot;:&quot;&quot;,&quot;family&quot;:&quot;Goates&quot;,&quot;given&quot;:&quot;S.&quot;,&quot;non-dropping-particle&quot;:&quot;&quot;,&quot;parse-names&quot;:false,&quot;suffix&quot;:&quot;&quot;},{&quot;dropping-particle&quot;:&quot;&quot;,&quot;family&quot;:&quot;Du&quot;,&quot;given&quot;:&quot;K.&quot;,&quot;non-dropping-particle&quot;:&quot;&quot;,&quot;parse-names&quot;:false,&quot;suffix&quot;:&quot;&quot;},{&quot;dropping-particle&quot;:&quot;&quot;,&quot;family&quot;:&quot;Arensberg&quot;,&quot;given&quot;:&quot;M. B.&quot;,&quot;non-dropping-particle&quot;:&quot;&quot;,&quot;parse-names&quot;:false,&quot;suffix&quot;:&quot;&quot;},{&quot;dropping-particle&quot;:&quot;&quot;,&quot;family&quot;:&quot;Gaillard&quot;,&quot;given&quot;:&quot;T.&quot;,&quot;non-dropping-particle&quot;:&quot;&quot;,&quot;parse-names&quot;:false,&quot;suffix&quot;:&quot;&quot;},{&quot;dropping-particle&quot;:&quot;&quot;,&quot;family&quot;:&quot;Guralnik&quot;,&quot;given&quot;:&quot;J.&quot;,&quot;non-dropping-particle&quot;:&quot;&quot;,&quot;parse-names&quot;:false,&quot;suffix&quot;:&quot;&quot;},{&quot;dropping-particle&quot;:&quot;&quot;,&quot;family&quot;:&quot;Pereira&quot;,&quot;given&quot;:&quot;S. L.&quot;,&quot;non-dropping-particle&quot;:&quot;&quot;,&quot;parse-names&quot;:false,&quot;suffix&quot;:&quot;&quot;}],&quot;container-title&quot;:&quot;The Journal of frailty &amp; aging&quot;,&quot;id&quot;:&quot;3bb94221-d8a2-3097-83a7-af4b0a889d97&quot;,&quot;issue&quot;:&quot;2&quot;,&quot;issued&quot;:{&quot;date-parts&quot;:[[&quot;2019&quot;]]},&quot;page&quot;:&quot;93-99&quot;,&quot;publisher&quot;:&quot;NLM (Medline)&quot;,&quot;title&quot;:&quot;Economic Impact of Hospitalizations in US Adults with Sarcopenia&quot;,&quot;type&quot;:&quot;article-journal&quot;,&quot;volume&quot;:&quot;8&quot;},&quot;uris&quot;:[&quot;http://www.mendeley.com/documents/?uuid=3bb94221-d8a2-3097-83a7-af4b0a889d97&quot;],&quot;isTemporary&quot;:false,&quot;legacyDesktopId&quot;:&quot;3bb94221-d8a2-3097-83a7-af4b0a889d97&quot;}],&quot;properties&quot;:{&quot;noteIndex&quot;:0},&quot;isEdited&quot;:false,&quot;manualOverride&quot;:{&quot;citeprocText&quot;:&quot;[4, 32–35]&quot;,&quot;isManuallyOverridden&quot;:true,&quot;manualOverrideText&quot;:&quot;[4, 32-35]&quot;},&quot;citationTag&quot;:&quot;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&quot;},{&quot;citationID&quot;:&quot;MENDELEY_CITATION_e9afbb93-1945-4e3f-ab56-82f75f56048c&quot;,&quot;properties&quot;:{&quot;noteIndex&quot;:0},&quot;isEdited&quot;:false,&quot;manualOverride&quot;:{&quot;isManuallyOverridden&quot;:false,&quot;citeprocText&quot;:&quot;[36]&quot;,&quot;manualOverrideText&quot;:&quot;&quot;},&quot;citationItems&quot;:[{&quot;id&quot;:&quot;5230edc8-074e-3718-aa38-febe5fd83d92&quot;,&quot;itemData&quot;:{&quot;type&quot;:&quot;article-journal&quot;,&quot;id&quot;:&quot;5230edc8-074e-3718-aa38-febe5fd83d92&quot;,&quot;title&quot;:&quot;The prevalence of frailty syndrome in an older population from Spain. the Toledo study for healthy aging&quot;,&quot;author&quot;:[{&quot;family&quot;:&quot;Garcia-Garcia&quot;,&quot;given&quot;:&quot;Francisco José&quot;,&quot;parse-names&quot;:false,&quot;dropping-particle&quot;:&quot;&quot;,&quot;non-dropping-particle&quot;:&quot;&quot;},{&quot;family&quot;:&quot;Gutierrez Avila&quot;,&quot;given&quot;:&quot;G.&quot;,&quot;parse-names&quot;:false,&quot;dropping-particle&quot;:&quot;&quot;,&quot;non-dropping-particle&quot;:&quot;&quot;},{&quot;family&quot;:&quot;Alfaro-Acha&quot;,&quot;given&quot;:&quot;Ana&quot;,&quot;parse-names&quot;:false,&quot;dropping-particle&quot;:&quot;&quot;,&quot;non-dropping-particle&quot;:&quot;&quot;},{&quot;family&quot;:&quot;Amor Andres&quot;,&quot;given&quot;:&quot;M. S.&quot;,&quot;parse-names&quot;:false,&quot;dropping-particle&quot;:&quot;&quot;,&quot;non-dropping-particle&quot;:&quot;&quot;},{&quot;family&quot;:&quot;La Torre Lanza&quot;,&quot;given&quot;:&quot;M. De Los Angeles&quot;,&quot;parse-names&quot;:false,&quot;dropping-particle&quot;:&quot;&quot;,&quot;non-dropping-particle&quot;:&quot;de&quot;},{&quot;family&quot;:&quot;Escribano Aparicio&quot;,&quot;given&quot;:&quot;M.&quot;,&quot;parse-names&quot;:false,&quot;dropping-particle&quot;:&quot;v.&quot;,&quot;non-dropping-particle&quot;:&quot;&quot;},{&quot;family&quot;:&quot;Humanes Aparicio&quot;,&quot;given&quot;:&quot;S.&quot;,&quot;parse-names&quot;:false,&quot;dropping-particle&quot;:&quot;&quot;,&quot;non-dropping-particle&quot;:&quot;&quot;},{&quot;family&quot;:&quot;Larrion Zugasti&quot;,&quot;given&quot;:&quot;J. L.&quot;,&quot;parse-names&quot;:false,&quot;dropping-particle&quot;:&quot;&quot;,&quot;non-dropping-particle&quot;:&quot;&quot;},{&quot;family&quot;:&quot;Gomez-Serranillo Reus&quot;,&quot;given&quot;:&quot;M.&quot;,&quot;parse-names&quot;:false,&quot;dropping-particle&quot;:&quot;&quot;,&quot;non-dropping-particle&quot;:&quot;&quot;},{&quot;family&quot;:&quot;Rodriguez-Artalejo&quot;,&quot;given&quot;:&quot;F.&quot;,&quot;parse-names&quot;:false,&quot;dropping-particle&quot;:&quot;&quot;,&quot;non-dropping-particle&quot;:&quot;&quot;},{&quot;family&quot;:&quot;Rodriguez-Manas&quot;,&quot;given&quot;:&quot;L.&quot;,&quot;parse-names&quot;:false,&quot;dropping-particle&quot;:&quot;&quot;,&quot;non-dropping-particle&quot;:&quot;&quot;}],&quot;container-title&quot;:&quot;Journal of Nutrition, Health and Aging&quot;,&quot;accessed&quot;:{&quot;date-parts&quot;:[[2020,2,7]]},&quot;DOI&quot;:&quot;10.1007/s12603-011-0075-8&quot;,&quot;ISSN&quot;:&quot;12797707&quot;,&quot;PMID&quot;:&quot;22159772&quot;,&quot;issued&quot;:{&quot;date-parts&quot;:[[2011,12]]},&quot;page&quot;:&quot;852-856&quot;,&quot;abstract&quot;:&quot;Objective: To assess the prevalence of the frailty syndrome and its associated variables among the older adult population in the province of Toledo (Spain). Methods: Data were taken from the Toledo Study for Healthy Aging, a population-based study conducted on 2,488 individuals aged 65 years and older. Study participants were selected by a two-stage random sampling from the municipal census of Toledo, covering both institutionalized and community dwelling persons from rural and urban settings. Data were collected from 2006 to 2009, and included information on social support, activities of daily living, comorbidity, physical activity, quality of life, depressive symptoms, and cognitive function. In addition, a nurse collected anthropometric data, conducted tests of physical performance (walk speed, upper and lower extremities strength, and the stand-and-sit from a chair test) and obtained a blood sample. The diagnosis of the frailty syndrome was based on the Fried criteria (weakness, low speed, low physical activity, exhaustion, and weight loss). Results: In total, 41.8% (95% confidence interval [CI] 39.4-44.2%) of the study participants were prefrail, and 8.4% (95% CI 7.1-9.8%) were frail. There were no differences in the prevalence of frailty by sex, level of education, occupation, marital status, or place of residence. The frequency of the frailty syndrome increased with age, and was higher in those with disability, depression, hip fracture and other comorbidity, such as cardiovascular disease and disorders of the central nervous system. Conclusions: The prevalence of the frailty syndrome in older Spanish adults is high and similar to that reported in other populations in the Mediterranean basin. © 2011 Serdi and Springer Verlag France.&quot;,&quot;issue&quot;:&quot;10&quot;,&quot;volume&quot;:&quot;15&quot;,&quot;expandedJournalTitle&quot;:&quot;Journal of Nutrition, Health and Aging&quot;},&quot;isTemporary&quot;:false}],&quot;citationTag&quot;:&quot;MENDELEY_CITATION_v3_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&quot;},{&quot;citationID&quot;:&quot;MENDELEY_CITATION_2a1fec37-af99-480a-9714-4e63e12e8819&quot;,&quot;properties&quot;:{&quot;noteIndex&quot;:0},&quot;isEdited&quot;:false,&quot;manualOverride&quot;:{&quot;isManuallyOverridden&quot;:false,&quot;citeprocText&quot;:&quot;[37]&quot;,&quot;manualOverrideText&quot;:&quot;&quot;},&quot;citationItems&quot;:[{&quot;id&quot;:&quot;e2d6c97f-1432-350c-abec-e72d3925fecb&quot;,&quot;itemData&quot;:{&quot;type&quot;:&quot;article-journal&quot;,&quot;id&quot;:&quot;e2d6c97f-1432-350c-abec-e72d3925fecb&quot;,&quot;title&quot;:&quot;Commonly Used Screening Instruments to Identify Frailty Among Community-Dwelling Older People in a General Practice (Primary Care) Setting: A Study of Diagnostic Test Accuracy&quot;,&quot;author&quot;:[{&quot;family&quot;:&quot;Ambagtsheer&quot;,&quot;given&quot;:&quot;Rachel C.&quot;,&quot;parse-names&quot;:false,&quot;dropping-particle&quot;:&quot;&quot;,&quot;non-dropping-particle&quot;:&quot;&quot;},{&quot;family&quot;:&quot;Visvanathan&quot;,&quot;given&quot;:&quot;Renuka&quot;,&quot;parse-names&quot;:false,&quot;dropping-particle&quot;:&quot;&quot;,&quot;non-dropping-particle&quot;:&quot;&quot;},{&quot;family&quot;:&quot;Dent&quot;,&quot;given&quot;:&quot;Elsa&quot;,&quot;parse-names&quot;:false,&quot;dropping-particle&quot;:&quot;&quot;,&quot;non-dropping-particle&quot;:&quot;&quot;},{&quot;family&quot;:&quot;Yu&quot;,&quot;given&quot;:&quot;Solomon&quot;,&quot;parse-names&quot;:false,&quot;dropping-particle&quot;:&quot;&quot;,&quot;non-dropping-particle&quot;:&quot;&quot;},{&quot;family&quot;:&quot;Schultz&quot;,&quot;given&quot;:&quot;Timothy J.&quot;,&quot;parse-names&quot;:false,&quot;dropping-particle&quot;:&quot;&quot;,&quot;non-dropping-particle&quot;:&quot;&quot;},{&quot;family&quot;:&quot;Beilby&quot;,&quot;given&quot;:&quot;Justin&quot;,&quot;parse-names&quot;:false,&quot;dropping-particle&quot;:&quot;&quot;,&quot;non-dropping-particle&quot;:&quot;&quot;}],&quot;container-title&quot;:&quot;The journals of gerontology. Series A, Biological sciences and medical sciences&quot;,&quot;accessed&quot;:{&quot;date-parts&quot;:[[2020,11,26]]},&quot;DOI&quot;:&quot;10.1093/gerona/glz260&quot;,&quot;ISSN&quot;:&quot;1758535X&quot;,&quot;PMID&quot;:&quot;31689342&quot;,&quot;URL&quot;:&quot;https://europepmc.org/article/med/31689342&quot;,&quot;issued&quot;:{&quot;date-parts&quot;:[[2020,5,22]]},&quot;page&quot;:&quot;1134-1142&quot;,&quot;abstract&quot;:&quot;BACKGROUND: Rapid frailty screening remains problematic in primary care. The diagnostic test accuracy (DTA) of several screening instruments has not been sufficiently established. We evaluated the DTA of several screening instruments against two reference standards: Fried's Frailty Phenotype [FP] and the Adelaide Frailty Index [AFI]), a self-reported questionnaire. METHODS: DTA study within three general practices in South Australia. We randomly recruited 243 general practice patients aged 75+ years. Eligible participants were 75+ years, proficient in English and community-dwelling. We excluded those who were receiving palliative care, hospitalized or living in a residential care facility.We calculated sensitivity, specificity, predictive values, likelihood ratios, Youden Index and area under the curve (AUC) for: Edmonton Frail Scale [EFS], FRAIL Scale Questionnaire [FQ], Gait Speed Test [GST], Groningen Frailty Indicator [GFI], Kihon Checklist [KC], Polypharmacy [POLY], PRISMA-7 [P7], Reported Edmonton Frail Scale [REFS], Self-Rated Health [SRH] and Timed Up and Go [TUG]) against FP [3+ criteria] and AFI [&gt;0.21]. RESULTS: We obtained valid data for 228 participants, with missing scores for index tests multiply imputed. Frailty prevalence was 17.5% frail, 56.6% prefrail [FP], and 48.7% frail, 29.0% prefrail [AFI]. Of the index tests KC (Se: 85.0% [70.2-94.3]; Sp: 73.4% [66.5-79.6]) and REFS (Se: 87.5% [73.2-95.8]; Sp: 75.5% [68.8-81.5]), both against FP, showed sufficient diagnostic accuracy according to our prespecified criteria. CONCLUSIONS: Two screening instruments-the KC and REFS, show the most promise for wider implementation within general practice, enabling a personalized approach to care for older people with frailty.&quot;,&quot;publisher&quot;:&quot;NLM (Medline)&quot;,&quot;issue&quot;:&quot;6&quot;,&quot;volume&quot;:&quot;75&quot;,&quot;expandedJournalTitle&quot;:&quot;The journals of gerontology. Series A, Biological sciences and medical sciences&quot;},&quot;isTemporary&quot;:false}],&quot;citationTag&quot;:&quot;MENDELEY_CITATION_v3_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&quot;},{&quot;citationID&quot;:&quot;MENDELEY_CITATION_d787e956-08fd-4cef-8b80-c169efa5269b&quot;,&quot;properties&quot;:{&quot;noteIndex&quot;:0},&quot;isEdited&quot;:false,&quot;manualOverride&quot;:{&quot;isManuallyOverridden&quot;:false,&quot;citeprocText&quot;:&quot;[38]&quot;,&quot;manualOverrideText&quot;:&quot;&quot;},&quot;citationItems&quot;:[{&quot;id&quot;:&quot;7a615a79-4472-3c12-83e3-54896b488204&quot;,&quot;itemData&quot;:{&quot;type&quot;:&quot;article-journal&quot;,&quot;id&quot;:&quot;7a615a79-4472-3c12-83e3-54896b488204&quot;,&quot;title&quot;:&quot;A standard procedure for creating a frailty index&quot;,&quot;author&quot;:[{&quot;family&quot;:&quot;Searle&quot;,&quot;given&quot;:&quot;Samuel D.&quot;,&quot;parse-names&quot;:false,&quot;dropping-particle&quot;:&quot;&quot;,&quot;non-dropping-particle&quot;:&quot;&quot;},{&quot;family&quot;:&quot;Mitnitski&quot;,&quot;given&quot;:&quot;Arnold&quot;,&quot;parse-names&quot;:false,&quot;dropping-particle&quot;:&quot;&quot;,&quot;non-dropping-particle&quot;:&quot;&quot;},{&quot;family&quot;:&quot;Gahbauer&quot;,&quot;given&quot;:&quot;Evelyne A.&quot;,&quot;parse-names&quot;:false,&quot;dropping-particle&quot;:&quot;&quot;,&quot;non-dropping-particle&quot;:&quot;&quot;},{&quot;family&quot;:&quot;Gill&quot;,&quot;given&quot;:&quot;Thomas M.&quot;,&quot;parse-names&quot;:false,&quot;dropping-particle&quot;:&quot;&quot;,&quot;non-dropping-particle&quot;:&quot;&quot;},{&quot;family&quot;:&quot;Rockwood&quot;,&quot;given&quot;:&quot;Kenneth&quot;,&quot;parse-names&quot;:false,&quot;dropping-particle&quot;:&quot;&quot;,&quot;non-dropping-particle&quot;:&quot;&quot;}],&quot;container-title&quot;:&quot;BMC Geriatrics&quot;,&quot;accessed&quot;:{&quot;date-parts&quot;:[[2020,11,26]]},&quot;DOI&quot;:&quot;10.1186/1471-2318-8-24&quot;,&quot;ISSN&quot;:&quot;14712318&quot;,&quot;PMID&quot;:&quot;18826625&quot;,&quot;URL&quot;:&quot;http://bmcgeriatr.biomedcentral.com/articles/10.1186/1471-2318-8-24&quot;,&quot;issued&quot;:{&quot;date-parts&quot;:[[2008,12,30]]},&quot;page&quot;:&quot;24&quot;,&quot;abstract&quot;:&quot;Background. Frailty can be measured in relation to the accumulation of deficits using a frailty index. A frailty index can be developed from most ageing databases. Our objective is to systematically describe a standard procedure for constructing a frailty index. Methods. This is a secondary analysis of the Yale Precipitating Events Project cohort study, based in New Haven CT. Non-disabled people aged 70 years or older (n = 754) were enrolled and re-contacted every 18 months. The database includes variables on function, cognition, co-morbidity, health attitudes and practices and physical performance measures. Data came from the baseline cohort and those available at the first 18-month follow-up assessment. Results. Procedures for selecting health variables as candidate deficits were applied to yield 40 deficits. Recoding procedures were applied for categorical, ordinal and interval variables such that they could be mapped to the interval 0-1, where 0 = absence of a deficit, and 1= full expression of the deficit. These individual deficit scores were combined in an index, where 0= no deficit present, and 1= all 40 deficits present. The values of the index were well fit by a gamma distribution. Between the baseline and follow-up cohorts, the age-related slope of deficit accumulation increased from 0.020 (95% confidence interval, 0.014-0.026) to 0.026 (0.020-0.032). The 99% limit to deficit accumulation was 0.6 in the baseline cohort and 0.7 in the follow-up cohort. Multivariate Cox analysis showed the frailty index, age and sex to be significant predictors of mortality. Conclusion. A systematic process for creating a frailty index, which relates deficit accumulation to the individual risk of death, showed reproducible properties in the Yale Precipitating Events Project cohort study. This method of quantifying frailty can aid our understanding of frailty-related health characteristics in older adults. © 2008 Searle et al; licensee BioMed Central Ltd.&quot;,&quot;publisher&quot;:&quot;BioMed Central&quot;,&quot;issue&quot;:&quot;1&quot;,&quot;volume&quot;:&quot;8&quot;,&quot;expandedJournalTitle&quot;:&quot;BMC Geriatrics&quot;},&quot;isTemporary&quot;:false}],&quot;citationTag&quot;:&quot;MENDELEY_CITATION_v3_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&quot;},{&quot;citationID&quot;:&quot;MENDELEY_CITATION_eb9de66f-e04c-44c1-9375-e4847f063afa&quot;,&quot;properties&quot;:{&quot;noteIndex&quot;:0},&quot;isEdited&quot;:false,&quot;manualOverride&quot;:{&quot;isManuallyOverridden&quot;:false,&quot;citeprocText&quot;:&quot;[30]&quot;,&quot;manualOverrideText&quot;:&quot;&quot;},&quot;citationItems&quot;:[{&quot;id&quot;:&quot;19aec7d6-3779-3e21-abb9-fcd769298e47&quot;,&quot;itemData&quot;:{&quot;type&quot;:&quot;article-journal&quot;,&quot;id&quot;:&quot;19aec7d6-3779-3e21-abb9-fcd769298e47&quot;,&quot;title&quot;:&quot;Frailty Trait Scale-Short Form: A Frailty Instrument for Clinical Practice.&quot;,&quot;author&quot;:[{&quot;family&quot;:&quot;García-García&quot;,&quot;given&quot;:&quot;Francisco Jose&quot;,&quot;parse-names&quot;:false,&quot;dropping-particle&quot;:&quot;&quot;,&quot;non-dropping-particle&quot;:&quot;&quot;},{&quot;family&quot;:&quot;Carnicero&quot;,&quot;given&quot;:&quot;Jose Antonio&quot;,&quot;parse-names&quot;:false,&quot;dropping-particle&quot;:&quot;&quot;,&quot;non-dropping-particle&quot;:&quot;&quot;},{&quot;family&quot;:&quot;Losa-Reyna&quot;,&quot;given&quot;:&quot;Jose&quot;,&quot;parse-names&quot;:false,&quot;dropping-particle&quot;:&quot;&quot;,&quot;non-dropping-particle&quot;:&quot;&quot;},{&quot;family&quot;:&quot;Alfaro-Acha&quot;,&quot;given&quot;:&quot;Ana&quot;,&quot;parse-names&quot;:false,&quot;dropping-particle&quot;:&quot;&quot;,&quot;non-dropping-particle&quot;:&quot;&quot;},{&quot;family&quot;:&quot;Castillo-Gallego&quot;,&quot;given&quot;:&quot;Carmen&quot;,&quot;parse-names&quot;:false,&quot;dropping-particle&quot;:&quot;&quot;,&quot;non-dropping-particle&quot;:&quot;&quot;},{&quot;family&quot;:&quot;Rosado-Artalejo&quot;,&quot;given&quot;:&quot;Cristina&quot;,&quot;parse-names&quot;:false,&quot;dropping-particle&quot;:&quot;&quot;,&quot;non-dropping-particle&quot;:&quot;&quot;},{&quot;family&quot;:&quot;Gutiérrrez-Ávila&quot;,&quot;given&quot;:&quot;Gonzalo&quot;,&quot;parse-names&quot;:false,&quot;dropping-particle&quot;:&quot;&quot;,&quot;non-dropping-particle&quot;:&quot;&quot;},{&quot;family&quot;:&quot;Rodriguez-Mañas&quot;,&quot;given&quot;:&quot;Leocadio&quot;,&quot;parse-names&quot;:false,&quot;dropping-particle&quot;:&quot;&quot;,&quot;non-dropping-particle&quot;:&quot;&quot;}],&quot;container-title&quot;:&quot;Journal of the American Medical Directors Association&quot;,&quot;accessed&quot;:{&quot;date-parts&quot;:[[2020,3,10]]},&quot;DOI&quot;:&quot;10.1016/j.jamda.2019.12.008&quot;,&quot;ISSN&quot;:&quot;1538-9375&quot;,&quot;PMID&quot;:&quot;32005416&quot;,&quot;URL&quot;:&quot;http://www.ncbi.nlm.nih.gov/pubmed/32005416&quot;,&quot;issued&quot;:{&quot;date-parts&quot;:[[2020,1,28]]},&quot;abstract&quot;:&quot;OBJECTIVES To develop short versions of the Frailty Trait Scale (FTS) for use in clinical settings. DESIGN Prospective population-based cohort study. SETTING AND PARTICIPANTS Data from 1634 participants from the Toledo Study for Healthy Aging. METHODS The 12-item Frailty Trait Scale (FTS) reduction was performed based on an area under the curve (AUC) analysis adjusted by age, sex, and comorbidity. Items that maximized prognostic information for adverse events were selected. Each item score was done at the same time as the reduction, identifying the score that maximized the predictive ability for adverse events. For each short version of the FTS, cutoffs that optimized the prognostic information (sensitivity and specificity) were chosen, and their predictive value was later compared with a surrogate gold standard for frailty (the Fried Phenotype). RESULTS Two short forms, the 5-item (FTS5) (range 0-50) and 3-item (FTS3) (range 0-30), were identified, both with AUCs for health adverse events similar to the 12-item FTS. The identified cutoffs were &gt;25 for the FTS5 scale and &gt;15 for the FTS3. The frailty prevalence with these cutoffs was 24% and 20% for the FTS5 and FTS3, respectively, whereas frailty according to Fried Phenotype (FP) reached 8% and prefrailty reached 41%. In general, the FTS5 showed better prognostic performance than the FP, especially with prefrail individuals, in whom the FTS5 form identified 65% of participants with an almost basal risk and 35% with a very high risk for mortality (OR: 4) and frailty (OR: 6.6-8.7), a high risk for hospitalization (OR: 1.9-2.1), and a moderate risk for disability (OR: 1.7) who could be considered frail. The FTS3 form had worse performance than the FTS5, showing 31% of false negatives between frail participants identified by FP with a high risk of adverse events. CONCLUSIONS AND IMPLICATIONS The FTS5 is a short scale that is easy to administer and has a similar performance to the FTS, and it can be used in clinical settings for frailty diagnosis and evolution.&quot;,&quot;publisher&quot;:&quot;Elsevier Inc.&quot;,&quot;expandedJournalTitle&quot;:&quot;Journal of the American Medical Directors Association&quot;},&quot;isTemporary&quot;:false}],&quot;citationTag&quot;:&quot;MENDELEY_CITATION_v3_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&quot;},{&quot;citationID&quot;:&quot;MENDELEY_CITATION_3f0bb10d-8779-4d1d-a70a-3f459ec05a7d&quot;,&quot;properties&quot;:{&quot;noteIndex&quot;:0},&quot;isEdited&quot;:false,&quot;manualOverride&quot;:{&quot;isManuallyOverridden&quot;:false,&quot;citeprocText&quot;:&quot;[39]&quot;,&quot;manualOverrideText&quot;:&quot;&quot;},&quot;citationItems&quot;:[{&quot;id&quot;:&quot;9c43fafa-4177-3699-93fe-fdb9475dc484&quot;,&quot;itemData&quot;:{&quot;type&quot;:&quot;article-journal&quot;,&quot;id&quot;:&quot;9c43fafa-4177-3699-93fe-fdb9475dc484&quot;,&quot;title&quot;:&quot;A New Operational Definition of Frailty: The Frailty Trait Scale&quot;,&quot;author&quot;:[{&quot;family&quot;:&quot;García-García&quot;,&quot;given&quot;:&quot;Francisco José&quot;,&quot;parse-names&quot;:false,&quot;dropping-particle&quot;:&quot;&quot;,&quot;non-dropping-particle&quot;:&quot;&quot;},{&quot;family&quot;:&quot;Carcaillon&quot;,&quot;given&quot;:&quot;Laure&quot;,&quot;parse-names&quot;:false,&quot;dropping-particle&quot;:&quot;&quot;,&quot;non-dropping-particle&quot;:&quot;&quot;},{&quot;family&quot;:&quot;Fernandez-Tresguerres&quot;,&quot;given&quot;:&quot;Jesus&quot;,&quot;parse-names&quot;:false,&quot;dropping-particle&quot;:&quot;&quot;,&quot;non-dropping-particle&quot;:&quot;&quot;},{&quot;family&quot;:&quot;Alfaro&quot;,&quot;given&quot;:&quot;Ana&quot;,&quot;parse-names&quot;:false,&quot;dropping-particle&quot;:&quot;&quot;,&quot;non-dropping-particle&quot;:&quot;&quot;},{&quot;family&quot;:&quot;Larrion&quot;,&quot;given&quot;:&quot;Jose L.&quot;,&quot;parse-names&quot;:false,&quot;dropping-particle&quot;:&quot;&quot;,&quot;non-dropping-particle&quot;:&quot;&quot;},{&quot;family&quot;:&quot;Castillo&quot;,&quot;given&quot;:&quot;Carmen&quot;,&quot;parse-names&quot;:false,&quot;dropping-particle&quot;:&quot;&quot;,&quot;non-dropping-particle&quot;:&quot;&quot;},{&quot;family&quot;:&quot;Rodriguez-Mañas&quot;,&quot;given&quot;:&quot;Leocadio&quot;,&quot;parse-names&quot;:false,&quot;dropping-particle&quot;:&quot;&quot;,&quot;non-dropping-particle&quot;:&quot;&quot;}],&quot;container-title&quot;:&quot;Journal of the American Medical Directors Association&quot;,&quot;accessed&quot;:{&quot;date-parts&quot;:[[2019,12,23]]},&quot;DOI&quot;:&quot;10.1016/j.jamda.2014.01.004&quot;,&quot;ISSN&quot;:&quot;15389375&quot;,&quot;issued&quot;:{&quot;date-parts&quot;:[[2014]]},&quot;page&quot;:&quot;371.e7-371.e13&quot;,&quot;abstract&quot;:&quot;Objectives: To provide a new instrument to diagnose frailty, the Frailty Trait Scale (FTS), that allows a more precise assessment and monitoring of individuals. Design: Prospective population-based cohort study. Setting: The Toledo Study for Healthy Aging, Spain. Participants: A total of 1972 men and women aged 65 years or older. Measurements: We identified 7 frailty dimensions (energy balance-nutrition, physical activity, nervous system, vascular system, strength, endurance, and gait speed) represented by 12 items. Each item was pondered based on the quintiles of its distribution in the study population. Validity was evaluated by testing its association with factors related to frailty and its predictive value for adverse events. This predictive capacity was further compared with the capacity of 2 well-established frailty models (the frailty phenotype and the Frailty Index). Results: FTS score was associated with several comorbidities and biomarkers classically associated with frailty. The FTS was associated with the incidence of hospitalization and mortality (hazard ratio associated with a score in the highest quartile [versus the first quartile] = 2.3, 95% confidence interval [CI] 1.6-3.4, and 2.5, 95% CI 1.8-3.6, respectively). Compared with Fried et al's definition, the FTS showed a better predictor for hospitalization in persons younger than 80 (area under the curve [AUC] = 0.65 vs 0.62, P = .01), and for mortality in the oldest group (AUC = 0.77 vs 0.72, P = .02). FTS showed similar predictive value to the Frailty Index. Conclusion: FTS associates with many of the factors linked to frailty and has a similar predictive capacity to that provided by the classical instruments. Its characteristics offer some advantages over them, with potential utility in research and clinical practice. © 2014 American Medical Directors Association, Inc.&quot;,&quot;publisher&quot;:&quot;Elsevier Inc.&quot;,&quot;issue&quot;:&quot;5&quot;,&quot;volume&quot;:&quot;15&quot;,&quot;expandedJournalTitle&quot;:&quot;Journal of the American Medical Directors Association&quot;},&quot;isTemporary&quot;:false}],&quot;citationTag&quot;:&quot;MENDELEY_CITATION_v3_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&quot;},{&quot;citationID&quot;:&quot;MENDELEY_CITATION_9f2953c2-7236-4a8e-a7df-fc6495a60d50&quot;,&quot;properties&quot;:{&quot;noteIndex&quot;:0},&quot;isEdited&quot;:false,&quot;manualOverride&quot;:{&quot;isManuallyOverridden&quot;:false,&quot;citeprocText&quot;:&quot;[30]&quot;,&quot;manualOverrideText&quot;:&quot;&quot;},&quot;citationItems&quot;:[{&quot;id&quot;:&quot;19aec7d6-3779-3e21-abb9-fcd769298e47&quot;,&quot;itemData&quot;:{&quot;type&quot;:&quot;article-journal&quot;,&quot;id&quot;:&quot;19aec7d6-3779-3e21-abb9-fcd769298e47&quot;,&quot;title&quot;:&quot;Frailty Trait Scale-Short Form: A Frailty Instrument for Clinical Practice.&quot;,&quot;author&quot;:[{&quot;family&quot;:&quot;García-García&quot;,&quot;given&quot;:&quot;Francisco Jose&quot;,&quot;parse-names&quot;:false,&quot;dropping-particle&quot;:&quot;&quot;,&quot;non-dropping-particle&quot;:&quot;&quot;},{&quot;family&quot;:&quot;Carnicero&quot;,&quot;given&quot;:&quot;Jose Antonio&quot;,&quot;parse-names&quot;:false,&quot;dropping-particle&quot;:&quot;&quot;,&quot;non-dropping-particle&quot;:&quot;&quot;},{&quot;family&quot;:&quot;Losa-Reyna&quot;,&quot;given&quot;:&quot;Jose&quot;,&quot;parse-names&quot;:false,&quot;dropping-particle&quot;:&quot;&quot;,&quot;non-dropping-particle&quot;:&quot;&quot;},{&quot;family&quot;:&quot;Alfaro-Acha&quot;,&quot;given&quot;:&quot;Ana&quot;,&quot;parse-names&quot;:false,&quot;dropping-particle&quot;:&quot;&quot;,&quot;non-dropping-particle&quot;:&quot;&quot;},{&quot;family&quot;:&quot;Castillo-Gallego&quot;,&quot;given&quot;:&quot;Carmen&quot;,&quot;parse-names&quot;:false,&quot;dropping-particle&quot;:&quot;&quot;,&quot;non-dropping-particle&quot;:&quot;&quot;},{&quot;family&quot;:&quot;Rosado-Artalejo&quot;,&quot;given&quot;:&quot;Cristina&quot;,&quot;parse-names&quot;:false,&quot;dropping-particle&quot;:&quot;&quot;,&quot;non-dropping-particle&quot;:&quot;&quot;},{&quot;family&quot;:&quot;Gutiérrrez-Ávila&quot;,&quot;given&quot;:&quot;Gonzalo&quot;,&quot;parse-names&quot;:false,&quot;dropping-particle&quot;:&quot;&quot;,&quot;non-dropping-particle&quot;:&quot;&quot;},{&quot;family&quot;:&quot;Rodriguez-Mañas&quot;,&quot;given&quot;:&quot;Leocadio&quot;,&quot;parse-names&quot;:false,&quot;dropping-particle&quot;:&quot;&quot;,&quot;non-dropping-particle&quot;:&quot;&quot;}],&quot;container-title&quot;:&quot;Journal of the American Medical Directors Association&quot;,&quot;accessed&quot;:{&quot;date-parts&quot;:[[2020,3,10]]},&quot;DOI&quot;:&quot;10.1016/j.jamda.2019.12.008&quot;,&quot;ISSN&quot;:&quot;1538-9375&quot;,&quot;PMID&quot;:&quot;32005416&quot;,&quot;URL&quot;:&quot;http://www.ncbi.nlm.nih.gov/pubmed/32005416&quot;,&quot;issued&quot;:{&quot;date-parts&quot;:[[2020,1,28]]},&quot;abstract&quot;:&quot;OBJECTIVES To develop short versions of the Frailty Trait Scale (FTS) for use in clinical settings. DESIGN Prospective population-based cohort study. SETTING AND PARTICIPANTS Data from 1634 participants from the Toledo Study for Healthy Aging. METHODS The 12-item Frailty Trait Scale (FTS) reduction was performed based on an area under the curve (AUC) analysis adjusted by age, sex, and comorbidity. Items that maximized prognostic information for adverse events were selected. Each item score was done at the same time as the reduction, identifying the score that maximized the predictive ability for adverse events. For each short version of the FTS, cutoffs that optimized the prognostic information (sensitivity and specificity) were chosen, and their predictive value was later compared with a surrogate gold standard for frailty (the Fried Phenotype). RESULTS Two short forms, the 5-item (FTS5) (range 0-50) and 3-item (FTS3) (range 0-30), were identified, both with AUCs for health adverse events similar to the 12-item FTS. The identified cutoffs were &gt;25 for the FTS5 scale and &gt;15 for the FTS3. The frailty prevalence with these cutoffs was 24% and 20% for the FTS5 and FTS3, respectively, whereas frailty according to Fried Phenotype (FP) reached 8% and prefrailty reached 41%. In general, the FTS5 showed better prognostic performance than the FP, especially with prefrail individuals, in whom the FTS5 form identified 65% of participants with an almost basal risk and 35% with a very high risk for mortality (OR: 4) and frailty (OR: 6.6-8.7), a high risk for hospitalization (OR: 1.9-2.1), and a moderate risk for disability (OR: 1.7) who could be considered frail. The FTS3 form had worse performance than the FTS5, showing 31% of false negatives between frail participants identified by FP with a high risk of adverse events. CONCLUSIONS AND IMPLICATIONS The FTS5 is a short scale that is easy to administer and has a similar performance to the FTS, and it can be used in clinical settings for frailty diagnosis and evolution.&quot;,&quot;publisher&quot;:&quot;Elsevier Inc.&quot;,&quot;expandedJournalTitle&quot;:&quot;Journal of the American Medical Directors Association&quot;},&quot;isTemporary&quot;:false}],&quot;citationTag&quot;:&quot;MENDELEY_CITATION_v3_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&quot;},{&quot;citationID&quot;:&quot;MENDELEY_CITATION_c48b2ec4-cd5b-455c-a02a-cf607c87b11f&quot;,&quot;properties&quot;:{&quot;noteIndex&quot;:0},&quot;isEdited&quot;:false,&quot;manualOverride&quot;:{&quot;isManuallyOverridden&quot;:false,&quot;citeprocText&quot;:&quot;[40]&quot;,&quot;manualOverrideText&quot;:&quot;&quot;},&quot;citationItems&quot;:[{&quot;id&quot;:&quot;9d1711a3-9150-3a90-9329-c2947a74817e&quot;,&quot;itemData&quot;:{&quot;type&quot;:&quot;article-journal&quot;,&quot;id&quot;:&quot;9d1711a3-9150-3a90-9329-c2947a74817e&quot;,&quot;title&quot;:&quot;The physical activity scale for the elderly (PASE): Development and evaluation&quot;,&quot;author&quot;:[{&quot;family&quot;:&quot;Washburn&quot;,&quot;given&quot;:&quot;Richard A.&quot;,&quot;parse-names&quot;:false,&quot;dropping-particle&quot;:&quot;&quot;,&quot;non-dropping-particle&quot;:&quot;&quot;},{&quot;family&quot;:&quot;Smith&quot;,&quot;given&quot;:&quot;Kevin W.&quot;,&quot;parse-names&quot;:false,&quot;dropping-particle&quot;:&quot;&quot;,&quot;non-dropping-particle&quot;:&quot;&quot;},{&quot;family&quot;:&quot;Jette&quot;,&quot;given&quot;:&quot;Alan M.&quot;,&quot;parse-names&quot;:false,&quot;dropping-particle&quot;:&quot;&quot;,&quot;non-dropping-particle&quot;:&quot;&quot;},{&quot;family&quot;:&quot;Janney&quot;,&quot;given&quot;:&quot;Carol A.&quot;,&quot;parse-names&quot;:false,&quot;dropping-particle&quot;:&quot;&quot;,&quot;non-dropping-particle&quot;:&quot;&quot;}],&quot;container-title&quot;:&quot;Journal of Clinical Epidemiology&quot;,&quot;accessed&quot;:{&quot;date-parts&quot;:[[2020,4,28]]},&quot;DOI&quot;:&quot;10.1016/0895-4356(93)90053-4&quot;,&quot;ISSN&quot;:&quot;08954356&quot;,&quot;PMID&quot;:&quot;8437031&quot;,&quot;issued&quot;:{&quot;date-parts&quot;:[[1993]]},&quot;page&quot;:&quot;153-162&quot;,&quot;abstract&quot;:&quot;A Physical Activity Scale for the Elderly (PASE) was evaluated in a sample of community-dwelling, older adults. Respondents were randomly assigned to complete the PASE by mail or telephone before or after a home visit assessment. Item weights for the PASE were derived by regressing a physical activity principal component score on responses to the PASE. The component score was based on 3-day motion sensor counts, a 3-day physical activity diary and a global activity self-assessment. Test-retest reliability, assessed over a 3-7 week interval, was 0.75 (95% CI = 0.69-0.80). Reliability for mail administration (r = 0.84) was higher than for telephone administration (r = 0.68). Construct validity was established by correlating PASE scores with health status and physiologic measures. As hypothesized, PASE scores were positively associated with grip strength (r = 0.37), static balance (r = +0.33), leg strength (r = 0.25) and negatively correlated with resting heart rate (r = -0.13), age (r = -0.34) and perceived health status (r = -0.34); and overall Sickness Impact Profile score (r = -0.42). The PASE is a brief, easily scored, reliable and valid instrument for the assessment of physical activity in epidemiologic studies of older people. © 1993.&quot;,&quot;publisher&quot;:&quot;J Clin Epidemiol&quot;,&quot;issue&quot;:&quot;2&quot;,&quot;volume&quot;:&quot;46&quot;,&quot;expandedJournalTitle&quot;:&quot;Journal of Clinical Epidemiology&quot;},&quot;isTemporary&quot;:false}],&quot;citationTag&quot;:&quot;MENDELEY_CITATION_v3_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&quot;},{&quot;citationID&quot;:&quot;MENDELEY_CITATION_774364c4-97ec-460f-9212-05cd4c53a4bd&quot;,&quot;properties&quot;:{&quot;noteIndex&quot;:0},&quot;isEdited&quot;:false,&quot;manualOverride&quot;:{&quot;isManuallyOverridden&quot;:false,&quot;citeprocText&quot;:&quot;[41]&quot;,&quot;manualOverrideText&quot;:&quot;&quot;},&quot;citationItems&quot;:[{&quot;id&quot;:&quot;85ea05ad-6a82-3605-b9a5-1849abb8de1a&quot;,&quot;itemData&quot;:{&quot;type&quot;:&quot;article-journal&quot;,&quot;id&quot;:&quot;85ea05ad-6a82-3605-b9a5-1849abb8de1a&quot;,&quot;title&quot;:&quot;The reliability of upper- and lower-extremity strength testing in a community survey of older adults&quot;,&quot;author&quot;:[{&quot;family&quot;:&quot;Ottenbacher&quot;,&quot;given&quot;:&quot;Kenneth J.&quot;,&quot;parse-names&quot;:false,&quot;dropping-particle&quot;:&quot;&quot;,&quot;non-dropping-particle&quot;:&quot;&quot;},{&quot;family&quot;:&quot;Branch&quot;,&quot;given&quot;:&quot;Laurence G.&quot;,&quot;parse-names&quot;:false,&quot;dropping-particle&quot;:&quot;&quot;,&quot;non-dropping-particle&quot;:&quot;&quot;},{&quot;family&quot;:&quot;Ray&quot;,&quot;given&quot;:&quot;Laura&quot;,&quot;parse-names&quot;:false,&quot;dropping-particle&quot;:&quot;&quot;,&quot;non-dropping-particle&quot;:&quot;&quot;},{&quot;family&quot;:&quot;Gonzales&quot;,&quot;given&quot;:&quot;Vera A.&quot;,&quot;parse-names&quot;:false,&quot;dropping-particle&quot;:&quot;&quot;,&quot;non-dropping-particle&quot;:&quot;&quot;},{&quot;family&quot;:&quot;Peek&quot;,&quot;given&quot;:&quot;M. Kristen&quot;,&quot;parse-names&quot;:false,&quot;dropping-particle&quot;:&quot;&quot;,&quot;non-dropping-particle&quot;:&quot;&quot;},{&quot;family&quot;:&quot;Hinman&quot;,&quot;given&quot;:&quot;Martha R.&quot;,&quot;parse-names&quot;:false,&quot;dropping-particle&quot;:&quot;&quot;,&quot;non-dropping-particle&quot;:&quot;&quot;}],&quot;container-title&quot;:&quot;Archives of Physical Medicine and Rehabilitation&quot;,&quot;accessed&quot;:{&quot;date-parts&quot;:[[2020,3,10]]},&quot;DOI&quot;:&quot;10.1053/apmr.2002.34619&quot;,&quot;ISSN&quot;:&quot;00039993&quot;,&quot;URL&quot;:&quot;http://www.ncbi.nlm.nih.gov/pubmed/12370879&quot;,&quot;issued&quot;:{&quot;date-parts&quot;:[[2002,10]]},&quot;page&quot;:&quot;1423-1427&quot;,&quot;abstract&quot;:&quot;Objective: To examine the stability (test-retest reliability) of strength measures in older adults obtained by nontherapist lay examiners by using a hand-held portable muscle testing device (Nicholas Manual Muscle Tester). Design: A prospective relational design was used to collect test-retest data for 1 male subject by using 27 lay raters who completed intensive training in manual muscle. Setting: Data were collected from older Mexican-American adults living in the community. Participants: Twenty-seven lay raters who completed intensive training in manual muscle testing for a field-based assessment and interview of older adults and 63 Mexican-American subjects completing wave 4 of the Hispanic Established Populations for the Epidemiologic Study of the Elderly. Interventions: Training involved reviewing a manual describing each testing position followed by approximately 6 hours of instruction and practice supervised by an experienced physical therapist. Lay raters then collected test-retest information on older Mexican-American subjects. Main Outcome Measure: Stability (test-retest) for a portable manual muscle testing device. Results: Intraclass correlation coefficients (ICCs) were computed for the 27 lay raters examining 1 male subject (2 trials) and 12 lay raters assessing 63 older Mexican-American adults (1 practice and 2 trials recorded). The ICC values for the first 27 lay raters ranged from.74 to.96. The ICC values for the latter 12 lay raters ranged from.87 to.98. No differences were found in ICC values between male or female subjects. Conclusions: Stable and consistent information for upper- and lower-extremity strength was collected from the older adults participating in this study. The results suggest reliable information can be obtained by lay raters using a portable manual muscle testing device if the examiners receive intensive training. © 2002 by the American Congress of Rehabilitation Medicine and the American Academy of Physical Medicine and Rehabilitation.&quot;,&quot;issue&quot;:&quot;10&quot;,&quot;volume&quot;:&quot;83&quot;,&quot;expandedJournalTitle&quot;:&quot;Archives of Physical Medicine and Rehabilitation&quot;},&quot;isTemporary&quot;:false}],&quot;citationTag&quot;:&quot;MENDELEY_CITATION_v3_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&quot;},{&quot;citationID&quot;:&quot;MENDELEY_CITATION_f15fba59-776c-4c4a-8950-df78814cdae5&quot;,&quot;properties&quot;:{&quot;noteIndex&quot;:0},&quot;isEdited&quot;:false,&quot;manualOverride&quot;:{&quot;isManuallyOverridden&quot;:false,&quot;citeprocText&quot;:&quot;[42]&quot;,&quot;manualOverrideText&quot;:&quot;&quot;},&quot;citationItems&quot;:[{&quot;id&quot;:&quot;23ab1265-e76f-3a51-b20f-3532c7137826&quot;,&quot;itemData&quot;:{&quot;type&quot;:&quot;article-journal&quot;,&quot;id&quot;:&quot;23ab1265-e76f-3a51-b20f-3532c7137826&quot;,&quot;title&quot;:&quot;A short physical performance battery assessing lower extremity function: association with self-reported disability and prediction of mortality and nursing home admission&quot;,&quot;author&quot;:[{&quot;family&quot;:&quot;Guralnik&quot;,&quot;given&quot;:&quot;J M&quot;,&quot;parse-names&quot;:false,&quot;dropping-particle&quot;:&quot;&quot;,&quot;non-dropping-particle&quot;:&quot;&quot;},{&quot;family&quot;:&quot;Simonsick&quot;,&quot;given&quot;:&quot;E M&quot;,&quot;parse-names&quot;:false,&quot;dropping-particle&quot;:&quot;&quot;,&quot;non-dropping-particle&quot;:&quot;&quot;},{&quot;family&quot;:&quot;Ferrucci&quot;,&quot;given&quot;:&quot;L&quot;,&quot;parse-names&quot;:false,&quot;dropping-particle&quot;:&quot;&quot;,&quot;non-dropping-particle&quot;:&quot;&quot;},{&quot;family&quot;:&quot;Glynn&quot;,&quot;given&quot;:&quot;R J&quot;,&quot;parse-names&quot;:false,&quot;dropping-particle&quot;:&quot;&quot;,&quot;non-dropping-particle&quot;:&quot;&quot;},{&quot;family&quot;:&quot;Berkman&quot;,&quot;given&quot;:&quot;L F&quot;,&quot;parse-names&quot;:false,&quot;dropping-particle&quot;:&quot;&quot;,&quot;non-dropping-particle&quot;:&quot;&quot;},{&quot;family&quot;:&quot;Blazer&quot;,&quot;given&quot;:&quot;D G&quot;,&quot;parse-names&quot;:false,&quot;dropping-particle&quot;:&quot;&quot;,&quot;non-dropping-particle&quot;:&quot;&quot;},{&quot;family&quot;:&quot;Scherr&quot;,&quot;given&quot;:&quot;P A&quot;,&quot;parse-names&quot;:false,&quot;dropping-particle&quot;:&quot;&quot;,&quot;non-dropping-particle&quot;:&quot;&quot;},{&quot;family&quot;:&quot;Wallace&quot;,&quot;given&quot;:&quot;R B&quot;,&quot;parse-names&quot;:false,&quot;dropping-particle&quot;:&quot;&quot;,&quot;non-dropping-particle&quot;:&quot;&quot;}],&quot;container-title&quot;:&quot;Journal of Gerontology&quot;,&quot;DOI&quot;:&quot;10.1093/geronj/49.2.m85&quot;,&quot;ISSN&quot;:&quot;0022-1422&quot;,&quot;URL&quot;:&quot;http://www.ncbi.nlm.nih.gov/pubmed/8126356&quot;,&quot;issued&quot;:{&quot;date-parts&quot;:[[1994]]},&quot;page&quot;:&quot;M85-94&quot;,&quot;language&quot;:&quot;eng&quot;,&quot;abstract&quot;:&quot;BACKGROUND: A short battery of physical performance tests was used to assess lower extremity function in more than 5,000 persons age 71 years and older in three communities. METHODS: Balance, gait, strength, and endurance were evaluated by examining ability to stand with the feet together in the side-by-side, semi-tandem, and tandem positions, time to walk 8 feet, and time to rise from a chair and return to the seated position 5 times. RESULTS: A wide distribution of performance was observed for each test. Each test and a summary performance scale, created by summing categorical rankings of performance on each test, were strongly associated with self-report of disability. Both self-report items and performance tests were independent predictors of short-term mortality and nursing home admission in multivariate analyses. However, evidence is presented that the performance tests provide information not available from self-report items. Of particular importance is the finding that in those at the high end of the functional spectrum, who reported almost no disability, the performance test scores distinguished a gradient of risk for mortality and nursing home admission. Additionally, within subgroups with identical self-report profiles, there were systematic differences in physical performance related to age and sex. CONCLUSION: This study provides evidence that performance measures can validly characterize older persons across a broad spectrum of lower extremity function. Performance and self-report measures may complement each other in providing useful information about functional status.&quot;,&quot;issue&quot;:&quot;2&quot;,&quot;volume&quot;:&quot;49&quot;,&quot;expandedJournalTitle&quot;:&quot;Journal of Gerontology&quot;},&quot;isTemporary&quot;:false}],&quot;citationTag&quot;:&quot;MENDELEY_CITATION_v3_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&quot;},{&quot;citationID&quot;:&quot;MENDELEY_CITATION_8a5ccba2-783e-423a-869d-76779fe9cb0b&quot;,&quot;properties&quot;:{&quot;noteIndex&quot;:0},&quot;isEdited&quot;:false,&quot;manualOverride&quot;:{&quot;isManuallyOverridden&quot;:false,&quot;citeprocText&quot;:&quot;[22]&quot;,&quot;manualOverrideText&quot;:&quot;&quot;},&quot;citationItems&quot;:[{&quot;id&quot;:&quot;65976e7e-2378-3ae3-b0a1-5ba2b83b22e5&quot;,&quot;itemData&quot;:{&quot;type&quot;:&quot;article-journal&quot;,&quot;id&quot;:&quot;65976e7e-2378-3ae3-b0a1-5ba2b83b22e5&quot;,&quot;title&quot;:&quot;Relationship Between Sarcopenia and Frailty in the Toledo Study of Healthy Aging: A Population Based Cross-Sectional Study&quot;,&quot;author&quot;:[{&quot;family&quot;:&quot;Davies&quot;,&quot;given&quot;:&quot;B.&quot;,&quot;parse-names&quot;:false,&quot;dropping-particle&quot;:&quot;&quot;,&quot;non-dropping-particle&quot;:&quot;&quot;},{&quot;family&quot;:&quot;García&quot;,&quot;given&quot;:&quot;F.&quot;,&quot;parse-names&quot;:false,&quot;dropping-particle&quot;:&quot;&quot;,&quot;non-dropping-particle&quot;:&quot;&quot;},{&quot;family&quot;:&quot;Ara&quot;,&quot;given&quot;:&quot;I.&quot;,&quot;parse-names&quot;:false,&quot;dropping-particle&quot;:&quot;&quot;,&quot;non-dropping-particle&quot;:&quot;&quot;},{&quot;family&quot;:&quot;Artalejo&quot;,&quot;given&quot;:&quot;F. Rodríguez&quot;,&quot;parse-names&quot;:false,&quot;dropping-particle&quot;:&quot;&quot;,&quot;non-dropping-particle&quot;:&quot;&quot;},{&quot;family&quot;:&quot;Rodriguez-Mañas&quot;,&quot;given&quot;:&quot;L.&quot;,&quot;parse-names&quot;:false,&quot;dropping-particle&quot;:&quot;&quot;,&quot;non-dropping-particle&quot;:&quot;&quot;},{&quot;family&quot;:&quot;Walter&quot;,&quot;given&quot;:&quot;S.&quot;,&quot;parse-names&quot;:false,&quot;dropping-particle&quot;:&quot;&quot;,&quot;non-dropping-particle&quot;:&quot;&quot;}],&quot;container-title&quot;:&quot;Journal of the American Medical Directors Association&quot;,&quot;accessed&quot;:{&quot;date-parts&quot;:[[2020,2,3]]},&quot;DOI&quot;:&quot;10.1016/j.jamda.2017.09.014&quot;,&quot;ISSN&quot;:&quot;15389375&quot;,&quot;issued&quot;:{&quot;date-parts&quot;:[[2018,4,1]]},&quot;page&quot;:&quot;282-286&quot;,&quot;abstract&quot;:&quot;Introduction: Frailty and sarcopenia are correlates of musculoskeletal aging that represent a state of vulnerability increasing the risk of negative health outcomes. Standardized definitions are lacking for both, and sometimes both concepts are used interchangeably. However, no large study has assessed the coexistence of these 2 entities in a cohort of older community-dwelling people. Methods: Data were taken from the Toledo Study of Healthy Aging (TSHA), a study of community-dwelling elderly (≥65 years). The study population consists of 1611 participants with frailty and sarcopenia assessments. For sarcopenia, we used 3 criteria: European Working Group on Sarcopenia in Older People (EWGSOP), the Foundation for the National Institutes of Health (FNIH), and the FNIH fitted to the cut-off points of our population [standardized FNIH (sFNIH)]. Frailty was assessed according to the Fried criteria with cut-off points adjusted to our population. We used logistic regression to assess the relationship between sarcopenia and frailty and measures of diagnostic accuracy to evaluate the potential use of sarcopenia as a diagnostic marker for frailty. Results: The mean age of the population was 75.42 years (±5.86). Overall, 72 (4.5%) were frail. In addition, 352 (21.8%), 332 (20.6%), and 453 (28.1%) participants were considered sarcopenic according to the EWGSOP, FNIH, and sFNIH criteria, respectively. The prevalence of frailty among those with sarcopenia was 8.2% (29/352), 15.7% (52/332), and 10.4% (47/453). Moreover, among frail people, the prevalence of sarcopenia was 40.27%, 72.2%, and 65.3% according to the used criteria. Sarcopenia showed a low sensitivity (&lt;10%) but high specificity (&gt;97%) for the diagnosis of frailty, with a low intercorrelation (Cramer V = 0.16, 0.40, and 0.30) between the 3 criteria and frailty. Using multivariate logistic regression, frailty was associated with sarcopenia according to EWGSOP [odds ratio (OR) = 1.67, 95% confidence interval (CI) = 0.95, 2.96], FNIH (OR = 10.61, 95% CI = 5.8, 19.4), and sFNIH (OR = 6.63, 95% CI =3.5, 12.53). Conclusion: Frailty and sarcopenia are distinct but related conditions. Sarcopenia is not a useful clinical biomarker of frailty, but its absence might be useful to exclude frailty.&quot;,&quot;publisher&quot;:&quot;Elsevier Inc.&quot;,&quot;issue&quot;:&quot;4&quot;,&quot;volume&quot;:&quot;19&quot;,&quot;expandedJournalTitle&quot;:&quot;Journal of the American Medical Directors Association&quot;},&quot;isTemporary&quot;:false}],&quot;citationTag&quot;:&quot;MENDELEY_CITATION_v3_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&quot;},{&quot;citationID&quot;:&quot;MENDELEY_CITATION_703f0da1-6cad-4432-9178-d8752ad194dd&quot;,&quot;properties&quot;:{&quot;noteIndex&quot;:0},&quot;isEdited&quot;:false,&quot;manualOverride&quot;:{&quot;isManuallyOverridden&quot;:false,&quot;citeprocText&quot;:&quot;[43]&quot;,&quot;manualOverrideText&quot;:&quot;&quot;},&quot;citationItems&quot;:[{&quot;id&quot;:&quot;bcee44e9-5172-32af-8ec8-2655e245ceda&quot;,&quot;itemData&quot;:{&quot;type&quot;:&quot;article-journal&quot;,&quot;id&quot;:&quot;bcee44e9-5172-32af-8ec8-2655e245ceda&quot;,&quot;title&quot;:&quot;A new method of classifying prognostic comorbidity in longitudinal studies: Development and validation&quot;,&quot;author&quot;:[{&quot;family&quot;:&quot;Charlson&quot;,&quot;given&quot;:&quot;Mary E.&quot;,&quot;parse-names&quot;:false,&quot;dropping-particle&quot;:&quot;&quot;,&quot;non-dropping-particle&quot;:&quot;&quot;},{&quot;family&quot;:&quot;Pompei&quot;,&quot;given&quot;:&quot;Peter&quot;,&quot;parse-names&quot;:false,&quot;dropping-particle&quot;:&quot;&quot;,&quot;non-dropping-particle&quot;:&quot;&quot;},{&quot;family&quot;:&quot;Ales&quot;,&quot;given&quot;:&quot;Kathy L.&quot;,&quot;parse-names&quot;:false,&quot;dropping-particle&quot;:&quot;&quot;,&quot;non-dropping-particle&quot;:&quot;&quot;},{&quot;family&quot;:&quot;MacKenzie&quot;,&quot;given&quot;:&quot;C. Ronald&quot;,&quot;parse-names&quot;:false,&quot;dropping-particle&quot;:&quot;&quot;,&quot;non-dropping-particle&quot;:&quot;&quot;}],&quot;container-title&quot;:&quot;Journal of Chronic Diseases&quot;,&quot;accessed&quot;:{&quot;date-parts&quot;:[[2020,4,28]]},&quot;DOI&quot;:&quot;10.1016/0021-9681(87)90171-8&quot;,&quot;ISSN&quot;:&quot;00219681&quot;,&quot;PMID&quot;:&quot;3558716&quot;,&quot;issued&quot;:{&quot;date-parts&quot;:[[1987]]},&quot;page&quot;:&quot;373-383&quot;,&quot;abstract&quot;:&quot;The objective of this study was to develop a prospectively applicable method for classifying comorbid conditions which might alter the risk of mortality for use in longitudinal studies. A weighted index that takes into account the number and the seriousness of comorbid disease was developed in a cohort of 559 medical patients. The 1-yr mortality rates for the different scores were: \&quot;0\&quot;, 12% (181); \&quot;1-2\&quot;, 26% (225); \&quot;3-4\&quot;, 52% (71); and \&quot;≥ 5\&quot;, 85% (82). The index was tested for its ability to predict risk of death from comorbid disease in the second cohort of 685 patients during a 10-yr follow-up. The percent of patients who died of comorbid disease for the different scores were: \&quot;0\&quot;, 8% (588); \&quot;1\&quot;, 25% (54); \&quot;2\&quot;, 48% (25); \&quot; ≥ 3\&quot;, 59% (18). With each increased level of the comorbidity index, there were stepwise increases in the cumulative mortality attributable to comorbid disease (log rank χ2 = 165; p &lt; 0.0001). In this longer follow-up, age was also a predictor of mortality (p &lt; 0.001). The new index performed similarly to a previous system devised by Kaplan and Feinstein. The method of classifying comorbidity provides a simple, readily applicable and valid method of estimating risk of death from comorbid disease for use in longitudinal studies. Further work in larger populations is still required to refine the approach because the number of patients with any given condition in this study was relatively small. © 1987.&quot;,&quot;publisher&quot;:&quot;J Chronic Dis&quot;,&quot;issue&quot;:&quot;5&quot;,&quot;volume&quot;:&quot;40&quot;,&quot;expandedJournalTitle&quot;:&quot;Journal of Chronic Diseases&quot;},&quot;isTemporary&quot;:false}],&quot;citationTag&quot;:&quot;MENDELEY_CITATION_v3_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&quot;},{&quot;citationID&quot;:&quot;MENDELEY_CITATION_13d4fe0d-c7d9-465d-b964-1e77d3894b46&quot;,&quot;properties&quot;:{&quot;noteIndex&quot;:0},&quot;isEdited&quot;:false,&quot;manualOverride&quot;:{&quot;isManuallyOverridden&quot;:false,&quot;citeprocText&quot;:&quot;[44]&quot;,&quot;manualOverrideText&quot;:&quot;&quot;},&quot;citationItems&quot;:[{&quot;id&quot;:&quot;41992c03-1aaf-3c8e-9fa6-c960597d8867&quot;,&quot;itemData&quot;:{&quot;type&quot;:&quot;article-journal&quot;,&quot;id&quot;:&quot;41992c03-1aaf-3c8e-9fa6-c960597d8867&quot;,&quot;title&quot;:&quot;Polypharmacy cutoff and outcomes: Five or more medicines were used to identify community-dwelling older men at risk of different adverse outcomes&quot;,&quot;author&quot;:[{&quot;family&quot;:&quot;Gnjidic&quot;,&quot;given&quot;:&quot;Danijela&quot;,&quot;parse-names&quot;:false,&quot;dropping-particle&quot;:&quot;&quot;,&quot;non-dropping-particle&quot;:&quot;&quot;},{&quot;family&quot;:&quot;Hilmer&quot;,&quot;given&quot;:&quot;Sarah N.&quot;,&quot;parse-names&quot;:false,&quot;dropping-particle&quot;:&quot;&quot;,&quot;non-dropping-particle&quot;:&quot;&quot;},{&quot;family&quot;:&quot;Blyth&quot;,&quot;given&quot;:&quot;Fiona M.&quot;,&quot;parse-names&quot;:false,&quot;dropping-particle&quot;:&quot;&quot;,&quot;non-dropping-particle&quot;:&quot;&quot;},{&quot;family&quot;:&quot;Naganathan&quot;,&quot;given&quot;:&quot;Vasi&quot;,&quot;parse-names&quot;:false,&quot;dropping-particle&quot;:&quot;&quot;,&quot;non-dropping-particle&quot;:&quot;&quot;},{&quot;family&quot;:&quot;Waite&quot;,&quot;given&quot;:&quot;Louise&quot;,&quot;parse-names&quot;:false,&quot;dropping-particle&quot;:&quot;&quot;,&quot;non-dropping-particle&quot;:&quot;&quot;},{&quot;family&quot;:&quot;Seibel&quot;,&quot;given&quot;:&quot;Markus J.&quot;,&quot;parse-names&quot;:false,&quot;dropping-particle&quot;:&quot;&quot;,&quot;non-dropping-particle&quot;:&quot;&quot;},{&quot;family&quot;:&quot;McLachlan&quot;,&quot;given&quot;:&quot;Andrew J.&quot;,&quot;parse-names&quot;:false,&quot;dropping-particle&quot;:&quot;&quot;,&quot;non-dropping-particle&quot;:&quot;&quot;},{&quot;family&quot;:&quot;Cumming&quot;,&quot;given&quot;:&quot;Robert G.&quot;,&quot;parse-names&quot;:false,&quot;dropping-particle&quot;:&quot;&quot;,&quot;non-dropping-particle&quot;:&quot;&quot;},{&quot;family&quot;:&quot;Handelsman&quot;,&quot;given&quot;:&quot;David J.&quot;,&quot;parse-names&quot;:false,&quot;dropping-particle&quot;:&quot;&quot;,&quot;non-dropping-particle&quot;:&quot;&quot;},{&quot;family&quot;:&quot;Couteur&quot;,&quot;given&quot;:&quot;David G.&quot;,&quot;parse-names&quot;:false,&quot;dropping-particle&quot;:&quot;&quot;,&quot;non-dropping-particle&quot;:&quot;le&quot;}],&quot;container-title&quot;:&quot;Journal of Clinical Epidemiology&quot;,&quot;accessed&quot;:{&quot;date-parts&quot;:[[2020,4,28]]},&quot;DOI&quot;:&quot;10.1016/j.jclinepi.2012.02.018&quot;,&quot;ISSN&quot;:&quot;08954356&quot;,&quot;PMID&quot;:&quot;22742913&quot;,&quot;issued&quot;:{&quot;date-parts&quot;:[[2012,9]]},&quot;page&quot;:&quot;989-995&quot;,&quot;abstract&quot;:&quot;Objective: This study aimed to determine an optimal discriminating number of concomitant medications associated with geriatric syndromes, functional outcomes, and mortality in community-dwelling older men. Study Design and Setting: Older men aged ≥70 years (n = 1,705), enrolled in the Concord Health and Aging in Men Project were studied. Receiver operating characteristic curve analysis using the Youden Index and the area under the curve was performed to determine discriminating number of medications in relation to each outcome. Results: The highest value of the Youden Index for frailty was obtained for a cutoff point of 6.5 medications compared with a cutoff of 5.5 for disability and 3.5 for cognitive impairment. For mortality and incident falls, the highest value of Youden Index was obtained for a cutoff of 4.5 medications. For every one increase in number of medications, the adjusted odds ratios were 1.13 (95% confidence interval [CI] = 1.06-1.21) for frailty, 1.08 (95% CI = 1.00-1.15) for disability, 1.09 (95% CI = 1.04-1.15) for mortality, and 1.07 (95% CI = 1.03-1.12) for incident falls. There was no association between increasing number of medications and cognitive impairment. Conclusion: The study supports the use of five or more medications in the current definition of polypharmacy to estimate the medication-related adverse effects for frailty, disability, mortality, and falls. © 2012 Elsevier Inc. All rights reserved.&quot;,&quot;publisher&quot;:&quot;J Clin Epidemiol&quot;,&quot;issue&quot;:&quot;9&quot;,&quot;volume&quot;:&quot;65&quot;,&quot;expandedJournalTitle&quot;:&quot;Journal of Clinical Epidemiology&quot;},&quot;isTemporary&quot;:false}],&quot;citationTag&quot;:&quot;MENDELEY_CITATION_v3_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&quot;},{&quot;citationID&quot;:&quot;MENDELEY_CITATION_6c1ba72d-8bff-4191-ad23-40ed6cf4370f&quot;,&quot;properties&quot;:{&quot;noteIndex&quot;:0},&quot;isEdited&quot;:false,&quot;manualOverride&quot;:{&quot;isManuallyOverridden&quot;:false,&quot;citeprocText&quot;:&quot;[45]&quot;,&quot;manualOverrideText&quot;:&quot;&quot;},&quot;citationItems&quot;:[{&quot;id&quot;:&quot;2156b743-b2ba-3659-982c-20ce6daa1ab3&quot;,&quot;itemData&quot;:{&quot;type&quot;:&quot;article-journal&quot;,&quot;id&quot;:&quot;2156b743-b2ba-3659-982c-20ce6daa1ab3&quot;,&quot;title&quot;:&quot;Two-Part and Related Regression Models for Longitudinal Data&quot;,&quot;author&quot;:[{&quot;family&quot;:&quot;Farewell&quot;,&quot;given&quot;:&quot;V. T.&quot;,&quot;parse-names&quot;:false,&quot;dropping-particle&quot;:&quot;&quot;,&quot;non-dropping-particle&quot;:&quot;&quot;},{&quot;family&quot;:&quot;Long&quot;,&quot;given&quot;:&quot;D. L.&quot;,&quot;parse-names&quot;:false,&quot;dropping-particle&quot;:&quot;&quot;,&quot;non-dropping-particle&quot;:&quot;&quot;},{&quot;family&quot;:&quot;Tom&quot;,&quot;given&quot;:&quot;B. D.M.&quot;,&quot;parse-names&quot;:false,&quot;dropping-particle&quot;:&quot;&quot;,&quot;non-dropping-particle&quot;:&quot;&quot;},{&quot;family&quot;:&quot;Yiu&quot;,&quot;given&quot;:&quot;S.&quot;,&quot;parse-names&quot;:false,&quot;dropping-particle&quot;:&quot;&quot;,&quot;non-dropping-particle&quot;:&quot;&quot;},{&quot;family&quot;:&quot;Su&quot;,&quot;given&quot;:&quot;L.&quot;,&quot;parse-names&quot;:false,&quot;dropping-particle&quot;:&quot;&quot;,&quot;non-dropping-particle&quot;:&quot;&quot;}],&quot;container-title&quot;:&quot;Annual review of statistics and its application&quot;,&quot;accessed&quot;:{&quot;date-parts&quot;:[[2022,1,3]]},&quot;DOI&quot;:&quot;10.1146/ANNUREV-STATISTICS-060116-054131&quot;,&quot;ISSN&quot;:&quot;2326-8298&quot;,&quot;PMID&quot;:&quot;28890906&quot;,&quot;URL&quot;:&quot;https://pubmed.ncbi.nlm.nih.gov/28890906/&quot;,&quot;issued&quot;:{&quot;date-parts&quot;:[[2017,3,7]]},&quot;page&quot;:&quot;283-315&quot;,&quot;abstract&quot;:&quot;Statistical models that involve a two-part mixture distribution are applicable in a variety of situations. Frequently, the two parts are a model for the binary response variable and a model for the outcome variable that is conditioned on the binary response. Two common examples are zero-inflated or hurdle models for count data and two-part models for semicontinuous data. Recently, there has been particular interest in the use of these models for the analysis of repeated measures of an outcome variable over time. The aim of this review is to consider motivations for the use of such models in this context and to highlight the central issues that arise with their use. We examine two-part models for semicontinuous and zero-heavy count data, and we also consider models for count data with a two-part random effects distribution.&quot;,&quot;publisher&quot;:&quot;Annu Rev Stat Appl&quot;,&quot;volume&quot;:&quot;4&quot;,&quot;expandedJournalTitle&quot;:&quot;Annual review of statistics and its application&quot;},&quot;isTemporary&quot;:false}],&quot;citationTag&quot;:&quot;MENDELEY_CITATION_v3_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&quot;},{&quot;citationID&quot;:&quot;MENDELEY_CITATION_2461065c-fe40-4406-baa2-4d08f2197bfa&quot;,&quot;properties&quot;:{&quot;noteIndex&quot;:0},&quot;isEdited&quot;:false,&quot;manualOverride&quot;:{&quot;isManuallyOverridden&quot;:false,&quot;citeprocText&quot;:&quot;[46]&quot;,&quot;manualOverrideText&quot;:&quot;&quot;},&quot;citationTag&quot;:&quot;MENDELEY_CITATION_v3_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&quot;,&quot;citationItems&quot;:[{&quot;id&quot;:&quot;1169c75f-ae21-3076-a018-2d6e768a1c45&quot;,&quot;itemData&quot;:{&quot;type&quot;:&quot;article-journal&quot;,&quot;id&quot;:&quot;1169c75f-ae21-3076-a018-2d6e768a1c45&quot;,&quot;title&quot;:&quot;Interpreting the Outcomes of two-part models&quot;,&quot;author&quot;:[{&quot;family&quot;:&quot;Frondel&quot;,&quot;given&quot;:&quot;Manuel&quot;,&quot;parse-names&quot;:false,&quot;dropping-particle&quot;:&quot;&quot;,&quot;non-dropping-particle&quot;:&quot;&quot;},{&quot;family&quot;:&quot;Vance&quot;,&quot;given&quot;:&quot;Colin&quot;,&quot;parse-names&quot;:false,&quot;dropping-particle&quot;:&quot;&quot;,&quot;non-dropping-particle&quot;:&quot;&quot;}],&quot;container-title&quot;:&quot;EconStor Open Access Articles and Book Chapters&quot;,&quot;accessed&quot;:{&quot;date-parts&quot;:[[2022,1,3]]},&quot;URL&quot;:&quot;https://ideas.repec.org/a/zbw/espost/129079.html&quot;,&quot;issued&quot;:{&quot;date-parts&quot;:[[2012]]},&quot;page&quot;:&quot;987-992&quot;,&quot;abstract&quot;:&quot;Interaction effects capture the impact of one explanatory variable x 1 on the marginal effect of another explanatory variable x 2. To explore interaction effects, the so-called interaction terms x 1 x 2 are typically included in estimation specifications. While in linear models the effect of a marginal change in the interaction term is equal to the interaction effect, this equality generally does not hold in nonlinear specifications (Ai and Norton, 2003). This article provides for a general derivation of marginal and interaction effects in both linear and nonlinear models and calculates the formulae of the marginal and interaction effects resulting from the Two-Part Model (2PM), a commonly employed censored regression model. Drawing on a survey of automobile use from Germany, we illustrate several subtleties inherent to the substantive interpretation of interaction effects gleaned from nonlinear models, such as the 2PM.&quot;,&quot;publisher&quot;:&quot;ZBW - Leibniz Information Centre for Economics&quot;,&quot;expandedJournalTitle&quot;:&quot;EconStor Open Access Articles and Book Chapters&quot;},&quot;isTemporary&quot;:false}]},{&quot;citationID&quot;:&quot;MENDELEY_CITATION_d7096954-5700-44f1-abf2-5ad1256cbf98&quot;,&quot;properties&quot;:{&quot;noteIndex&quot;:0},&quot;isEdited&quot;:false,&quot;manualOverride&quot;:{&quot;isManuallyOverridden&quot;:false,&quot;citeprocText&quot;:&quot;[47]&quot;,&quot;manualOverrideText&quot;:&quot;&quot;},&quot;citationItems&quot;:[{&quot;id&quot;:&quot;87acfe6b-7726-380e-b089-547f1e5fe351&quot;,&quot;itemData&quot;:{&quot;type&quot;:&quot;book&quot;,&quot;id&quot;:&quot;87acfe6b-7726-380e-b089-547f1e5fe351&quot;,&quot;title&quot;:&quot;Econometric methods with applications in business and economics&quot;,&quot;author&quot;:[{&quot;family&quot;:&quot;Heij&quot;,&quot;given&quot;:&quot;Cristian&quot;,&quot;parse-names&quot;:false,&quot;dropping-particle&quot;:&quot;&quot;,&quot;non-dropping-particle&quot;:&quot;&quot;},{&quot;family&quot;:&quot;Boer&quot;,&quot;given&quot;:&quot;Paul&quot;,&quot;parse-names&quot;:false,&quot;dropping-particle&quot;:&quot;&quot;,&quot;non-dropping-particle&quot;:&quot;de&quot;},{&quot;family&quot;:&quot;Franses&quot;,&quot;given&quot;:&quot;Phillip Hans&quot;,&quot;parse-names&quot;:false,&quot;dropping-particle&quot;:&quot;&quot;,&quot;non-dropping-particle&quot;:&quot;&quot;},{&quot;family&quot;:&quot;Kloek&quot;,&quot;given&quot;:&quot;Teun&quot;,&quot;parse-names&quot;:false,&quot;dropping-particle&quot;:&quot;&quot;,&quot;non-dropping-particle&quot;:&quot;&quot;},{&quot;family&quot;:&quot;Dijk&quot;,&quot;given&quot;:&quot;Herman K&quot;,&quot;parse-names&quot;:false,&quot;dropping-particle&quot;:&quot;&quot;,&quot;non-dropping-particle&quot;:&quot;van&quot;}],&quot;accessed&quot;:{&quot;date-parts&quot;:[[2022,2,28]]},&quot;ISBN&quot;:&quot;0191608408&quot;,&quot;URL&quot;:&quot;https://books.google.com/books/about/Econometric_Methods_with_Applications_in.html?hl=es&amp;id=PJf6GUAavhAC&quot;,&quot;issued&quot;:{&quot;date-parts&quot;:[[2004]]},&quot;publisher-place&quot;:&quot;Oxford&quot;,&quot;abstract&quot;:&quot;This rigorous textbook provides students with a working understanding and hands-on experience of current econometrics. It covers basic econometric methods and addresses the creative process of model building. Using real-world examples and exercises, it focuses on regression and covers choice data and time series data. Perfect for advanced undergraduate students, new graduate students, and applied researchers. - ;Nowadays applied work in business and economics requires a solid understanding of econometric methods to support decision-making. Combining a solid exposition of econometric methods wi. Detailed Contents; List of Exhibits; Abbreviations; Guide to the Book; Introduction; 1 Review of Statistics; 2 Simple Regression; 3 Multiple Regression; 4 Non-Linear Methods; 5 Diagnostic Tests and Model Adjustments; 6 Qualitative and Limited Dependent Variables; 7 Time Series and Dynamic Models; Appendix A. Matrix Methods; Appendix B. Data Sets; Index.&quot;,&quot;publisher&quot;:&quot;Oxford University Press&quot;},&quot;isTemporary&quot;:false}],&quot;citationTag&quot;:&quot;MENDELEY_CITATION_v3_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&quot;},{&quot;citationID&quot;:&quot;MENDELEY_CITATION_9c155c6d-fe81-402a-aad6-03cd881216b6&quot;,&quot;properties&quot;:{&quot;noteIndex&quot;:0},&quot;isEdited&quot;:false,&quot;manualOverride&quot;:{&quot;isManuallyOverridden&quot;:false,&quot;citeprocText&quot;:&quot;[48]&quot;,&quot;manualOverrideText&quot;:&quot;&quot;},&quot;citationItems&quot;:[{&quot;id&quot;:&quot;ee4ecf37-6e88-3c3a-b49e-af381433e911&quot;,&quot;itemData&quot;:{&quot;type&quot;:&quot;article-journal&quot;,&quot;id&quot;:&quot;ee4ecf37-6e88-3c3a-b49e-af381433e911&quot;,&quot;title&quot;:&quot;New models for old questions: Generalized linear models for cost prediction&quot;,&quot;author&quot;:[{&quot;family&quot;:&quot;Moran&quot;,&quot;given&quot;:&quot;John L.&quot;,&quot;parse-names&quot;:false,&quot;dropping-particle&quot;:&quot;&quot;,&quot;non-dropping-particle&quot;:&quot;&quot;},{&quot;family&quot;:&quot;Solomon&quot;,&quot;given&quot;:&quot;Patricia J.&quot;,&quot;parse-names&quot;:false,&quot;dropping-particle&quot;:&quot;&quot;,&quot;non-dropping-particle&quot;:&quot;&quot;},{&quot;family&quot;:&quot;Peisach&quot;,&quot;given&quot;:&quot;Aaron R.&quot;,&quot;parse-names&quot;:false,&quot;dropping-particle&quot;:&quot;&quot;,&quot;non-dropping-particle&quot;:&quot;&quot;},{&quot;family&quot;:&quot;Martin&quot;,&quot;given&quot;:&quot;Jeffrey&quot;,&quot;parse-names&quot;:false,&quot;dropping-particle&quot;:&quot;&quot;,&quot;non-dropping-particle&quot;:&quot;&quot;}],&quot;container-title&quot;:&quot;Journal of Evaluation in Clinical Practice&quot;,&quot;accessed&quot;:{&quot;date-parts&quot;:[[2021,5,14]]},&quot;DOI&quot;:&quot;10.1111/j.1365-2753.2006.00711.x&quot;,&quot;ISSN&quot;:&quot;13561294&quot;,&quot;PMID&quot;:&quot;17518803&quot;,&quot;URL&quot;:&quot;https://pubmed.ncbi.nlm.nih.gov/17518803/&quot;,&quot;issued&quot;:{&quot;date-parts&quot;:[[2007,6]]},&quot;page&quot;:&quot;381-389&quot;,&quot;abstract&quot;:&quot;Background: Generalized linear models (GLMs) have recently been introduced into cost data analysis. GLMs, transformations of the linear regression model, are characterized by a particular response distribution from one of the exponential family of distributions and monotonic link function which relates the response mean to a scale on which additive model effects operate. Objectives: This study compared GLMs and ordinary least squares regression (OLS) in predicting individual patient costs in adult intensive care units (ICUs) and sought to define the utility of the inverse Gaussian distribution family within GLMs. Methods: A prospective 'ground-up' utilization costing study was performed in three adult university associated ICUs, enrolling consecutive ICU admissions over a 6-month period in 1991. ICU utilization, patient demographic and ICU admission day data were recorded by dedicated data collectors. Model performance was assessed by prediction error [mean absolute error (MAE), root mean squared error (RMSE)] and residual analysis. Results: The cohort, 1098 patients surviving ICU, was of mean (SD) age 56 (19.5) years and 41% female. Patient costs per ICU episode (1991 A$) were A$6311 (9689), with range A$106 to A$95602. Prediction error for mean costs was minimal (MAE 4780; RMSE 8965) with OLS using heteroscedastic retransformation of log costs and GLM with Gaussian family and log link (MAE 4798; RMSE 8907). Residual analysis suggested optimal overall performance for the above two models and a GLM with inverse Gaussian family and log link. Conclusions: Traditional cost models of OLS with (log) cost transformation may be supplemented by appropriately specified GLM which more closely model the error structure. © 2007 The Authors.&quot;,&quot;publisher&quot;:&quot;J Eval Clin Pract&quot;,&quot;issue&quot;:&quot;3&quot;,&quot;volume&quot;:&quot;13&quot;,&quot;expandedJournalTitle&quot;:&quot;Journal of Evaluation in Clinical Practice&quot;},&quot;isTemporary&quot;:false}],&quot;citationTag&quot;:&quot;MENDELEY_CITATION_v3_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&quot;},{&quot;citationID&quot;:&quot;MENDELEY_CITATION_5cd10362-b73a-41fa-813f-2e96e5828767&quot;,&quot;properties&quot;:{&quot;noteIndex&quot;:0},&quot;isEdited&quot;:false,&quot;manualOverride&quot;:{&quot;isManuallyOverridden&quot;:false,&quot;citeprocText&quot;:&quot;[49]&quot;,&quot;manualOverrideText&quot;:&quot;&quot;},&quot;citationItems&quot;:[{&quot;id&quot;:&quot;05ea5357-e7ae-3435-b145-43cd0f9e3353&quot;,&quot;itemData&quot;:{&quot;type&quot;:&quot;article-journal&quot;,&quot;id&quot;:&quot;05ea5357-e7ae-3435-b145-43cd0f9e3353&quot;,&quot;title&quot;:&quot;A tutorial on generalized linear models&quot;,&quot;author&quot;:[{&quot;family&quot;:&quot;Myers&quot;,&quot;given&quot;:&quot;Raymond H.&quot;,&quot;parse-names&quot;:false,&quot;dropping-particle&quot;:&quot;&quot;,&quot;non-dropping-particle&quot;:&quot;&quot;},{&quot;family&quot;:&quot;Montgomery&quot;,&quot;given&quot;:&quot;Douglas C.&quot;,&quot;parse-names&quot;:false,&quot;dropping-particle&quot;:&quot;&quot;,&quot;non-dropping-particle&quot;:&quot;&quot;}],&quot;container-title&quot;:&quot;Journal of Quality Technology&quot;,&quot;accessed&quot;:{&quot;date-parts&quot;:[[2021,5,14]]},&quot;DOI&quot;:&quot;10.1080/00224065.1997.11979769&quot;,&quot;ISSN&quot;:&quot;00224065&quot;,&quot;URL&quot;:&quot;https://www.tandfonline.com/doi/abs/10.1080/00224065.1997.11979769&quot;,&quot;issued&quot;:{&quot;date-parts&quot;:[[1997]]},&quot;page&quot;:&quot;274-291&quot;,&quot;abstract&quot;:&quot;Situations in which the observations are not normally distributed arise frequently in the quality engineering field. The standard approach to the analysis of such responses is to transform the response into a new quantity that behaves more like a normal random variable. An alternative approach is to use an analysis procedure based on the generalized linear model (GLM), where a nonnormal error distribution and a function that links the predictor to the response may be specified. We present an introduction to the GLM, and show how such models may be fit. We present the GLM as an analog to the normal theory linear model. The usefulness of this approach is illustrated with examples.&quot;,&quot;publisher&quot;:&quot;American Society for Quality&quot;,&quot;issue&quot;:&quot;3&quot;,&quot;volume&quot;:&quot;29&quot;,&quot;expandedJournalTitle&quot;:&quot;Journal of Quality Technology&quot;},&quot;isTemporary&quot;:false}],&quot;citationTag&quot;:&quot;MENDELEY_CITATION_v3_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&quot;},{&quot;citationID&quot;:&quot;MENDELEY_CITATION_6c9207ab-92f6-4b6a-933f-fdb00e6897be&quot;,&quot;properties&quot;:{&quot;noteIndex&quot;:0},&quot;isEdited&quot;:false,&quot;manualOverride&quot;:{&quot;isManuallyOverridden&quot;:false,&quot;citeprocText&quot;:&quot;[50]&quot;,&quot;manualOverrideText&quot;:&quot;&quot;},&quot;citationItems&quot;:[{&quot;id&quot;:&quot;92d4354c-5d81-3b9a-95e7-c7e03d330e1b&quot;,&quot;itemData&quot;:{&quot;type&quot;:&quot;article-journal&quot;,&quot;id&quot;:&quot;92d4354c-5d81-3b9a-95e7-c7e03d330e1b&quot;,&quot;title&quot;:&quot;Estimating log models: to transform or not to transform?&quot;,&quot;author&quot;:[{&quot;family&quot;:&quot;Manning&quot;,&quot;given&quot;:&quot;Willard G.&quot;,&quot;parse-names&quot;:false,&quot;dropping-particle&quot;:&quot;&quot;,&quot;non-dropping-particle&quot;:&quot;&quot;},{&quot;family&quot;:&quot;Mullahy&quot;,&quot;given&quot;:&quot;John&quot;,&quot;parse-names&quot;:false,&quot;dropping-particle&quot;:&quot;&quot;,&quot;non-dropping-particle&quot;:&quot;&quot;}],&quot;container-title&quot;:&quot;Journal of health economics&quot;,&quot;accessed&quot;:{&quot;date-parts&quot;:[[2022,2,28]]},&quot;DOI&quot;:&quot;10.1016/S0167-6296(01)00086-8&quot;,&quot;ISSN&quot;:&quot;0167-6296&quot;,&quot;PMID&quot;:&quot;11469231&quot;,&quot;URL&quot;:&quot;https://pubmed.ncbi.nlm.nih.gov/11469231/&quot;,&quot;issued&quot;:{&quot;date-parts&quot;:[[2001]]},&quot;page&quot;:&quot;461-494&quot;,&quot;abstract&quot;:&quot;Health economists often use log models to deal with skewed outcomes, such as health utilization or health expenditures. The literature provides a number of alternative estimation approaches for log models, including ordinary least-squares on ln(y) and generalized linear models. This study examines how well the alternative estimators behave econometrically in terms of bias and precision when the data are skewed or have other common data problems (heteroscedasticity, heavy tails, etc.). No single alternative is best under all conditions examined. The paper provides a straightforward algorithm for choosing among the alternative estimators. Even if the estimators considered are consistent, there can be major losses in precision from selecting a less appropriate estimator. Copyright © 2001 Elsevier Science B.V.&quot;,&quot;publisher&quot;:&quot;J Health Econ&quot;,&quot;issue&quot;:&quot;4&quot;,&quot;volume&quot;:&quot;20&quot;,&quot;expandedJournalTitle&quot;:&quot;Journal of health economics&quot;},&quot;isTemporary&quot;:false}],&quot;citationTag&quot;:&quot;MENDELEY_CITATION_v3_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&quot;},{&quot;citationID&quot;:&quot;MENDELEY_CITATION_d96878f8-058a-4e5d-b901-04e4b4edc4d7&quot;,&quot;properties&quot;:{&quot;noteIndex&quot;:0},&quot;isEdited&quot;:false,&quot;manualOverride&quot;:{&quot;isManuallyOverridden&quot;:false,&quot;citeprocText&quot;:&quot;[35]&quot;,&quot;manualOverrideText&quot;:&quot;&quot;},&quot;citationItems&quot;:[{&quot;id&quot;:&quot;3bb94221-d8a2-3097-83a7-af4b0a889d97&quot;,&quot;itemData&quot;:{&quot;type&quot;:&quot;article-journal&quot;,&quot;id&quot;:&quot;3bb94221-d8a2-3097-83a7-af4b0a889d97&quot;,&quot;title&quot;:&quot;Economic Impact of Hospitalizations in US Adults with Sarcopenia&quot;,&quot;author&quot;:[{&quot;family&quot;:&quot;Goates&quot;,&quot;given&quot;:&quot;S.&quot;,&quot;parse-names&quot;:false,&quot;dropping-particle&quot;:&quot;&quot;,&quot;non-dropping-particle&quot;:&quot;&quot;},{&quot;family&quot;:&quot;Du&quot;,&quot;given&quot;:&quot;K.&quot;,&quot;parse-names&quot;:false,&quot;dropping-particle&quot;:&quot;&quot;,&quot;non-dropping-particle&quot;:&quot;&quot;},{&quot;family&quot;:&quot;Arensberg&quot;,&quot;given&quot;:&quot;M. B.&quot;,&quot;parse-names&quot;:false,&quot;dropping-particle&quot;:&quot;&quot;,&quot;non-dropping-particle&quot;:&quot;&quot;},{&quot;family&quot;:&quot;Gaillard&quot;,&quot;given&quot;:&quot;T.&quot;,&quot;parse-names&quot;:false,&quot;dropping-particle&quot;:&quot;&quot;,&quot;non-dropping-particle&quot;:&quot;&quot;},{&quot;family&quot;:&quot;Guralnik&quot;,&quot;given&quot;:&quot;J.&quot;,&quot;parse-names&quot;:false,&quot;dropping-particle&quot;:&quot;&quot;,&quot;non-dropping-particle&quot;:&quot;&quot;},{&quot;family&quot;:&quot;Pereira&quot;,&quot;given&quot;:&quot;S. L.&quot;,&quot;parse-names&quot;:false,&quot;dropping-particle&quot;:&quot;&quot;,&quot;non-dropping-particle&quot;:&quot;&quot;}],&quot;container-title&quot;:&quot;The Journal of frailty &amp; aging&quot;,&quot;accessed&quot;:{&quot;date-parts&quot;:[[2020,6,18]]},&quot;DOI&quot;:&quot;10.14283/jfa.2019.10&quot;,&quot;ISSN&quot;:&quot;22601341&quot;,&quot;PMID&quot;:&quot;30997923&quot;,&quot;issued&quot;:{&quot;date-parts&quot;:[[2019]]},&quot;page&quot;:&quot;93-99&quot;,&quot;abstract&quot;:&quot;BACKGROUND: Sarcopenia is characterized by progressive loss of muscle mass with corresponding decline in strength and/or physical function. The economic burden of sarcopenia-associated disability is considerable in the US. OBJECTIVE: To estimate the cost of hospitalizations in US adults with sarcopenia categorized by age, sex, and race/ethnicity. DESIGN, SETTING AND PARTICIPANTS: A retrospective, prevalence based, economic burden study, consisting of 4011 adults aged ≥40 years with and without sarcopenia. METHODS: Data on prevalence of low lean mass, functional limitations, and hospitalizations were obtained from the National Health and Nutrition Examination Survey (1999-2004); cost of hospitalizations was obtained from the Healthcare Cost and Utilization Project - National Inpatient Sample (2014), and population estimates were obtained from the US Census (2014). Probability and cost of hospitalizations were estimated by multiple logistic regression and negative binomial regression models, respectively. RESULTS: The total estimated cost of hospitalizations in individuals with sarcopenia was USD $40.4 billion with an average per person cost of USD $260. Within this category, average per person cost was highest for Hispanic women (USD $548) and lowest for Non-Hispanic Black women (USD $25); average per person cost was higher for older adults (≥65 years) (USD $375) than younger adults (40-64 years) (USD $204) with sarcopenia. The total cost of hospitalizations in individuals with sarcopenia (≥65 years) was USD $19.12 billion. Individuals with sarcopenia had greater odds of hospitalization (OR, 1.95; p&lt;.001) compared to those without and had an annual marginal increase in cost of USD $2315.7 per person compared to individuals without sarcopenia. CONCLUSION: Sarcopenia places considerable economic burden on the US healthcare system. The ethnic disparity and economic burden associated with sarcopenia warrant further investigation.&quot;,&quot;publisher&quot;:&quot;NLM (Medline)&quot;,&quot;issue&quot;:&quot;2&quot;,&quot;volume&quot;:&quot;8&quot;,&quot;expandedJournalTitle&quot;:&quot;The Journal of frailty &amp; aging&quot;},&quot;isTemporary&quot;:false}],&quot;citationTag&quot;:&quot;MENDELEY_CITATION_v3_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&quot;},{&quot;citationID&quot;:&quot;MENDELEY_CITATION_d83d47cf-4d0e-4486-bb82-fedf9f229153&quot;,&quot;properties&quot;:{&quot;noteIndex&quot;:0},&quot;isEdited&quot;:false,&quot;manualOverride&quot;:{&quot;isManuallyOverridden&quot;:false,&quot;citeprocText&quot;:&quot;[29]&quot;,&quot;manualOverrideText&quot;:&quot;&quot;},&quot;citationItems&quot;:[{&quot;id&quot;:&quot;16d49c1f-1846-3c42-8aee-f94c1edc2e3c&quot;,&quot;itemData&quot;:{&quot;type&quot;:&quot;article-journal&quot;,&quot;id&quot;:&quot;16d49c1f-1846-3c42-8aee-f94c1edc2e3c&quot;,&quot;title&quot;:&quot;Frailty in older adults: evidence for a phenotype&quot;,&quot;author&quot;:[{&quot;family&quot;:&quot;Fried&quot;,&quot;given&quot;:&quot;L P&quot;,&quot;parse-names&quot;:false,&quot;dropping-particle&quot;:&quot;&quot;,&quot;non-dropping-particle&quot;:&quot;&quot;},{&quot;family&quot;:&quot;Tangen&quot;,&quot;given&quot;:&quot;C M&quot;,&quot;parse-names&quot;:false,&quot;dropping-particle&quot;:&quot;&quot;,&quot;non-dropping-particle&quot;:&quot;&quot;},{&quot;family&quot;:&quot;Walston&quot;,&quot;given&quot;:&quot;J&quot;,&quot;parse-names&quot;:false,&quot;dropping-particle&quot;:&quot;&quot;,&quot;non-dropping-particle&quot;:&quot;&quot;},{&quot;family&quot;:&quot;Newman&quot;,&quot;given&quot;:&quot;A B&quot;,&quot;parse-names&quot;:false,&quot;dropping-particle&quot;:&quot;&quot;,&quot;non-dropping-particle&quot;:&quot;&quot;},{&quot;family&quot;:&quot;Hirsch&quot;,&quot;given&quot;:&quot;C&quot;,&quot;parse-names&quot;:false,&quot;dropping-particle&quot;:&quot;&quot;,&quot;non-dropping-particle&quot;:&quot;&quot;},{&quot;family&quot;:&quot;Gottdiener&quot;,&quot;given&quot;:&quot;J&quot;,&quot;parse-names&quot;:false,&quot;dropping-particle&quot;:&quot;&quot;,&quot;non-dropping-particle&quot;:&quot;&quot;},{&quot;family&quot;:&quot;Seeman&quot;,&quot;given&quot;:&quot;T&quot;,&quot;parse-names&quot;:false,&quot;dropping-particle&quot;:&quot;&quot;,&quot;non-dropping-particle&quot;:&quot;&quot;},{&quot;family&quot;:&quot;Tracy&quot;,&quot;given&quot;:&quot;R&quot;,&quot;parse-names&quot;:false,&quot;dropping-particle&quot;:&quot;&quot;,&quot;non-dropping-particle&quot;:&quot;&quot;},{&quot;family&quot;:&quot;Kop&quot;,&quot;given&quot;:&quot;W J&quot;,&quot;parse-names&quot;:false,&quot;dropping-particle&quot;:&quot;&quot;,&quot;non-dropping-particle&quot;:&quot;&quot;},{&quot;family&quot;:&quot;Burke&quot;,&quot;given&quot;:&quot;G&quot;,&quot;parse-names&quot;:false,&quot;dropping-particle&quot;:&quot;&quot;,&quot;non-dropping-particle&quot;:&quot;&quot;},{&quot;family&quot;:&quot;McBurnie&quot;,&quot;given&quot;:&quot;M A&quot;,&quot;parse-names&quot;:false,&quot;dropping-particle&quot;:&quot;&quot;,&quot;non-dropping-particle&quot;:&quot;&quot;},{&quot;family&quot;:&quot;Group&quot;,&quot;given&quot;:&quot;Cardiovascular Health Study Collaborative Research&quot;,&quot;parse-names&quot;:false,&quot;dropping-particle&quot;:&quot;&quot;,&quot;non-dropping-particle&quot;:&quot;&quot;}],&quot;container-title&quot;:&quot;The Journals of Gerontology. Series A, Biological Sciences and Medical Sciences&quot;,&quot;DOI&quot;:&quot;10.1093/gerona/56.3.m146&quot;,&quot;ISSN&quot;:&quot;1079-5006&quot;,&quot;URL&quot;:&quot;http://files/325/Fried et al. - 2001 - Frailty in older adults evidence for a phenotype.pdf&quot;,&quot;issued&quot;:{&quot;date-parts&quot;:[[2001]]},&quot;page&quot;:&quot;M146-156&quot;,&quot;language&quot;:&quot;eng&quot;,&quot;abstract&quot;:&quot;BACKGROUND: Frailty is considered highly prevalent in old age and to confer high risk for falls, disability, hospitalization, and mortality. Frailty has been considered synonymous with disability, comorbidity, and other characteristics, but it is recognized that it may have a biologic basis and be a distinct clinical syndrome. A standardized definition has not yet been established. METHODS: To develop and operationalize a phenotype of frailty in older adults and assess concurrent and predictive validity, the study used data from the Cardiovascular Health Study. Participants were 5,317 men and women 65 years and older (4,735 from an original cohort recruited in 1989-90 and 582 from an African American cohort recruited in 1992-93). Both cohorts received almost identical baseline evaluations and 7 and 4 years of follow-up, respectively, with annual examinations and surveillance for outcomes including incident disease, hospitalization, falls, disability, and mortality. RESULTS: Frailty was defined as a clinical syndrome in which three or more of the following criteria were present: unintentional weight loss (10 lbs in past year), self-reported exhaustion, weakness (grip strength), slow walking speed, and low physical activity. The overall prevalence of frailty in this community-dwelling population was 6.9%; it increased with age and was greater in women than men. Four-year incidence was 7.2%. Frailty was associated with being African American, having lower education and income, poorer health, and having higher rates of comorbid chronic diseases and disability. There was overlap, but not concordance, in the cooccurrence of frailty, comorbidity, and disability. This frailty phenotype was independently predictive (over 3 years) of incident falls, worsening mobility or ADL disability, hospitalization, and death, with hazard ratios ranging from 1.82 to 4.46, unadjusted, and 1.29-2.24, adjusted for a number of health, disease, and social characteristics predictive of 5-year mortality. Intermediate frailty status, as indicated by the presence of one or two criteria, showed intermediate risk of these outcomes as well as increased risk of becoming frail over 3-4 years of follow-up (odds ratios for incident frailty = 4.51 unadjusted and 2.63 adjusted for covariates, compared to those with no frailty criteria at baseline). CONCLUSIONS: This study provides a potential standardized definition for frailty in community-dwelling older adults and offers concurrent and predictive validity for the definition. It also finds that there is an intermediate stage identifying those at high risk of frailty. Finally, it provides evidence that frailty is not synonymous with either comorbidity or disability, but comorbidity is an etiologic risk factor for, and disability is an outcome of, frailty. This provides a potential basis for clinical assessment for those who are frail or at risk, and for future research to develop interventions for frailty based on a standardized ascertainment of frailty.&quot;,&quot;issue&quot;:&quot;3&quot;,&quot;volume&quot;:&quot;56&quot;,&quot;expandedJournalTitle&quot;:&quot;The Journals of Gerontology. Series A, Biological Sciences and Medical Sciences&quot;},&quot;isTemporary&quot;:false}],&quot;citationTag&quot;:&quot;MENDELEY_CITATION_v3_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&quot;},{&quot;citationID&quot;:&quot;MENDELEY_CITATION_339f3c3e-4f35-4be9-aa24-91c772be5442&quot;,&quot;properties&quot;:{&quot;noteIndex&quot;:0},&quot;isEdited&quot;:false,&quot;manualOverride&quot;:{&quot;isManuallyOverridden&quot;:false,&quot;citeprocText&quot;:&quot;[51]&quot;,&quot;manualOverrideText&quot;:&quot;&quot;},&quot;citationItems&quot;:[{&quot;id&quot;:&quot;d175ad20-b4bc-378d-9aed-9f0170eb1c01&quot;,&quot;itemData&quot;:{&quot;type&quot;:&quot;article-journal&quot;,&quot;id&quot;:&quot;d175ad20-b4bc-378d-9aed-9f0170eb1c01&quot;,&quot;title&quot;:&quot;The socioeconomic costs of mental illness in Spain&quot;,&quot;author&quot;:[{&quot;family&quot;:&quot;Oliva-Moreno&quot;,&quot;given&quot;:&quot;Juan&quot;,&quot;parse-names&quot;:false,&quot;dropping-particle&quot;:&quot;&quot;,&quot;non-dropping-particle&quot;:&quot;&quot;},{&quot;family&quot;:&quot;López-Bastida&quot;,&quot;given&quot;:&quot;Julio&quot;,&quot;parse-names&quot;:false,&quot;dropping-particle&quot;:&quot;&quot;,&quot;non-dropping-particle&quot;:&quot;&quot;},{&quot;family&quot;:&quot;Montejo-González&quot;,&quot;given&quot;:&quot;Angel Luis&quot;,&quot;parse-names&quot;:false,&quot;dropping-particle&quot;:&quot;&quot;,&quot;non-dropping-particle&quot;:&quot;&quot;},{&quot;family&quot;:&quot;Osuna-Guerrero&quot;,&quot;given&quot;:&quot;Rubén&quot;,&quot;parse-names&quot;:false,&quot;dropping-particle&quot;:&quot;&quot;,&quot;non-dropping-particle&quot;:&quot;&quot;},{&quot;family&quot;:&quot;Duque-González&quot;,&quot;given&quot;:&quot;Beatriz&quot;,&quot;parse-names&quot;:false,&quot;dropping-particle&quot;:&quot;&quot;,&quot;non-dropping-particle&quot;:&quot;&quot;}],&quot;container-title&quot;:&quot;European Journal of Health Economics&quot;,&quot;accessed&quot;:{&quot;date-parts&quot;:[[2020,6,18]]},&quot;DOI&quot;:&quot;10.1007/s10198-008-0135-0&quot;,&quot;ISSN&quot;:&quot;16187598&quot;,&quot;issued&quot;:{&quot;date-parts&quot;:[[2009,10]]},&quot;page&quot;:&quot;361-369&quot;,&quot;abstract&quot;:&quot;Mental illness affects a large number of people in the world, seriously impairing their quality of life and resulting in high socioeconomic costs for health care systems and society. Our aim is to estimate the socioeconomic impact of mental illness in Spain for the year 2002, including health care resources, informal care and loss of labour productivity. A prevalence-based approach was used to estimate direct medical costs, direct non-medical costs, and loss of labour productivity. The total costs of mental illness have been estimated at 7,019 million euros. Direct medical costs represented 39.6% of the total costs and 7.3% of total public healthcare expenditure in Spain. Informal care costs represented 17.7% of the total costs. Loss of labour productivity accounted for 42.7% of total costs. In conclusion, the costs of mental illness in Spain make a considerable economic impact from a societal perspective. © 2008 Springer-Verlag.&quot;,&quot;publisher&quot;:&quot;Eur J Health Econ&quot;,&quot;issue&quot;:&quot;4&quot;,&quot;volume&quot;:&quot;10&quot;,&quot;expandedJournalTitle&quot;:&quot;European Journal of Health Economics&quot;},&quot;isTemporary&quot;:false}],&quot;citationTag&quot;:&quot;MENDELEY_CITATION_v3_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&quot;},{&quot;citationID&quot;:&quot;MENDELEY_CITATION_01120568-5b2c-403a-bf86-e2353a0744cb&quot;,&quot;citationItems&quot;:[{&quot;id&quot;:&quot;7368955f-b567-5d83-9ce9-0193a1a6c3c5&quot;,&quot;itemData&quot;:{&quot;DOI&quot;:&quot;10.1111/1475-6773.12518&quot;,&quot;ISSN&quot;:&quot;14756773&quot;,&quot;abstract&quot;:&quot;Objective: Hospital services use, which is a major driver of total health expenditures, is expected to rise over the next decades in Europe, especially because of population aging. The purpose of this article is to better understand the dynamics of older people's demand for hospital care over time in a cross-country setting. Data source: We used data from the Survey on Health, Ageing, and Retirement in Europe (SHARE), in 10 countries between 2004 and 2011. Study Design: We estimated a dynamic panel model of hospital admission for respondents aged 50 years or more. Principal Findings: Following prior research, we found evidence of state dependence in hospital use over time. We also found that rise in frailty—among other health covariates—is a strong predictor of increased hospital use. Progression by one point on the frailty scale [0;5] is associated with an additional risk of about 2.1 percent on average. Conclusions: Our results support promotion of early detection of frailty in primary care, and improvement of coordination between actors within the health system, as potential strategies to reduce avoidable or unnecessary hospital use among frail elderly.&quot;,&quot;author&quot;:[{&quot;dropping-particle&quot;:&quot;&quot;,&quot;family&quot;:&quot;Sirven&quot;,&quot;given&quot;:&quot;Nicolas&quot;,&quot;non-dropping-particle&quot;:&quot;&quot;,&quot;parse-names&quot;:false,&quot;suffix&quot;:&quot;&quot;},{&quot;dropping-particle&quot;:&quot;&quot;,&quot;family&quot;:&quot;Rapp&quot;,&quot;given&quot;:&quot;Thomas&quot;,&quot;non-dropping-particle&quot;:&quot;&quot;,&quot;parse-names&quot;:false,&quot;suffix&quot;:&quot;&quot;}],&quot;container-title&quot;:&quot;Health Services Research&quot;,&quot;id&quot;:&quot;7368955f-b567-5d83-9ce9-0193a1a6c3c5&quot;,&quot;issue&quot;:&quot;3&quot;,&quot;issued&quot;:{&quot;date-parts&quot;:[[&quot;2017&quot;,&quot;6&quot;,&quot;1&quot;]]},&quot;page&quot;:&quot;1168-1184&quot;,&quot;publisher&quot;:&quot;Blackwell Publishing Inc.&quot;,&quot;title&quot;:&quot;The Dynamics of Hospital Use among Older People Evidence for Europe Using SHARE Data&quot;,&quot;type&quot;:&quot;article-journal&quot;,&quot;volume&quot;:&quot;52&quot;},&quot;uris&quot;:[&quot;http://www.mendeley.com/documents/?uuid=20cee192-91c3-3dc5-adaf-3a15ffeebc44&quot;],&quot;isTemporary&quot;:false,&quot;legacyDesktopId&quot;:&quot;20cee192-91c3-3dc5-adaf-3a15ffeebc44&quot;}],&quot;properties&quot;:{&quot;noteIndex&quot;:0},&quot;isEdited&quot;:false,&quot;manualOverride&quot;:{&quot;citeprocText&quot;:&quot;[4]&quot;,&quot;isManuallyOverridden&quot;:false,&quot;manualOverrideText&quot;:&quot;&quot;},&quot;citationTag&quot;:&quot;MENDELEY_CITATION_v3_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&quot;},{&quot;citationID&quot;:&quot;MENDELEY_CITATION_333e9605-2341-44a7-b60b-e62b78f343d8&quot;,&quot;properties&quot;:{&quot;noteIndex&quot;:0},&quot;isEdited&quot;:false,&quot;manualOverride&quot;:{&quot;isManuallyOverridden&quot;:false,&quot;citeprocText&quot;:&quot;[33, 52]&quot;,&quot;manualOverrideText&quot;:&quot;&quot;},&quot;citationItems&quot;:[{&quot;id&quot;:&quot;08b51356-0a5a-38c0-a170-b055b2925c9d&quot;,&quot;itemData&quot;:{&quot;type&quot;:&quot;article-journal&quot;,&quot;id&quot;:&quot;08b51356-0a5a-38c0-a170-b055b2925c9d&quot;,&quot;title&quot;:&quot;Use of health resources and healthcare costs associated with frailty: The FRADEA study&quot;,&quot;author&quot;:[{&quot;family&quot;:&quot;García-Nogueras&quot;,&quot;given&quot;:&quot;I.&quot;,&quot;parse-names&quot;:false,&quot;dropping-particle&quot;:&quot;&quot;,&quot;non-dropping-particle&quot;:&quot;&quot;},{&quot;family&quot;:&quot;Aranda-Reneo&quot;,&quot;given&quot;:&quot;I.&quot;,&quot;parse-names&quot;:false,&quot;dropping-particle&quot;:&quot;&quot;,&quot;non-dropping-particle&quot;:&quot;&quot;},{&quot;family&quot;:&quot;Peña-Longobardo&quot;,&quot;given&quot;:&quot;L. M.&quot;,&quot;parse-names&quot;:false,&quot;dropping-particle&quot;:&quot;&quot;,&quot;non-dropping-particle&quot;:&quot;&quot;},{&quot;family&quot;:&quot;Oliva-Moreno&quot;,&quot;given&quot;:&quot;J.&quot;,&quot;parse-names&quot;:false,&quot;dropping-particle&quot;:&quot;&quot;,&quot;non-dropping-particle&quot;:&quot;&quot;},{&quot;family&quot;:&quot;Abizanda&quot;,&quot;given&quot;:&quot;Pedro&quot;,&quot;parse-names&quot;:false,&quot;dropping-particle&quot;:&quot;&quot;,&quot;non-dropping-particle&quot;:&quot;&quot;}],&quot;container-title&quot;:&quot;Journal of Nutrition, Health and Aging&quot;,&quot;accessed&quot;:{&quot;date-parts&quot;:[[2020,6,18]]},&quot;DOI&quot;:&quot;10.1007/s12603-016-0727-9&quot;,&quot;ISSN&quot;:&quot;17604788&quot;,&quot;issued&quot;:{&quot;date-parts&quot;:[[2017,2,1]]},&quot;page&quot;:&quot;207-214&quot;,&quot;abstract&quot;:&quot;Background: Frailty is associated with adverse health outcomes, but its association with hospital healthcare costs has not been analyzed. The main objective was to estimate the adjusted annual costs and use of hospital healthcare resources in frail older adults compared to non frail ones. Design: FRADEA Study. Mean follow-up 1044 days (SD 314). Setting: Albacete city, Spain. Participants: 830 adults ≥70 years. Measurements: Age, sex, comorbidity measured with the Charlson index and Fried´s Frailty phenotype as independent variables, and use of hospital resources (hospital admissions, emergency visits, and specialist visits), and hospital healthcare costs as outcome variables. Outcome data were collected from Minimum Data Set of the Complejo Hospitalario Universitario Albacete. The cost base year was 2013. Logistic regression and two-part models were used to analyze the association between frailty and the use of healthcare resources. Generalized Linear Models were applied to estimate the impact of frailty and comorbidity on the healthcare costs. Results: The average cost associated with the use of health resources was 1,922€/year. Frail participants had an average total cost of health resources of 2,476€/year, pre-frail 2,056€/year, and non-frail 1,217€/year. 67% of the total health cost was associated with hospital admission cost, 29% with specialist visits cost and 4% with emergency visits cost. Frailty and comorbidity were the most important factors associated with the use of hospital healthcare resources. Adjusted healthcare costs were 592€/year and 458€/year greater in frail and pre-frail participants respectively, compared to non-frail ones, and having a Charlson index ≥ 3, was associated with an increased costs of 2,289€/year. Conclusion: Frailty and comorbidity are meaningful and complementary associated with increased hospital healthcare resources use, and related costs.&quot;,&quot;publisher&quot;:&quot;Springer-Verlag France&quot;,&quot;issue&quot;:&quot;2&quot;,&quot;volume&quot;:&quot;21&quot;,&quot;expandedJournalTitle&quot;:&quot;Journal of Nutrition, Health and Aging&quot;},&quot;isTemporary&quot;:false},{&quot;id&quot;:&quot;71441037-afdc-3ab7-946e-de5af8e711ba&quot;,&quot;itemData&quot;:{&quot;type&quot;:&quot;article-journal&quot;,&quot;id&quot;:&quot;71441037-afdc-3ab7-946e-de5af8e711ba&quot;,&quot;title&quot;:&quot;The dynamics of medical care use in the British Household Panel Survey&quot;,&quot;author&quot;:[{&quot;family&quot;:&quot;Kohn&quot;,&quot;given&quot;:&quot;Jennifer L.&quot;,&quot;parse-names&quot;:false,&quot;dropping-particle&quot;:&quot;&quot;,&quot;non-dropping-particle&quot;:&quot;&quot;},{&quot;family&quot;:&quot;Liu&quot;,&quot;given&quot;:&quot;Jing Shi&quot;,&quot;parse-names&quot;:false,&quot;dropping-particle&quot;:&quot;&quot;,&quot;non-dropping-particle&quot;:&quot;&quot;}],&quot;container-title&quot;:&quot;Health Economics (United Kingdom)&quot;,&quot;accessed&quot;:{&quot;date-parts&quot;:[[2020,6,18]]},&quot;DOI&quot;:&quot;10.1002/hec.2845&quot;,&quot;ISSN&quot;:&quot;10579230&quot;,&quot;issued&quot;:{&quot;date-parts&quot;:[[2013,6]]},&quot;page&quot;:&quot;687-710&quot;,&quot;abstract&quot;:&quot;We explore whether medical care use is persistent over a long panel using 18 waves of the British Household Panel Survey. Of particular interest is high medical care use because a few high users account for a disproportionate amount of use while many individuals use no medical care in a given year. If health is a primary driver of medical care demand, and we control for health, then past medical care use should be uninformative for future use. However, we find that conditional on health, other covariates and unobservable heterogeneity, medical care use remains significantly persistent. \&quot;No use\&quot; and \&quot;high use\&quot; are more strongly persistent, and persistence is generally stronger for women, those in poor health, and at older ages. We find that unobservable heterogeneity explains between 10% and 25% of the variation in medical care use. This heterogeneity is significantly correlated with both medical care use and health over our long panel. These findings have implications for the econometric modeling of medical care demand and suggest that policies aimed to reduce aggregate medical care spending by improving health, particularly the health of seniors, may be less effective than projected using static models. Copyright © 2012 John Wiley &amp; Sons, Ltd.&quot;,&quot;publisher&quot;:&quot;Health Econ&quot;,&quot;issue&quot;:&quot;6&quot;,&quot;volume&quot;:&quot;22&quot;,&quot;expandedJournalTitle&quot;:&quot;Health Economics (United Kingdom)&quot;},&quot;isTemporary&quot;:false}],&quot;citationTag&quot;:&quot;MENDELEY_CITATION_v3_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&quot;},{&quot;citationID&quot;:&quot;MENDELEY_CITATION_7ea9586e-7884-4ff9-b9d8-6724c050258b&quot;,&quot;properties&quot;:{&quot;noteIndex&quot;:0},&quot;isEdited&quot;:false,&quot;manualOverride&quot;:{&quot;isManuallyOverridden&quot;:false,&quot;citeprocText&quot;:&quot;[53]&quot;,&quot;manualOverrideText&quot;:&quot;&quot;},&quot;citationItems&quot;:[{&quot;id&quot;:&quot;f9d5581a-2e1b-36eb-9c64-66923c6d13ce&quot;,&quot;itemData&quot;:{&quot;type&quot;:&quot;article-journal&quot;,&quot;id&quot;:&quot;f9d5581a-2e1b-36eb-9c64-66923c6d13ce&quot;,&quot;title&quot;:&quot;Long-term care and hospital utilisation by older people: An analysis of substitution rates&quot;,&quot;author&quot;:[{&quot;family&quot;:&quot;Forder&quot;,&quot;given&quot;:&quot;Julien&quot;,&quot;parse-names&quot;:false,&quot;dropping-particle&quot;:&quot;&quot;,&quot;non-dropping-particle&quot;:&quot;&quot;}],&quot;container-title&quot;:&quot;Health Economics&quot;,&quot;accessed&quot;:{&quot;date-parts&quot;:[[2020,6,18]]},&quot;DOI&quot;:&quot;10.1002/hec.1438&quot;,&quot;ISSN&quot;:&quot;10579230&quot;,&quot;issued&quot;:{&quot;date-parts&quot;:[[2009,11]]},&quot;page&quot;:&quot;1322-1338&quot;,&quot;abstract&quot;:&quot;Older people are intensive users of hospital and long-term care services. This paper explores the extent to which these services are substitutes. A small area analysis was used with both care home and (tariff cost-weighted) hospital utilisation for older people aggregated to electoral wards in England. Health and social-care structural equations were specified using a theoretical model. The estimation accounted for the skewed and censored nature of the data. For health utilisation, both a fixed effects instrumental variables GMM model and a generalised estimating equations (GEE) model were fitted, the later on a log dependent variable with predicted values of social care utilisation used to account for endogeneity (bootstrapping was used to derive standard errors). In addition to a GMM model, the social-care estimation used both two-part and tobit models (also with predicted health utilisation and bootstrapping). The results indicate that for each additional £1 spent on care homes, hospital expenditure falls by £0.35. Also, £1 additional hospital spend corresponds to just over £0.35 reduction on care home spend. With these cost substitution effects offsetting, a transfer of resources to care homes is efficient if the resultant outcome gain is greater than the outcome loss from reduced hospital use. Copyright © 2009 John Wiley &amp; Sons, Ltd.&quot;,&quot;publisher&quot;:&quot;Health Econ&quot;,&quot;issue&quot;:&quot;11&quot;,&quot;volume&quot;:&quot;18&quot;,&quot;expandedJournalTitle&quot;:&quot;Health Economics&quot;},&quot;isTemporary&quot;:false}],&quot;citationTag&quot;:&quot;MENDELEY_CITATION_v3_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&quot;},{&quot;citationID&quot;:&quot;MENDELEY_CITATION_86300c93-b2a4-4ca9-82d0-4c4a07eacff3&quot;,&quot;properties&quot;:{&quot;noteIndex&quot;:0},&quot;isEdited&quot;:false,&quot;manualOverride&quot;:{&quot;isManuallyOverridden&quot;:false,&quot;citeprocText&quot;:&quot;[33]&quot;,&quot;manualOverrideText&quot;:&quot;&quot;},&quot;citationItems&quot;:[{&quot;id&quot;:&quot;08b51356-0a5a-38c0-a170-b055b2925c9d&quot;,&quot;itemData&quot;:{&quot;type&quot;:&quot;article-journal&quot;,&quot;id&quot;:&quot;08b51356-0a5a-38c0-a170-b055b2925c9d&quot;,&quot;title&quot;:&quot;Use of health resources and healthcare costs associated with frailty: The FRADEA study&quot;,&quot;author&quot;:[{&quot;family&quot;:&quot;García-Nogueras&quot;,&quot;given&quot;:&quot;I.&quot;,&quot;parse-names&quot;:false,&quot;dropping-particle&quot;:&quot;&quot;,&quot;non-dropping-particle&quot;:&quot;&quot;},{&quot;family&quot;:&quot;Aranda-Reneo&quot;,&quot;given&quot;:&quot;I.&quot;,&quot;parse-names&quot;:false,&quot;dropping-particle&quot;:&quot;&quot;,&quot;non-dropping-particle&quot;:&quot;&quot;},{&quot;family&quot;:&quot;Peña-Longobardo&quot;,&quot;given&quot;:&quot;L. M.&quot;,&quot;parse-names&quot;:false,&quot;dropping-particle&quot;:&quot;&quot;,&quot;non-dropping-particle&quot;:&quot;&quot;},{&quot;family&quot;:&quot;Oliva-Moreno&quot;,&quot;given&quot;:&quot;J.&quot;,&quot;parse-names&quot;:false,&quot;dropping-particle&quot;:&quot;&quot;,&quot;non-dropping-particle&quot;:&quot;&quot;},{&quot;family&quot;:&quot;Abizanda&quot;,&quot;given&quot;:&quot;Pedro&quot;,&quot;parse-names&quot;:false,&quot;dropping-particle&quot;:&quot;&quot;,&quot;non-dropping-particle&quot;:&quot;&quot;}],&quot;container-title&quot;:&quot;Journal of Nutrition, Health and Aging&quot;,&quot;accessed&quot;:{&quot;date-parts&quot;:[[2020,6,18]]},&quot;DOI&quot;:&quot;10.1007/s12603-016-0727-9&quot;,&quot;ISSN&quot;:&quot;17604788&quot;,&quot;issued&quot;:{&quot;date-parts&quot;:[[2017,2,1]]},&quot;page&quot;:&quot;207-214&quot;,&quot;abstract&quot;:&quot;Background: Frailty is associated with adverse health outcomes, but its association with hospital healthcare costs has not been analyzed. The main objective was to estimate the adjusted annual costs and use of hospital healthcare resources in frail older adults compared to non frail ones. Design: FRADEA Study. Mean follow-up 1044 days (SD 314). Setting: Albacete city, Spain. Participants: 830 adults ≥70 years. Measurements: Age, sex, comorbidity measured with the Charlson index and Fried´s Frailty phenotype as independent variables, and use of hospital resources (hospital admissions, emergency visits, and specialist visits), and hospital healthcare costs as outcome variables. Outcome data were collected from Minimum Data Set of the Complejo Hospitalario Universitario Albacete. The cost base year was 2013. Logistic regression and two-part models were used to analyze the association between frailty and the use of healthcare resources. Generalized Linear Models were applied to estimate the impact of frailty and comorbidity on the healthcare costs. Results: The average cost associated with the use of health resources was 1,922€/year. Frail participants had an average total cost of health resources of 2,476€/year, pre-frail 2,056€/year, and non-frail 1,217€/year. 67% of the total health cost was associated with hospital admission cost, 29% with specialist visits cost and 4% with emergency visits cost. Frailty and comorbidity were the most important factors associated with the use of hospital healthcare resources. Adjusted healthcare costs were 592€/year and 458€/year greater in frail and pre-frail participants respectively, compared to non-frail ones, and having a Charlson index ≥ 3, was associated with an increased costs of 2,289€/year. Conclusion: Frailty and comorbidity are meaningful and complementary associated with increased hospital healthcare resources use, and related costs.&quot;,&quot;publisher&quot;:&quot;Springer-Verlag France&quot;,&quot;issue&quot;:&quot;2&quot;,&quot;volume&quot;:&quot;21&quot;,&quot;expandedJournalTitle&quot;:&quot;Journal of Nutrition, Health and Aging&quot;},&quot;isTemporary&quot;:false}],&quot;citationTag&quot;:&quot;MENDELEY_CITATION_v3_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&quot;},{&quot;citationID&quot;:&quot;MENDELEY_CITATION_cb4a5c8d-be11-40b4-9dfb-b1943157793b&quot;,&quot;properties&quot;:{&quot;noteIndex&quot;:0},&quot;isEdited&quot;:false,&quot;manualOverride&quot;:{&quot;isManuallyOverridden&quot;:false,&quot;citeprocText&quot;:&quot;[54]&quot;,&quot;manualOverrideText&quot;:&quot;&quot;},&quot;citationItems&quot;:[{&quot;id&quot;:&quot;d4cea6c5-15d9-3ed0-8c06-091c34e5ec8c&quot;,&quot;itemData&quot;:{&quot;type&quot;:&quot;article-journal&quot;,&quot;id&quot;:&quot;d4cea6c5-15d9-3ed0-8c06-091c34e5ec8c&quot;,&quot;title&quot;:&quot;Old or Frail: What Tells Us More?&quot;,&quot;author&quot;:[{&quot;family&quot;:&quot;Schuurmans&quot;,&quot;given&quot;:&quot;Hanneke&quot;,&quot;parse-names&quot;:false,&quot;dropping-particle&quot;:&quot;&quot;,&quot;non-dropping-particle&quot;:&quot;&quot;},{&quot;family&quot;:&quot;Steverink&quot;,&quot;given&quot;:&quot;Nardi&quot;,&quot;parse-names&quot;:false,&quot;dropping-particle&quot;:&quot;&quot;,&quot;non-dropping-particle&quot;:&quot;&quot;},{&quot;family&quot;:&quot;Lindenberg&quot;,&quot;given&quot;:&quot;Siegwart&quot;,&quot;parse-names&quot;:false,&quot;dropping-particle&quot;:&quot;&quot;,&quot;non-dropping-particle&quot;:&quot;&quot;},{&quot;family&quot;:&quot;Frieswijk&quot;,&quot;given&quot;:&quot;Nynke&quot;,&quot;parse-names&quot;:false,&quot;dropping-particle&quot;:&quot;&quot;,&quot;non-dropping-particle&quot;:&quot;&quot;},{&quot;family&quot;:&quot;Slaets&quot;,&quot;given&quot;:&quot;Joris P. J.&quot;,&quot;parse-names&quot;:false,&quot;dropping-particle&quot;:&quot;&quot;,&quot;non-dropping-particle&quot;:&quot;&quot;}],&quot;container-title&quot;:&quot;The Journals of Gerontology: Series A&quot;,&quot;accessed&quot;:{&quot;date-parts&quot;:[[2020,6,18]]},&quot;DOI&quot;:&quot;https://doi.org/10.1093/gerona/59.9.M962&quot;,&quot;URL&quot;:&quot;https://academic.oup.com/biomedgerontology/article/59/9/M962/535393&quot;,&quot;issued&quot;:{&quot;date-parts&quot;:[[2004]]},&quot;page&quot;:&quot;M962–M965&quot;,&quot;issue&quot;:&quot;9&quot;,&quot;volume&quot;:&quot;59&quot;,&quot;expandedJournalTitle&quot;:&quot;The Journals of Gerontology: Series A&quot;},&quot;isTemporary&quot;:false}],&quot;citationTag&quot;:&quot;MENDELEY_CITATION_v3_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&quot;},{&quot;citationID&quot;:&quot;MENDELEY_CITATION_152e30e9-ac0e-4878-bed1-4ac5815806bf&quot;,&quot;properties&quot;:{&quot;noteIndex&quot;:0},&quot;isEdited&quot;:false,&quot;manualOverride&quot;:{&quot;isManuallyOverridden&quot;:false,&quot;citeprocText&quot;:&quot;[55]&quot;,&quot;manualOverrideText&quot;:&quot;&quot;},&quot;citationItems&quot;:[{&quot;id&quot;:&quot;1a4a237c-c4e2-39b0-a5ab-a5ab8644ba71&quot;,&quot;itemData&quot;:{&quot;type&quot;:&quot;article-journal&quot;,&quot;id&quot;:&quot;1a4a237c-c4e2-39b0-a5ab-a5ab8644ba71&quot;,&quot;title&quot;:&quot;Frailty predicts increased hospital and six-month healthcare cost following colorectal surgery in older adults&quot;,&quot;author&quot;:[{&quot;family&quot;:&quot;Robinson&quot;,&quot;given&quot;:&quot;Thomas N.&quot;,&quot;parse-names&quot;:false,&quot;dropping-particle&quot;:&quot;&quot;,&quot;non-dropping-particle&quot;:&quot;&quot;},{&quot;family&quot;:&quot;Wu&quot;,&quot;given&quot;:&quot;Daniel S.&quot;,&quot;parse-names&quot;:false,&quot;dropping-particle&quot;:&quot;&quot;,&quot;non-dropping-particle&quot;:&quot;&quot;},{&quot;family&quot;:&quot;Stiegmann&quot;,&quot;given&quot;:&quot;Gregory&quot;,&quot;parse-names&quot;:false,&quot;dropping-particle&quot;:&quot;v.&quot;,&quot;non-dropping-particle&quot;:&quot;&quot;},{&quot;family&quot;:&quot;Moss&quot;,&quot;given&quot;:&quot;Marc&quot;,&quot;parse-names&quot;:false,&quot;dropping-particle&quot;:&quot;&quot;,&quot;non-dropping-particle&quot;:&quot;&quot;}],&quot;container-title&quot;:&quot;American Journal of Surgery&quot;,&quot;accessed&quot;:{&quot;date-parts&quot;:[[2020,6,18]]},&quot;DOI&quot;:&quot;10.1016/j.amjsurg.2011.06.017&quot;,&quot;ISSN&quot;:&quot;00029610&quot;,&quot;issued&quot;:{&quot;date-parts&quot;:[[2011,11]]},&quot;page&quot;:&quot;511-514&quot;,&quot;abstract&quot;:&quot;Background: The purpose of this study was to determine the relationship of frailty and 6-month postoperative costs. Methods: Subjects aged &lt; 65 years undergoing elective colorectal operations were enrolled in a prospective observational study. Frailty was assessed by a validated measure of function, cognition, nutrition, comorbidity burden, and geriatric syndromes. Frailty was quantified by summing the number of positive characteristics in each subject. Results: Sixty subjects (mean age, 75 ± 8 years) were studied. Inpatient mortality was 2% (n = 1). Overall, 40% of subjects (n = 24) were considered nonfrail, 22% (n = 13) were prefrail, and 38% (n = 22) were frail. With advancing frailty, hospital costs increased (P &lt;.001) and costs from discharge to 6-months increased (P &lt;.001). Higher degrees of frailty were related to increased rates of discharge institutionalization (P &lt;.001) and 30-day readmission (P =.044). Conclusions: A simple, brief preoperative frailty assessment accurately forecasts increased surgical hospital costs and postdischarge to 6-month healthcare costs after colorectal operations in older adults. © 2011 Published by Elsevier Inc.&quot;,&quot;publisher&quot;:&quot;Am J Surg&quot;,&quot;issue&quot;:&quot;5&quot;,&quot;volume&quot;:&quot;202&quot;,&quot;expandedJournalTitle&quot;:&quot;American Journal of Surgery&quot;},&quot;isTemporary&quot;:false}],&quot;citationTag&quot;:&quot;MENDELEY_CITATION_v3_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&quot;},{&quot;citationID&quot;:&quot;MENDELEY_CITATION_0cbf5689-95d8-4248-bdb5-fd4d7dcb2510&quot;,&quot;properties&quot;:{&quot;noteIndex&quot;:0},&quot;isEdited&quot;:false,&quot;manualOverride&quot;:{&quot;isManuallyOverridden&quot;:false,&quot;citeprocText&quot;:&quot;[56, 57]&quot;,&quot;manualOverrideText&quot;:&quot;&quot;},&quot;citationItems&quot;:[{&quot;id&quot;:&quot;a4a2fc1d-c652-30bc-bd34-7ff44493b6eb&quot;,&quot;itemData&quot;:{&quot;type&quot;:&quot;article&quot;,&quot;id&quot;:&quot;a4a2fc1d-c652-30bc-bd34-7ff44493b6eb&quot;,&quot;title&quot;:&quot;Differences in the Prevalence of Sarcopenia in Community-Dwelling, Nursing Home and Hospitalized Individuals. A Systematic Review and Meta-Analysis&quot;,&quot;author&quot;:[{&quot;family&quot;:&quot;Papadopoulou&quot;,&quot;given&quot;:&quot;S. K.&quot;,&quot;parse-names&quot;:false,&quot;dropping-particle&quot;:&quot;&quot;,&quot;non-dropping-particle&quot;:&quot;&quot;},{&quot;family&quot;:&quot;Tsintavis&quot;,&quot;given&quot;:&quot;P.&quot;,&quot;parse-names&quot;:false,&quot;dropping-particle&quot;:&quot;&quot;,&quot;non-dropping-particle&quot;:&quot;&quot;},{&quot;family&quot;:&quot;Potsaki&quot;,&quot;given&quot;:&quot;G.&quot;,&quot;parse-names&quot;:false,&quot;dropping-particle&quot;:&quot;&quot;,&quot;non-dropping-particle&quot;:&quot;&quot;},{&quot;family&quot;:&quot;Papandreou&quot;,&quot;given&quot;:&quot;Dimitrios&quot;,&quot;parse-names&quot;:false,&quot;dropping-particle&quot;:&quot;&quot;,&quot;non-dropping-particle&quot;:&quot;&quot;}],&quot;container-title&quot;:&quot;Journal of Nutrition, Health and Aging&quot;,&quot;accessed&quot;:{&quot;date-parts&quot;:[[2021,5,12]]},&quot;DOI&quot;:&quot;10.1007/s12603-019-1267-x&quot;,&quot;ISSN&quot;:&quot;17604788&quot;,&quot;PMID&quot;:&quot;31886813&quot;,&quot;URL&quot;:&quot;https://pubmed.ncbi.nlm.nih.gov/31886813/&quot;,&quot;issued&quot;:{&quot;date-parts&quot;:[[2020,1,1]]},&quot;page&quot;:&quot;83-90&quot;,&quot;abstract&quot;:&quot;Background: Sarcopenia is an age-related disease which leads to a decline in muscle mass and function and is one of the most important health issues in elderly people with a high rate and variety of adverse outcomes. Objective: The current systematic review and meta-analysis study was carried out to estimate the overall prevalence of sarcopenia in both males and females in different regions around the world and to show the major differences in its occurrence among different populations. Design: A systematic review and metaanalysis of studies published in PubMed (Medline) and Scopus. Participants: Community dwelling, nursing home and hospitalized older adults aged over 60 years. Measurements: Sarcopenia was defined by the major validated diagnostic criteria, such as the European Working Group on Sarcopenia in Older People (EWGSOP), the Asian Working Group for Sarcopenia (AWGS) and the International Working Group on Sarcopenia (IWGS). The model used was the random effect model for estimating the prevalence of sarcopenia. The sex-specific prevalence of sarcopenia as well as 95% CI (Confidence interval) were calculated using MetaXL (version 5.3). Heterogeneity assessment was carried out by subgroup analysis. Results: We included 41 studies with a total of 34955 participants. The prevalence of sarcopenia in community-dwelling individuals in the included studies were 11% (95% CI: 8–13%) in men and 9% (95% CI: 7–11%) in women. The prevalence of sarcopenia in nursing-home individuals in the included studies were 51% (95% CI: 37–66%) in men and 31% (95% CI: 22–42%) in women and in hospitalized individuals were 23% (95%, CI: 15–30%) in men and 24% (95% CI: 14–35%) in women. Conclusions: Despite the differences encountered between the studies, regarding diagnostic tools used to measure of muscle mass, different regions around the world and different populations and clinical settings, this systematic review revealed that a significant proportion of old people has sarcopenia (major in nursing homes), even in populations healthy in general. However, sarcopenia is caused by the aging progress, early diagnosis and individualized care, including physical activity and nutrition, can prevent some adverse outcomes in all populations.&quot;,&quot;publisher&quot;:&quot;Serdi-Editions&quot;,&quot;issue&quot;:&quot;1&quot;,&quot;volume&quot;:&quot;24&quot;},&quot;isTemporary&quot;:false},{&quot;id&quot;:&quot;e7e52ff3-a3ca-37cb-84da-d49191a03d46&quot;,&quot;itemData&quot;:{&quot;type&quot;:&quot;article&quot;,&quot;id&quot;:&quot;e7e52ff3-a3ca-37cb-84da-d49191a03d46&quot;,&quot;title&quot;:&quot;Prevalence of frailty in community-dwelling older persons: A systematic review&quot;,&quot;author&quot;:[{&quot;family&quot;:&quot;Collard&quot;,&quot;given&quot;:&quot;Rose M.&quot;,&quot;parse-names&quot;:false,&quot;dropping-particle&quot;:&quot;&quot;,&quot;non-dropping-particle&quot;:&quot;&quot;},{&quot;family&quot;:&quot;Boter&quot;,&quot;given&quot;:&quot;Han&quot;,&quot;parse-names&quot;:false,&quot;dropping-particle&quot;:&quot;&quot;,&quot;non-dropping-particle&quot;:&quot;&quot;},{&quot;family&quot;:&quot;Schoevers&quot;,&quot;given&quot;:&quot;Robert A.&quot;,&quot;parse-names&quot;:false,&quot;dropping-particle&quot;:&quot;&quot;,&quot;non-dropping-particle&quot;:&quot;&quot;},{&quot;family&quot;:&quot;Oude Voshaar&quot;,&quot;given&quot;:&quot;Richard C.&quot;,&quot;parse-names&quot;:false,&quot;dropping-particle&quot;:&quot;&quot;,&quot;non-dropping-particle&quot;:&quot;&quot;}],&quot;container-title&quot;:&quot;Journal of the American Geriatrics Society&quot;,&quot;accessed&quot;:{&quot;date-parts&quot;:[[2020,5,12]]},&quot;DOI&quot;:&quot;10.1111/j.1532-5415.2012.04054.x&quot;,&quot;ISSN&quot;:&quot;00028614&quot;,&quot;PMID&quot;:&quot;22881367&quot;,&quot;issued&quot;:{&quot;date-parts&quot;:[[2012,8]]},&quot;page&quot;:&quot;1487-1492&quot;,&quot;abstract&quot;:&quot;Objectives To systematically compare and pool the prevalence of frailty, including prefrailty, reported in community-dwelling older people overall and according to sex, age, and definition of frailty used. Design Systematic review of the literature using the key words elderly, aged, frailty, prevalence, and epidemiology. Setting Cross-sectional data from community-based cohorts. Participants Community-dwelling adults aged 65 and older. Measurements In the studies that were found, frailty and prefrailty were measured according to physical phenotype and broad phenotype, the first defining frailty as a purely physical condition and the second also including psychosocial aspects. Results Reported prevalence in the community varies enormously (range 4.0-59.1%). The overall weighted prevalence of frailty was 10.7% (95% confidence interval (CI) = 10.5-10.9; 21 studies; 61,500 participants). The weighted prevalence was 9.9% for physical frailty (95% CI = 9.6-10.2; 15 studies; 44,894 participants) and 13.6% for the broad phenotype of frailty (95% CI = 13.2-14.0; 8 studies; 24,072 participants) (chi-square (π 2) = 217.7, degrees of freedom (df)=1, P &lt;.001). Prevalence increased with age (π 2 = 6067, df = 1, P &lt;.001) and was higher in women (9.6%, 95% CI = 9.2-10.0%) than in men (5.2%, 95% CI = 4.9-5.5%; π 2 = 298.9 df = 1, P &lt;.001). Conclusion Frailty is common in later life, but different operationalization of frailty status results in widely differing prevalence between studies. Improving the comparability of epidemiological and clinical studies constitutes an important step forward. © 2012, Copyright the Authors Journal compilation © 2012, The American Geriatrics Society.&quot;,&quot;publisher&quot;:&quot;J Am Geriatr Soc&quot;,&quot;issue&quot;:&quot;8&quot;,&quot;volume&quot;:&quot;60&quot;},&quot;isTemporary&quot;:false}],&quot;citationTag&quot;:&quot;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&quot;},{&quot;citationID&quot;:&quot;MENDELEY_CITATION_6fdf8cfd-387f-413d-86d2-b7a376e3728e&quot;,&quot;properties&quot;:{&quot;noteIndex&quot;:0},&quot;isEdited&quot;:false,&quot;manualOverride&quot;:{&quot;isManuallyOverridden&quot;:false,&quot;citeprocText&quot;:&quot;[58, 59]&quot;,&quot;manualOverrideText&quot;:&quot;&quot;},&quot;citationItems&quot;:[{&quot;id&quot;:&quot;61b86c80-ba23-36ea-885b-e49b8f6d850c&quot;,&quot;itemData&quot;:{&quot;type&quot;:&quot;article&quot;,&quot;id&quot;:&quot;61b86c80-ba23-36ea-885b-e49b8f6d850c&quot;,&quot;title&quot;:&quot;The Healthcare Costs of Sarcopenia in the United States&quot;,&quot;author&quot;:[{&quot;family&quot;:&quot;Janssen&quot;,&quot;given&quot;:&quot;Ian&quot;,&quot;parse-names&quot;:false,&quot;dropping-particle&quot;:&quot;&quot;,&quot;non-dropping-particle&quot;:&quot;&quot;},{&quot;family&quot;:&quot;Shepard&quot;,&quot;given&quot;:&quot;Donald S.&quot;,&quot;parse-names&quot;:false,&quot;dropping-particle&quot;:&quot;&quot;,&quot;non-dropping-particle&quot;:&quot;&quot;},{&quot;family&quot;:&quot;Katzmarzyk&quot;,&quot;given&quot;:&quot;Peter T.&quot;,&quot;parse-names&quot;:false,&quot;dropping-particle&quot;:&quot;&quot;,&quot;non-dropping-particle&quot;:&quot;&quot;},{&quot;family&quot;:&quot;Roubenoff&quot;,&quot;given&quot;:&quot;Ronenn&quot;,&quot;parse-names&quot;:false,&quot;dropping-particle&quot;:&quot;&quot;,&quot;non-dropping-particle&quot;:&quot;&quot;}],&quot;container-title&quot;:&quot;Journal of the American Geriatrics Society&quot;,&quot;accessed&quot;:{&quot;date-parts&quot;:[[2020,6,18]]},&quot;DOI&quot;:&quot;10.1111/j.1532-5415.2004.52014.x&quot;,&quot;ISSN&quot;:&quot;00028614&quot;,&quot;PMID&quot;:&quot;14687319&quot;,&quot;issued&quot;:{&quot;date-parts&quot;:[[2004,1]]},&quot;page&quot;:&quot;80-85&quot;,&quot;abstract&quot;:&quot;OBJECTIVES: To estimate the healthcare costs of sarcopenia in the United States and to examine the effect that a reduced sarcopenia prevalence would have on healthcare expenditures. DESIGN: Cross-sectional surveys. SETTING: Nationally representative surveys using data from the U.S. Census, Third National Health and Nutrition Examination Survey, and National Medical Care and Utilization Expenditure Survey. PARTICIPANTS: Representative samples of U.S. adults aged 60 and older. MEASUREMENTS: The healthcare costs of sarcopenia were estimated based on the effect of sarcopenia on increasing physical disability risk in older persons. In the first step, the healthcare cost of disability in older Americans was estimated from national surveys. In the second step, the proportion of the disability cost due to sarcopenia (population-attributable risk) was calculated to determine the healthcare costs of sarcopenia. These calculations relied upon previously published relative risk values for disability in sarcopenic individuals and sarcopenia prevalence rates in the older population. RESULTS: The estimated direct healthcare cost attributable to sarcopenia in the United States in 2000 was $18.5 billion ($10.8 billion in men, $7.7 billion in women), which represented about 1.5% of total healthcare expenditures for that year. A sensitivity analysis indicated that the costs could be as low as $11.8 billion and as high as $26.2 billion. The excess healthcare expenditures were $860 for every sarcopenic man and $933 for every sarcopenic woman. A 10% reduction in sarcopenia prevalence would result in savings of $1.1 billion (dollars adjusted to 2000 rate) per year in U.S. healthcare costs. CONCLUSION: Sarcopenia imposes a significant but modifiable economic burden on government-reimbursed healthcare services in the United States. Because the number of older Americans is increasing, the economic costs of sarcopenia will escalate unless effective public health campaigns aimed at reducing the occurrence of sarcopenia are implemented.&quot;,&quot;publisher&quot;:&quot;J Am Geriatr Soc&quot;,&quot;issue&quot;:&quot;1&quot;,&quot;volume&quot;:&quot;52&quot;},&quot;isTemporary&quot;:false},{&quot;id&quot;:&quot;b68fe549-7610-3bc5-9573-dc75312de95a&quot;,&quot;itemData&quot;:{&quot;type&quot;:&quot;article-journal&quot;,&quot;id&quot;:&quot;b68fe549-7610-3bc5-9573-dc75312de95a&quot;,&quot;title&quot;:&quot;Are frail elderly people in Europe high-need subjects? First evidence from the SPRINTT data&quot;,&quot;author&quot;:[{&quot;family&quot;:&quot;Sicsic&quot;,&quot;given&quot;:&quot;Jonathan&quot;,&quot;parse-names&quot;:false,&quot;dropping-particle&quot;:&quot;&quot;,&quot;non-dropping-particle&quot;:&quot;&quot;},{&quot;family&quot;:&quot;Ravesteijn&quot;,&quot;given&quot;:&quot;Bastian&quot;,&quot;parse-names&quot;:false,&quot;dropping-particle&quot;:&quot;&quot;,&quot;non-dropping-particle&quot;:&quot;&quot;},{&quot;family&quot;:&quot;Rapp&quot;,&quot;given&quot;:&quot;Thomas&quot;,&quot;parse-names&quot;:false,&quot;dropping-particle&quot;:&quot;&quot;,&quot;non-dropping-particle&quot;:&quot;&quot;}],&quot;container-title&quot;:&quot;Health Policy&quot;,&quot;accessed&quot;:{&quot;date-parts&quot;:[[2020,6,18]]},&quot;DOI&quot;:&quot;10.1016/j.healthpol.2020.05.009&quot;,&quot;ISSN&quot;:&quot;18726054&quot;,&quot;issued&quot;:{&quot;date-parts&quot;:[[2020,5,17]]},&quot;abstract&quot;:&quot;Physical frailty and sarcopenia (PF&amp;S) has received growing attention in empirical models of health care use. However, few articles focused on objective measures of PF&amp;S to assess the extent of care consumption among the frail population at risk of dependency. Using baseline data from the SPRINTT study, a sample of 1518 elderly people aged 70+ recruited in eleven European countries, we analyse the association between various PF&amp;S measures and health care / long term care (LTC) use. Multiple health care and LTC outcomes are modelled using linear probability models adjusted for a range of individual characteristics and country fixed effects. We find that PF&amp;S is associated with a significant increase in emergency admissions and hospitalizations, especially among low-income elders. All PF&amp;S measures are significantly associated with increased use of formal and informal LTC. There is a moderating effect of income on LTC use: poor frail elders are more likely to use any of the formal LTC services than rich frail elders. Our results are robust to various statistical specifications. They suggest that the inclusion of PF&amp;S in the eligibility criteria of public LTC allowances could contribute to decrease the economic gradient in care use among the elderly community-dwelling European population.&quot;,&quot;publisher&quot;:&quot;Elsevier Ireland Ltd&quot;,&quot;expandedJournalTitle&quot;:&quot;Health Policy&quot;},&quot;isTemporary&quot;:false}],&quot;citationTag&quot;:&quot;MENDELEY_CITATION_v3_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&quot;},{&quot;citationID&quot;:&quot;MENDELEY_CITATION_19e37852-e0f0-4c51-89f7-d7a83bec2574&quot;,&quot;properties&quot;:{&quot;noteIndex&quot;:0},&quot;isEdited&quot;:false,&quot;manualOverride&quot;:{&quot;isManuallyOverridden&quot;:false,&quot;citeprocText&quot;:&quot;[60]&quot;,&quot;manualOverrideText&quot;:&quot;&quot;},&quot;citationItems&quot;:[{&quot;id&quot;:&quot;944146b3-3e33-3613-b468-409f010f88a7&quot;,&quot;itemData&quot;:{&quot;type&quot;:&quot;article-journal&quot;,&quot;id&quot;:&quot;944146b3-3e33-3613-b468-409f010f88a7&quot;,&quot;title&quot;:&quot;The frailty phenotype and the frailty index: different instruments for different purposes&quot;,&quot;author&quot;:[{&quot;family&quot;:&quot;Cesari&quot;,&quot;given&quot;:&quot;M&quot;,&quot;parse-names&quot;:false,&quot;dropping-particle&quot;:&quot;&quot;,&quot;non-dropping-particle&quot;:&quot;&quot;},{&quot;family&quot;:&quot;Gambassi&quot;,&quot;given&quot;:&quot;G&quot;,&quot;parse-names&quot;:false,&quot;dropping-particle&quot;:&quot;&quot;,&quot;non-dropping-particle&quot;:&quot;&quot;},{&quot;family&quot;:&quot;Abellan van Kan&quot;,&quot;given&quot;:&quot;G&quot;,&quot;parse-names&quot;:false,&quot;dropping-particle&quot;:&quot;&quot;,&quot;non-dropping-particle&quot;:&quot;&quot;},{&quot;family&quot;:&quot;Vellas&quot;,&quot;given&quot;:&quot;B&quot;,&quot;parse-names&quot;:false,&quot;dropping-particle&quot;:&quot;&quot;,&quot;non-dropping-particle&quot;:&quot;&quot;}],&quot;container-title&quot;:&quot;Age and Ageing&quot;,&quot;DOI&quot;:&quot;10.1093/ageing/aft160&quot;,&quot;ISSN&quot;:&quot;0002-0729, 1468-2834&quot;,&quot;URL&quot;:&quot;https://academic.oup.com/ageing/article-lookup/doi/10.1093/ageing/aft160&quot;,&quot;issued&quot;:{&quot;date-parts&quot;:[[2014,2,9]]},&quot;page&quot;:&quot;10-12&quot;,&quot;language&quot;:&quot;en&quot;,&quot;issue&quot;:&quot;1&quot;,&quot;volume&quot;:&quot;43&quot;,&quot;expandedJournalTitle&quot;:&quot;Age and Ageing&quot;},&quot;isTemporary&quot;:false}],&quot;citationTag&quot;:&quot;MENDELEY_CITATION_v3_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&quot;},{&quot;citationID&quot;:&quot;MENDELEY_CITATION_39a8f06c-b4fe-4e52-800b-da982f70609c&quot;,&quot;properties&quot;:{&quot;noteIndex&quot;:0},&quot;isEdited&quot;:false,&quot;manualOverride&quot;:{&quot;isManuallyOverridden&quot;:false,&quot;citeprocText&quot;:&quot;[22]&quot;,&quot;manualOverrideText&quot;:&quot;&quot;},&quot;citationItems&quot;:[{&quot;id&quot;:&quot;65976e7e-2378-3ae3-b0a1-5ba2b83b22e5&quot;,&quot;itemData&quot;:{&quot;type&quot;:&quot;article-journal&quot;,&quot;id&quot;:&quot;65976e7e-2378-3ae3-b0a1-5ba2b83b22e5&quot;,&quot;title&quot;:&quot;Relationship Between Sarcopenia and Frailty in the Toledo Study of Healthy Aging: A Population Based Cross-Sectional Study&quot;,&quot;author&quot;:[{&quot;family&quot;:&quot;Davies&quot;,&quot;given&quot;:&quot;B.&quot;,&quot;parse-names&quot;:false,&quot;dropping-particle&quot;:&quot;&quot;,&quot;non-dropping-particle&quot;:&quot;&quot;},{&quot;family&quot;:&quot;García&quot;,&quot;given&quot;:&quot;F.&quot;,&quot;parse-names&quot;:false,&quot;dropping-particle&quot;:&quot;&quot;,&quot;non-dropping-particle&quot;:&quot;&quot;},{&quot;family&quot;:&quot;Ara&quot;,&quot;given&quot;:&quot;I.&quot;,&quot;parse-names&quot;:false,&quot;dropping-particle&quot;:&quot;&quot;,&quot;non-dropping-particle&quot;:&quot;&quot;},{&quot;family&quot;:&quot;Artalejo&quot;,&quot;given&quot;:&quot;F. Rodríguez&quot;,&quot;parse-names&quot;:false,&quot;dropping-particle&quot;:&quot;&quot;,&quot;non-dropping-particle&quot;:&quot;&quot;},{&quot;family&quot;:&quot;Rodriguez-Mañas&quot;,&quot;given&quot;:&quot;L.&quot;,&quot;parse-names&quot;:false,&quot;dropping-particle&quot;:&quot;&quot;,&quot;non-dropping-particle&quot;:&quot;&quot;},{&quot;family&quot;:&quot;Walter&quot;,&quot;given&quot;:&quot;S.&quot;,&quot;parse-names&quot;:false,&quot;dropping-particle&quot;:&quot;&quot;,&quot;non-dropping-particle&quot;:&quot;&quot;}],&quot;container-title&quot;:&quot;Journal of the American Medical Directors Association&quot;,&quot;accessed&quot;:{&quot;date-parts&quot;:[[2020,2,3]]},&quot;DOI&quot;:&quot;10.1016/j.jamda.2017.09.014&quot;,&quot;ISSN&quot;:&quot;15389375&quot;,&quot;issued&quot;:{&quot;date-parts&quot;:[[2018,4,1]]},&quot;page&quot;:&quot;282-286&quot;,&quot;abstract&quot;:&quot;Introduction: Frailty and sarcopenia are correlates of musculoskeletal aging that represent a state of vulnerability increasing the risk of negative health outcomes. Standardized definitions are lacking for both, and sometimes both concepts are used interchangeably. However, no large study has assessed the coexistence of these 2 entities in a cohort of older community-dwelling people. Methods: Data were taken from the Toledo Study of Healthy Aging (TSHA), a study of community-dwelling elderly (≥65 years). The study population consists of 1611 participants with frailty and sarcopenia assessments. For sarcopenia, we used 3 criteria: European Working Group on Sarcopenia in Older People (EWGSOP), the Foundation for the National Institutes of Health (FNIH), and the FNIH fitted to the cut-off points of our population [standardized FNIH (sFNIH)]. Frailty was assessed according to the Fried criteria with cut-off points adjusted to our population. We used logistic regression to assess the relationship between sarcopenia and frailty and measures of diagnostic accuracy to evaluate the potential use of sarcopenia as a diagnostic marker for frailty. Results: The mean age of the population was 75.42 years (±5.86). Overall, 72 (4.5%) were frail. In addition, 352 (21.8%), 332 (20.6%), and 453 (28.1%) participants were considered sarcopenic according to the EWGSOP, FNIH, and sFNIH criteria, respectively. The prevalence of frailty among those with sarcopenia was 8.2% (29/352), 15.7% (52/332), and 10.4% (47/453). Moreover, among frail people, the prevalence of sarcopenia was 40.27%, 72.2%, and 65.3% according to the used criteria. Sarcopenia showed a low sensitivity (&lt;10%) but high specificity (&gt;97%) for the diagnosis of frailty, with a low intercorrelation (Cramer V = 0.16, 0.40, and 0.30) between the 3 criteria and frailty. Using multivariate logistic regression, frailty was associated with sarcopenia according to EWGSOP [odds ratio (OR) = 1.67, 95% confidence interval (CI) = 0.95, 2.96], FNIH (OR = 10.61, 95% CI = 5.8, 19.4), and sFNIH (OR = 6.63, 95% CI =3.5, 12.53). Conclusion: Frailty and sarcopenia are distinct but related conditions. Sarcopenia is not a useful clinical biomarker of frailty, but its absence might be useful to exclude frailty.&quot;,&quot;publisher&quot;:&quot;Elsevier Inc.&quot;,&quot;issue&quot;:&quot;4&quot;,&quot;volume&quot;:&quot;19&quot;,&quot;expandedJournalTitle&quot;:&quot;Journal of the American Medical Directors Association&quot;},&quot;isTemporary&quot;:false}],&quot;citationTag&quot;:&quot;MENDELEY_CITATION_v3_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&quot;}]"/>
    <we:property name="MENDELEY_CITATIONS_STYLE" value="&quot;https://www.zotero.org/styles/bmc-geriatrics&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21D7C6-6C75-469F-8818-E411EC5929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8</Pages>
  <Words>2457</Words>
  <Characters>13516</Characters>
  <Application>Microsoft Office Word</Application>
  <DocSecurity>0</DocSecurity>
  <Lines>112</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Alejandro Álvarez Bustos</dc:creator>
  <cp:keywords/>
  <dc:description/>
  <cp:lastModifiedBy>Alejandro Alvarez Bustos</cp:lastModifiedBy>
  <cp:revision>7</cp:revision>
  <cp:lastPrinted>2021-05-17T09:52:00Z</cp:lastPrinted>
  <dcterms:created xsi:type="dcterms:W3CDTF">2022-08-01T15:58:00Z</dcterms:created>
  <dcterms:modified xsi:type="dcterms:W3CDTF">2022-08-12T10:26:00Z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3d96aa1e-b3f8-3d97-a052-3e4e2b816e4f</vt:lpwstr>
  </property>
  <property fmtid="{D5CDD505-2E9C-101B-9397-08002B2CF9AE}" pid="4" name="Mendeley Citation Style_1">
    <vt:lpwstr>http://www.zotero.org/styles/apa</vt:lpwstr>
  </property>
  <property fmtid="{D5CDD505-2E9C-101B-9397-08002B2CF9AE}" pid="5" name="Mendeley Recent Style Id 0_1">
    <vt:lpwstr>http://www.zotero.org/styles/apa</vt:lpwstr>
  </property>
  <property fmtid="{D5CDD505-2E9C-101B-9397-08002B2CF9AE}" pid="6" name="Mendeley Recent Style Name 0_1">
    <vt:lpwstr>American Psychological Association 7th edition</vt:lpwstr>
  </property>
  <property fmtid="{D5CDD505-2E9C-101B-9397-08002B2CF9AE}" pid="7" name="Mendeley Recent Style Id 1_1">
    <vt:lpwstr>http://www.zotero.org/styles/bmj</vt:lpwstr>
  </property>
  <property fmtid="{D5CDD505-2E9C-101B-9397-08002B2CF9AE}" pid="8" name="Mendeley Recent Style Name 1_1">
    <vt:lpwstr>BMJ</vt:lpwstr>
  </property>
  <property fmtid="{D5CDD505-2E9C-101B-9397-08002B2CF9AE}" pid="9" name="Mendeley Recent Style Id 2_1">
    <vt:lpwstr>http://csl.mendeley.com/styles/573761151/elsevier-vancouver-2</vt:lpwstr>
  </property>
  <property fmtid="{D5CDD505-2E9C-101B-9397-08002B2CF9AE}" pid="10" name="Mendeley Recent Style Name 2_1">
    <vt:lpwstr>Elsevier - Vancouver - Alejandro Álvarez-Bustos</vt:lpwstr>
  </property>
  <property fmtid="{D5CDD505-2E9C-101B-9397-08002B2CF9AE}" pid="11" name="Mendeley Recent Style Id 3_1">
    <vt:lpwstr>http://www.zotero.org/styles/international-journal-of-gerontology</vt:lpwstr>
  </property>
  <property fmtid="{D5CDD505-2E9C-101B-9397-08002B2CF9AE}" pid="12" name="Mendeley Recent Style Name 3_1">
    <vt:lpwstr>International Journal of Gerontology</vt:lpwstr>
  </property>
  <property fmtid="{D5CDD505-2E9C-101B-9397-08002B2CF9AE}" pid="13" name="Mendeley Recent Style Id 4_1">
    <vt:lpwstr>http://www.zotero.org/styles/nature</vt:lpwstr>
  </property>
  <property fmtid="{D5CDD505-2E9C-101B-9397-08002B2CF9AE}" pid="14" name="Mendeley Recent Style Name 4_1">
    <vt:lpwstr>Nature</vt:lpwstr>
  </property>
  <property fmtid="{D5CDD505-2E9C-101B-9397-08002B2CF9AE}" pid="15" name="Mendeley Recent Style Id 5_1">
    <vt:lpwstr>http://www.zotero.org/styles/plos-one</vt:lpwstr>
  </property>
  <property fmtid="{D5CDD505-2E9C-101B-9397-08002B2CF9AE}" pid="16" name="Mendeley Recent Style Name 5_1">
    <vt:lpwstr>PLOS ONE</vt:lpwstr>
  </property>
  <property fmtid="{D5CDD505-2E9C-101B-9397-08002B2CF9AE}" pid="17" name="Mendeley Recent Style Id 6_1">
    <vt:lpwstr>http://www.zotero.org/styles/supportive-care-in-cancer</vt:lpwstr>
  </property>
  <property fmtid="{D5CDD505-2E9C-101B-9397-08002B2CF9AE}" pid="18" name="Mendeley Recent Style Name 6_1">
    <vt:lpwstr>Supportive Care in Cancer</vt:lpwstr>
  </property>
  <property fmtid="{D5CDD505-2E9C-101B-9397-08002B2CF9AE}" pid="19" name="Mendeley Recent Style Id 7_1">
    <vt:lpwstr>http://www.zotero.org/styles/the-european-journal-of-health-economics</vt:lpwstr>
  </property>
  <property fmtid="{D5CDD505-2E9C-101B-9397-08002B2CF9AE}" pid="20" name="Mendeley Recent Style Name 7_1">
    <vt:lpwstr>The European Journal of Health Economics</vt:lpwstr>
  </property>
  <property fmtid="{D5CDD505-2E9C-101B-9397-08002B2CF9AE}" pid="21" name="Mendeley Recent Style Id 8_1">
    <vt:lpwstr>http://www.zotero.org/styles/the-journals-of-gerontology-series-a</vt:lpwstr>
  </property>
  <property fmtid="{D5CDD505-2E9C-101B-9397-08002B2CF9AE}" pid="22" name="Mendeley Recent Style Name 8_1">
    <vt:lpwstr>The Journals of Gerontology, Series A: Biological Sciences and Medical Sciences</vt:lpwstr>
  </property>
  <property fmtid="{D5CDD505-2E9C-101B-9397-08002B2CF9AE}" pid="23" name="Mendeley Recent Style Id 9_1">
    <vt:lpwstr>http://www.zotero.org/styles/value-in-health</vt:lpwstr>
  </property>
  <property fmtid="{D5CDD505-2E9C-101B-9397-08002B2CF9AE}" pid="24" name="Mendeley Recent Style Name 9_1">
    <vt:lpwstr>Value in Health</vt:lpwstr>
  </property>
</Properties>
</file>