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CC0" w:rsidRDefault="004C4CC0"/>
    <w:p w:rsidR="003250B3" w:rsidRPr="00125A1B" w:rsidRDefault="003250B3" w:rsidP="003250B3">
      <w:pPr>
        <w:rPr>
          <w:lang w:val="en-GB"/>
        </w:rPr>
      </w:pPr>
      <w:r w:rsidRPr="00125A1B">
        <w:rPr>
          <w:lang w:val="en-GB"/>
        </w:rPr>
        <w:t>Additional table 1. Diseases, complaints, and medications</w:t>
      </w:r>
    </w:p>
    <w:tbl>
      <w:tblPr>
        <w:tblStyle w:val="TableGrid"/>
        <w:tblW w:w="9096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754"/>
        <w:gridCol w:w="1379"/>
        <w:gridCol w:w="11"/>
        <w:gridCol w:w="1258"/>
        <w:gridCol w:w="11"/>
        <w:gridCol w:w="1258"/>
      </w:tblGrid>
      <w:tr w:rsidR="003250B3" w:rsidRPr="00125A1B" w:rsidTr="00706ED2">
        <w:tc>
          <w:tcPr>
            <w:tcW w:w="51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50B3" w:rsidRPr="00125A1B" w:rsidRDefault="003250B3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L-PDW </w:t>
            </w:r>
          </w:p>
          <w:p w:rsidR="003250B3" w:rsidRPr="00125A1B" w:rsidRDefault="003250B3" w:rsidP="00706ED2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(N=50)</w:t>
            </w: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br/>
            </w: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 (%)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50B3" w:rsidRPr="00125A1B" w:rsidRDefault="003250B3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NL-PDW (N=217)</w:t>
            </w:r>
          </w:p>
          <w:p w:rsidR="003250B3" w:rsidRPr="00125A1B" w:rsidRDefault="003250B3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 (%)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50B3" w:rsidRPr="00125A1B" w:rsidRDefault="003250B3" w:rsidP="00706ED2">
            <w:pPr>
              <w:jc w:val="left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P-value</w:t>
            </w:r>
          </w:p>
        </w:tc>
      </w:tr>
      <w:tr w:rsidR="003250B3" w:rsidRPr="00125A1B" w:rsidTr="00706ED2">
        <w:tc>
          <w:tcPr>
            <w:tcW w:w="5179" w:type="dxa"/>
            <w:gridSpan w:val="2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Diseases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Joint problems (e.g., arthritis, gout, rheumatism)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 (36)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92 (42)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0.430 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Neck or back problems 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 (40)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90 (42)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0.875 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Bone decalcification (e.g., osteoporosis) 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 (4)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27 (12)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0.127 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Diabetes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 (16)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 (15)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0.831 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Tightness of the chest (e.g., COPD, asthma)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 (18)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37 (17)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0.838 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Crohn’s disease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 (6)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 (1)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0.082 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MS/ALS 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 (2)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 (1)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0.566 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Skin disease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 (8)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11 (5)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0.492 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Thyroid problems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 (10)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22 (10)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1.000 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Heart failure/heart disease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 (8)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31 (14)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0.351 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Consequences of a cerebral infarction / brain haemorrhage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 (4)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11 (5)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1.000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Dementia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 (4)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 (3)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0.646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Parkinson’s disease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 (2)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 (1)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0.465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Cancer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 (2)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11 (5)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0.475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Psychological complaints (mood or anxiety problems, depression)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27 (54)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91 (42)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0.155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Other 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 (18)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29 (13)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0.377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None of these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 (8)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21 (10)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1.000</w:t>
            </w:r>
          </w:p>
        </w:tc>
      </w:tr>
      <w:tr w:rsidR="003250B3" w:rsidRPr="00125A1B" w:rsidTr="00706ED2">
        <w:trPr>
          <w:gridAfter w:val="1"/>
          <w:wAfter w:w="1258" w:type="dxa"/>
        </w:trPr>
        <w:tc>
          <w:tcPr>
            <w:tcW w:w="5179" w:type="dxa"/>
            <w:gridSpan w:val="2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Complaints</w:t>
            </w:r>
          </w:p>
        </w:tc>
        <w:tc>
          <w:tcPr>
            <w:tcW w:w="1390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Hearing problems or deafness, tinnitus 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 (16)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83 (38)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0.003</w:t>
            </w:r>
          </w:p>
        </w:tc>
      </w:tr>
      <w:tr w:rsidR="003250B3" w:rsidRPr="00125A1B" w:rsidTr="00706ED2">
        <w:tc>
          <w:tcPr>
            <w:tcW w:w="425" w:type="dxa"/>
            <w:vMerge w:val="restart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Eye problems and visual impairment 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 (16)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 (32)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0.025</w:t>
            </w:r>
          </w:p>
        </w:tc>
      </w:tr>
      <w:tr w:rsidR="003250B3" w:rsidRPr="00125A1B" w:rsidTr="00706ED2">
        <w:tc>
          <w:tcPr>
            <w:tcW w:w="425" w:type="dxa"/>
            <w:vMerge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Memory problems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 (20)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67 (31)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0.166</w:t>
            </w:r>
          </w:p>
        </w:tc>
      </w:tr>
      <w:tr w:rsidR="003250B3" w:rsidRPr="00125A1B" w:rsidTr="00706ED2">
        <w:tc>
          <w:tcPr>
            <w:tcW w:w="425" w:type="dxa"/>
            <w:vMerge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Difficulty speaking 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 (4)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 (2)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0.619</w:t>
            </w:r>
          </w:p>
        </w:tc>
      </w:tr>
      <w:tr w:rsidR="003250B3" w:rsidRPr="00125A1B" w:rsidTr="00706ED2">
        <w:tc>
          <w:tcPr>
            <w:tcW w:w="425" w:type="dxa"/>
            <w:vMerge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Headache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 (26)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53 (24)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0.856</w:t>
            </w:r>
          </w:p>
        </w:tc>
      </w:tr>
      <w:tr w:rsidR="003250B3" w:rsidRPr="00125A1B" w:rsidTr="00706ED2">
        <w:tc>
          <w:tcPr>
            <w:tcW w:w="425" w:type="dxa"/>
            <w:vMerge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Sleep problems 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23 (46)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104 (48)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0.876</w:t>
            </w:r>
          </w:p>
        </w:tc>
      </w:tr>
      <w:tr w:rsidR="003250B3" w:rsidRPr="00125A1B" w:rsidTr="00706ED2">
        <w:tc>
          <w:tcPr>
            <w:tcW w:w="425" w:type="dxa"/>
            <w:vMerge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Falls (or fear of falling)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 (8)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43 (20)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0.062</w:t>
            </w:r>
          </w:p>
        </w:tc>
      </w:tr>
      <w:tr w:rsidR="003250B3" w:rsidRPr="00125A1B" w:rsidTr="00706ED2">
        <w:tc>
          <w:tcPr>
            <w:tcW w:w="425" w:type="dxa"/>
            <w:vMerge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Problems walking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 (36)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83 (38)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0.872</w:t>
            </w:r>
          </w:p>
        </w:tc>
      </w:tr>
      <w:tr w:rsidR="003250B3" w:rsidRPr="00125A1B" w:rsidTr="00706ED2">
        <w:tc>
          <w:tcPr>
            <w:tcW w:w="425" w:type="dxa"/>
            <w:vMerge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Dizziness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 (30)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47 (22)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0.264</w:t>
            </w:r>
          </w:p>
        </w:tc>
      </w:tr>
      <w:tr w:rsidR="003250B3" w:rsidRPr="00125A1B" w:rsidTr="00706ED2">
        <w:tc>
          <w:tcPr>
            <w:tcW w:w="425" w:type="dxa"/>
            <w:vMerge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Problems with particular movements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 (26)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77 (36)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0.246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Depression (depressive feelings) 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28 (56)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125 (58)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0.875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Lack of appetite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 (10)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26 (12)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0.810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Overweight, obesity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 (30)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65 (30)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1.000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Incontinence (urinary or bowel) 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 (8)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19 (9)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1.000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Obstipation, hard/slow bowel movement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11 (22)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 (8)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0.008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Impotence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 (6)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28 (13)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0.223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Loss of sense of smell or taste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 (4)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 (8)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0.385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Chronic itching (for example due to dry skin)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 (10)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24 (11)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1.000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Bedsores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 (2)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 (1)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0.465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Extreme/chronic fatigue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 (32)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60 (28)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0.602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(Chronic) pain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 (32)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74 (34)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0.869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Other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 (2)</w:t>
            </w:r>
          </w:p>
        </w:tc>
        <w:tc>
          <w:tcPr>
            <w:tcW w:w="1269" w:type="dxa"/>
            <w:gridSpan w:val="2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27 (12)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0.037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None of these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 (4)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 (3)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0.646</w:t>
            </w:r>
          </w:p>
        </w:tc>
      </w:tr>
      <w:tr w:rsidR="003250B3" w:rsidRPr="00125A1B" w:rsidTr="00706ED2">
        <w:tc>
          <w:tcPr>
            <w:tcW w:w="5179" w:type="dxa"/>
            <w:gridSpan w:val="2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GB"/>
              </w:rPr>
            </w:pPr>
            <w:proofErr w:type="spellStart"/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Medications</w:t>
            </w: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bookmarkStart w:id="0" w:name="_Hlk79592087"/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Antidepressants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 (43)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52 (29)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0.117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Tranquillizers 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 (11)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 (7)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0.491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Sleeping pills 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 (23)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36 (20)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0.819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Pain killers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 (43)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76 (43)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1.000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Blood thinners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 (26)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61 (34)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0.431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Anti-</w:t>
            </w:r>
            <w:proofErr w:type="spellStart"/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hypertensives</w:t>
            </w:r>
            <w:proofErr w:type="spellEnd"/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 (43)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81 (46)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0.853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Anti-inflammatories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 (14)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31 (17)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0.807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Blood sugar medication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 (26)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26 (15)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0.132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 xml:space="preserve">Thyroid medication 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 (20)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21 (12)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0.183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Lung medication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 (26)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26 (15)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0.132</w:t>
            </w:r>
          </w:p>
        </w:tc>
      </w:tr>
      <w:tr w:rsidR="003250B3" w:rsidRPr="00125A1B" w:rsidTr="00706ED2">
        <w:trPr>
          <w:trHeight w:val="67"/>
        </w:trPr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Prostate medication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 (3)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 (4)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1.000</w:t>
            </w:r>
          </w:p>
        </w:tc>
      </w:tr>
      <w:bookmarkEnd w:id="0"/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Other</w:t>
            </w:r>
          </w:p>
        </w:tc>
        <w:tc>
          <w:tcPr>
            <w:tcW w:w="1379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 (17)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37 (21)</w:t>
            </w:r>
          </w:p>
        </w:tc>
        <w:tc>
          <w:tcPr>
            <w:tcW w:w="1269" w:type="dxa"/>
            <w:gridSpan w:val="2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0.818</w:t>
            </w:r>
          </w:p>
        </w:tc>
      </w:tr>
      <w:tr w:rsidR="003250B3" w:rsidRPr="00125A1B" w:rsidTr="00706ED2">
        <w:tc>
          <w:tcPr>
            <w:tcW w:w="425" w:type="dxa"/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4754" w:type="dxa"/>
            <w:tcBorders>
              <w:bottom w:val="single" w:sz="4" w:space="0" w:color="000000"/>
            </w:tcBorders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None of these medications</w:t>
            </w:r>
          </w:p>
        </w:tc>
        <w:tc>
          <w:tcPr>
            <w:tcW w:w="1379" w:type="dxa"/>
            <w:tcBorders>
              <w:bottom w:val="single" w:sz="4" w:space="0" w:color="000000"/>
            </w:tcBorders>
            <w:shd w:val="clear" w:color="auto" w:fill="auto"/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 (0)</w:t>
            </w:r>
          </w:p>
        </w:tc>
        <w:tc>
          <w:tcPr>
            <w:tcW w:w="1269" w:type="dxa"/>
            <w:gridSpan w:val="2"/>
            <w:tcBorders>
              <w:bottom w:val="single" w:sz="4" w:space="0" w:color="000000"/>
            </w:tcBorders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 (1)</w:t>
            </w:r>
          </w:p>
        </w:tc>
        <w:tc>
          <w:tcPr>
            <w:tcW w:w="1269" w:type="dxa"/>
            <w:gridSpan w:val="2"/>
            <w:tcBorders>
              <w:bottom w:val="single" w:sz="4" w:space="0" w:color="000000"/>
            </w:tcBorders>
          </w:tcPr>
          <w:p w:rsidR="003250B3" w:rsidRPr="00125A1B" w:rsidRDefault="003250B3" w:rsidP="00706ED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125A1B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1.000</w:t>
            </w:r>
          </w:p>
        </w:tc>
      </w:tr>
    </w:tbl>
    <w:p w:rsidR="003250B3" w:rsidRPr="00125A1B" w:rsidRDefault="003250B3" w:rsidP="003250B3">
      <w:pPr>
        <w:rPr>
          <w:rFonts w:ascii="Times New Roman" w:hAnsi="Times New Roman" w:cs="Times New Roman"/>
          <w:noProof/>
          <w:sz w:val="16"/>
          <w:szCs w:val="16"/>
          <w:lang w:val="en-GB" w:eastAsia="nl-NL"/>
        </w:rPr>
      </w:pPr>
      <w:r w:rsidRPr="00125A1B">
        <w:rPr>
          <w:rFonts w:ascii="Times New Roman" w:hAnsi="Times New Roman" w:cs="Times New Roman"/>
          <w:noProof/>
          <w:sz w:val="16"/>
          <w:szCs w:val="16"/>
          <w:lang w:val="en-GB" w:eastAsia="nl-NL"/>
        </w:rPr>
        <w:t>Results are presented as N (%).</w:t>
      </w:r>
    </w:p>
    <w:p w:rsidR="003250B3" w:rsidRPr="00125A1B" w:rsidRDefault="003250B3" w:rsidP="003250B3">
      <w:pPr>
        <w:pStyle w:val="NoSpacing"/>
        <w:rPr>
          <w:rFonts w:ascii="Times New Roman" w:hAnsi="Times New Roman" w:cs="Times New Roman"/>
          <w:sz w:val="16"/>
          <w:szCs w:val="16"/>
          <w:lang w:val="en-US"/>
        </w:rPr>
      </w:pPr>
      <w:r w:rsidRPr="00125A1B">
        <w:rPr>
          <w:rFonts w:ascii="Times New Roman" w:hAnsi="Times New Roman" w:cs="Times New Roman"/>
          <w:sz w:val="16"/>
          <w:szCs w:val="16"/>
          <w:lang w:val="en-US"/>
        </w:rPr>
        <w:t>Percentages add up to more than 100% because respondents could select multiple diseases, complaints, and medications.</w:t>
      </w:r>
    </w:p>
    <w:p w:rsidR="003250B3" w:rsidRPr="00125A1B" w:rsidRDefault="003250B3" w:rsidP="003250B3">
      <w:pPr>
        <w:rPr>
          <w:rFonts w:ascii="Times New Roman" w:hAnsi="Times New Roman" w:cs="Times New Roman"/>
          <w:sz w:val="16"/>
          <w:szCs w:val="16"/>
          <w:lang w:val="en-GB"/>
        </w:rPr>
      </w:pPr>
      <w:r w:rsidRPr="00125A1B">
        <w:rPr>
          <w:rFonts w:ascii="Times New Roman" w:hAnsi="Times New Roman" w:cs="Times New Roman"/>
          <w:sz w:val="16"/>
          <w:szCs w:val="16"/>
          <w:lang w:val="en-GB"/>
        </w:rPr>
        <w:t>Statistically significant results (</w:t>
      </w:r>
      <w:r w:rsidRPr="00125A1B">
        <w:rPr>
          <w:rStyle w:val="Emphasis"/>
          <w:rFonts w:ascii="Times New Roman" w:hAnsi="Times New Roman" w:cs="Times New Roman"/>
          <w:sz w:val="16"/>
          <w:szCs w:val="16"/>
          <w:lang w:val="en-GB"/>
        </w:rPr>
        <w:t>p</w:t>
      </w:r>
      <w:r w:rsidRPr="00125A1B">
        <w:rPr>
          <w:rFonts w:ascii="Times New Roman" w:hAnsi="Times New Roman" w:cs="Times New Roman"/>
          <w:sz w:val="16"/>
          <w:szCs w:val="16"/>
          <w:lang w:val="en-GB"/>
        </w:rPr>
        <w:t xml:space="preserve"> &lt; 0.05) are in bold. All were determined by Fisher’s exact tests.</w:t>
      </w:r>
    </w:p>
    <w:p w:rsidR="003250B3" w:rsidRPr="00125A1B" w:rsidRDefault="003250B3" w:rsidP="003250B3">
      <w:pPr>
        <w:rPr>
          <w:rFonts w:ascii="Times New Roman" w:hAnsi="Times New Roman" w:cs="Times New Roman"/>
          <w:sz w:val="16"/>
          <w:szCs w:val="16"/>
          <w:lang w:val="en-GB"/>
        </w:rPr>
      </w:pPr>
    </w:p>
    <w:p w:rsidR="003250B3" w:rsidRPr="00125A1B" w:rsidRDefault="003250B3" w:rsidP="003250B3">
      <w:pPr>
        <w:rPr>
          <w:rFonts w:ascii="Times New Roman" w:hAnsi="Times New Roman" w:cs="Times New Roman"/>
          <w:sz w:val="16"/>
          <w:szCs w:val="16"/>
          <w:lang w:val="en-GB"/>
        </w:rPr>
      </w:pPr>
      <w:r w:rsidRPr="00125A1B">
        <w:rPr>
          <w:rFonts w:ascii="Times New Roman" w:hAnsi="Times New Roman" w:cs="Times New Roman"/>
          <w:sz w:val="16"/>
          <w:szCs w:val="16"/>
          <w:vertAlign w:val="superscript"/>
          <w:lang w:val="en-GB"/>
        </w:rPr>
        <w:t>a</w:t>
      </w:r>
      <w:r w:rsidRPr="00125A1B">
        <w:rPr>
          <w:rFonts w:ascii="Times New Roman" w:hAnsi="Times New Roman" w:cs="Times New Roman"/>
          <w:sz w:val="16"/>
          <w:szCs w:val="16"/>
          <w:lang w:val="en-GB"/>
        </w:rPr>
        <w:t xml:space="preserve"> N=35 and N=178 because respondents who reported not using any medications were not asked to list their medications.</w:t>
      </w:r>
    </w:p>
    <w:p w:rsidR="003250B3" w:rsidRPr="00125A1B" w:rsidRDefault="003250B3" w:rsidP="003250B3">
      <w:pPr>
        <w:rPr>
          <w:lang w:val="en-GB"/>
        </w:rPr>
      </w:pPr>
    </w:p>
    <w:p w:rsidR="003250B3" w:rsidRPr="00125A1B" w:rsidRDefault="003250B3" w:rsidP="003250B3">
      <w:pPr>
        <w:jc w:val="left"/>
        <w:rPr>
          <w:lang w:val="en-US"/>
        </w:rPr>
      </w:pPr>
      <w:r w:rsidRPr="00125A1B">
        <w:rPr>
          <w:lang w:val="en-US"/>
        </w:rPr>
        <w:br w:type="page"/>
      </w:r>
    </w:p>
    <w:p w:rsidR="003250B3" w:rsidRDefault="003250B3">
      <w:bookmarkStart w:id="1" w:name="_GoBack"/>
      <w:bookmarkEnd w:id="1"/>
    </w:p>
    <w:p w:rsidR="003250B3" w:rsidRDefault="003250B3"/>
    <w:p w:rsidR="003250B3" w:rsidRDefault="003250B3"/>
    <w:p w:rsidR="003250B3" w:rsidRDefault="003250B3"/>
    <w:p w:rsidR="003250B3" w:rsidRDefault="003250B3"/>
    <w:p w:rsidR="003250B3" w:rsidRDefault="003250B3"/>
    <w:p w:rsidR="003250B3" w:rsidRDefault="003250B3"/>
    <w:p w:rsidR="003250B3" w:rsidRDefault="003250B3"/>
    <w:p w:rsidR="003250B3" w:rsidRDefault="003250B3"/>
    <w:sectPr w:rsidR="00325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0B3"/>
    <w:rsid w:val="000B4152"/>
    <w:rsid w:val="003250B3"/>
    <w:rsid w:val="004C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B55E9"/>
  <w15:chartTrackingRefBased/>
  <w15:docId w15:val="{02698407-2A86-4300-AFC2-E5574B23C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0B3"/>
    <w:pPr>
      <w:spacing w:after="0" w:line="240" w:lineRule="auto"/>
      <w:jc w:val="both"/>
    </w:pPr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50B3"/>
    <w:pPr>
      <w:spacing w:after="0" w:line="240" w:lineRule="auto"/>
    </w:pPr>
    <w:rPr>
      <w:lang w:val="nl-NL"/>
    </w:rPr>
  </w:style>
  <w:style w:type="table" w:styleId="TableGrid">
    <w:name w:val="Table Grid"/>
    <w:basedOn w:val="TableNormal"/>
    <w:uiPriority w:val="59"/>
    <w:rsid w:val="003250B3"/>
    <w:pPr>
      <w:spacing w:after="0" w:line="240" w:lineRule="auto"/>
    </w:pPr>
    <w:rPr>
      <w:sz w:val="24"/>
      <w:szCs w:val="24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3250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Lourdes Vallente</dc:creator>
  <cp:keywords/>
  <dc:description/>
  <cp:lastModifiedBy>Maria Lourdes Vallente</cp:lastModifiedBy>
  <cp:revision>1</cp:revision>
  <dcterms:created xsi:type="dcterms:W3CDTF">2022-11-17T14:38:00Z</dcterms:created>
  <dcterms:modified xsi:type="dcterms:W3CDTF">2022-11-17T14:38:00Z</dcterms:modified>
</cp:coreProperties>
</file>