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2369" w14:textId="2EE5B469" w:rsidR="00F26C0D" w:rsidRPr="008535F1" w:rsidRDefault="00F51DAA" w:rsidP="00F26C0D">
      <w:pPr>
        <w:spacing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Supplementary Table 1</w:t>
      </w:r>
      <w:r w:rsidR="00F26C0D" w:rsidRPr="008535F1">
        <w:rPr>
          <w:rFonts w:ascii="Times New Roman" w:eastAsia="Times New Roman" w:hAnsi="Times New Roman" w:cs="Times New Roman"/>
          <w:u w:val="single"/>
        </w:rPr>
        <w:t>: Details of individual studies</w:t>
      </w:r>
    </w:p>
    <w:p w14:paraId="6BAD4F02" w14:textId="77777777" w:rsidR="00F26C0D" w:rsidRPr="008535F1" w:rsidRDefault="00F26C0D" w:rsidP="00F26C0D">
      <w:pPr>
        <w:spacing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8"/>
        <w:gridCol w:w="1204"/>
        <w:gridCol w:w="1417"/>
        <w:gridCol w:w="851"/>
        <w:gridCol w:w="1843"/>
        <w:gridCol w:w="2551"/>
      </w:tblGrid>
      <w:tr w:rsidR="00CA5434" w:rsidRPr="008535F1" w14:paraId="6CF4DE05" w14:textId="77777777" w:rsidTr="00CA5434">
        <w:tc>
          <w:tcPr>
            <w:tcW w:w="133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E4BA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Pillar</w:t>
            </w: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AE14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Citation, Country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60E82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 xml:space="preserve">Details of Study </w:t>
            </w:r>
          </w:p>
          <w:p w14:paraId="27C75184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</w:rPr>
            </w:pPr>
          </w:p>
          <w:p w14:paraId="248F08F3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(e.g. design, population)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</w:tcPr>
          <w:p w14:paraId="1E571D82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Sample Size and Population</w:t>
            </w:r>
          </w:p>
          <w:p w14:paraId="0F13C5CB" w14:textId="77777777" w:rsidR="00CA5434" w:rsidRPr="008535F1" w:rsidRDefault="00CA5434" w:rsidP="003D025F">
            <w:pPr>
              <w:tabs>
                <w:tab w:val="left" w:pos="37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</w:tcPr>
          <w:p w14:paraId="49F170A5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Details of Intervention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B583C" w14:textId="77777777" w:rsidR="00CA5434" w:rsidRPr="008535F1" w:rsidRDefault="00CA5434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Key Outcomes</w:t>
            </w:r>
          </w:p>
        </w:tc>
      </w:tr>
      <w:tr w:rsidR="00CA5434" w:rsidRPr="008535F1" w14:paraId="1859550E" w14:textId="77777777" w:rsidTr="00CA5434">
        <w:trPr>
          <w:trHeight w:val="420"/>
        </w:trPr>
        <w:tc>
          <w:tcPr>
            <w:tcW w:w="1338" w:type="dxa"/>
            <w:vMerge w:val="restart"/>
            <w:tcBorders>
              <w:top w:val="single" w:sz="8" w:space="0" w:color="B7B7B7"/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6590F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I. Information campaigns</w:t>
            </w:r>
          </w:p>
          <w:p w14:paraId="6DC35602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C78874" w14:textId="530AA33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Brown et al.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AC28C" w14:textId="399DF1C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Assessment of patient education video via focus groups of 23 participants as well as assessment from 73 participants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B96712A" w14:textId="4FC837A3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99 older adults (23 from focus group, 73 participants in final stage)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A882443" w14:textId="1EF6B38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Patient education video promoting pneumococcal vaccine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3E1C7" w14:textId="4C49AAF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 video was well-received by patients (i.e. easy to understand, informative).</w:t>
            </w:r>
          </w:p>
        </w:tc>
      </w:tr>
      <w:tr w:rsidR="00CA5434" w:rsidRPr="008535F1" w14:paraId="17FBF271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0B1AF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4D57E0" w14:textId="162686B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Caffrey et al. (2017),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0E2EB" w14:textId="4503602A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Multi-center study with pre-post design – pre-intervention phase was 1 year, intervention phase was two years, and post-intervention phase was two years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F7E5A90" w14:textId="15FDE24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380 immunization providers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D978D90" w14:textId="470CFD8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Pharmacist-driven academic detailing and community outreach, involving distribution of vaccine-related materials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BB15" w14:textId="7C5B5B8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Pneumococcal vaccination rate increased significantly (absolute difference 3.9%, percentage change in proportion 5.4%; p = 0.01), pneumococcal disease decreased (decrease of 2.74 per 10,000 cases, p = 0.02)</w:t>
            </w:r>
          </w:p>
        </w:tc>
      </w:tr>
      <w:tr w:rsidR="00CA5434" w:rsidRPr="008535F1" w14:paraId="0FA4912E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9C6A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CD4D4C" w14:textId="39FD187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Chan et al., (2015), Hong Kong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B3EB0" w14:textId="48EA856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Cluster randomized controlled trial with clusters within individual weeks over a 10 week period – 2517 patients with chronic diseases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C40DD39" w14:textId="40C409F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2517 older adults with chronic diseases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4D29A27" w14:textId="783F291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Nurse-delivered brief muti-component educational tool (3 min telephone intervention, 3 minute face-to-face intervention, heath educational leaflets and/or video)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922D" w14:textId="0F2C8D3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Vaccination rate was higher in the intervention group (57% vs 48%; relative risk = 1.20), but there was no difference in awareness at 3-month follow-up (65% vs 59%, relative risk = 0.86)</w:t>
            </w:r>
          </w:p>
        </w:tc>
      </w:tr>
      <w:tr w:rsidR="00CA5434" w:rsidRPr="008535F1" w14:paraId="6E8489F9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5A78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356F61" w14:textId="5A0A0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DeCarlo et al (2018),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EC882" w14:textId="7406CB6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Interventional quality improvement design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79D407AD" w14:textId="3F86372B" w:rsidR="00CA5434" w:rsidRPr="00BC2F29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BC2F29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Patients aged over 65 at a Geriatrics Clinic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2997F5F3" w14:textId="3B82821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Multimodal with physician education, training other healthcare providers (MAs, LPNs, RNs) and optimizing EMR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C3403F" w14:textId="13CA5BEA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Increased from 66.% to 67.7% (no p value)</w:t>
            </w:r>
          </w:p>
        </w:tc>
      </w:tr>
      <w:tr w:rsidR="00CA5434" w:rsidRPr="008535F1" w14:paraId="28F977CD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E1488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56A802" w14:textId="588C6FE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Gladman et al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4C82E" w14:textId="287928C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Interventional quality improvement design with repeat chart reviews and 4 and 8 months after implementation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26A042D0" w14:textId="03977CDC" w:rsidR="00CA5434" w:rsidRPr="00BC2F29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BC2F29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3591 patients aged over 65 in a large academic general internal medicine practice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607ADCBC" w14:textId="6ED5E85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Visual abstract for clinic nurses that summarizes pneumococcal vaccination recommendations, accompagnied by standing orders and nurse education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72F3A2" w14:textId="4EB8B38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Increased from 33% to 43% in less than one year (no p value reported)</w:t>
            </w:r>
          </w:p>
        </w:tc>
      </w:tr>
      <w:tr w:rsidR="00CA5434" w:rsidRPr="008535F1" w14:paraId="13F05147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5C72C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669258" w14:textId="3BC07B5F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Ho et al. (2016), Singapore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8E5A8" w14:textId="40F4589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Quality improvement project for 124 older adults, no follow-up specified, no control group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45F0D89" w14:textId="41D94ED2" w:rsidR="00CA5434" w:rsidRPr="00BC2F29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BC2F29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124 older adults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9D059BE" w14:textId="1B3FBBF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Short survey about knowledge, attitudes and beliefs, accompanied by educational brief and invitation for vaccination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F8864" w14:textId="79A8A3D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63.6% of older adults were willing to receive of the vaccination following the educational brief.</w:t>
            </w:r>
          </w:p>
        </w:tc>
      </w:tr>
      <w:tr w:rsidR="00CA5434" w:rsidRPr="008535F1" w14:paraId="4CFF337C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AC852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9395C1" w14:textId="3452637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Ho et al. (2017), Singapore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4EE24" w14:textId="6BCA558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Mixed-methods study with focus group discussion, and then an educational intervention aimed at 604 older adults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D90E3FA" w14:textId="53B640FA" w:rsidR="00CA5434" w:rsidRPr="00BC2F29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BC2F29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32 older adults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917BB97" w14:textId="6D37D08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Educational intervention in multiple languages with both visual and written materials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4856B" w14:textId="63DABC7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Median knowledge scores improved from 5 out of 9 (IQR 4-5) to 7 out of 9 (IQR 6-8) following the intervention.</w:t>
            </w:r>
          </w:p>
        </w:tc>
      </w:tr>
      <w:tr w:rsidR="00CA5434" w:rsidRPr="008535F1" w14:paraId="21FE96A1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EE33A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8FCAE9" w14:textId="0A9E115D" w:rsidR="00CA543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Ho et al. (2019), Singapore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8383F" w14:textId="6DD4A6DF" w:rsidR="00CA543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Pragmatic, cluster-randomized </w:t>
            </w:r>
            <w:r w:rsidR="00DA37E2">
              <w:rPr>
                <w:rFonts w:ascii="Times" w:hAnsi="Times"/>
                <w:color w:val="666666"/>
                <w:sz w:val="16"/>
                <w:szCs w:val="16"/>
              </w:rPr>
              <w:t>controlled trial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 of adults over the age of 65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6427611" w14:textId="1F0296DD" w:rsidR="00CA5434" w:rsidRPr="00BC2F29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4378 participants in intervention arm and 4459 in control arm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1211C14" w14:textId="35BC0685" w:rsidR="00CA543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Point-of-care informational intervention in general practitioner clinics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F0063" w14:textId="37F36573" w:rsidR="00CA543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Pneumococcal </w:t>
            </w:r>
            <w:r w:rsidRPr="00686906">
              <w:rPr>
                <w:rFonts w:ascii="Times" w:hAnsi="Times"/>
                <w:color w:val="666666"/>
                <w:sz w:val="16"/>
                <w:szCs w:val="16"/>
              </w:rPr>
              <w:t>vaccination uptake rates were higher during the intervention period compared with the control period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 </w:t>
            </w:r>
            <w:r w:rsidRPr="00686906">
              <w:rPr>
                <w:rFonts w:ascii="Times" w:hAnsi="Times"/>
                <w:color w:val="666666"/>
                <w:sz w:val="16"/>
                <w:szCs w:val="16"/>
              </w:rPr>
              <w:t xml:space="preserve"> (5.7% vs 3.7%; 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t>p</w:t>
            </w:r>
            <w:r w:rsidRPr="00686906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 </w:t>
            </w:r>
            <w:r w:rsidRPr="00686906">
              <w:rPr>
                <w:rFonts w:ascii="Times" w:hAnsi="Times"/>
                <w:color w:val="666666"/>
                <w:sz w:val="16"/>
                <w:szCs w:val="16"/>
              </w:rPr>
              <w:t>=</w:t>
            </w:r>
            <w:r w:rsidRPr="00686906">
              <w:rPr>
                <w:rFonts w:ascii="Times New Roman" w:hAnsi="Times New Roman" w:cs="Times New Roman"/>
                <w:color w:val="666666"/>
                <w:sz w:val="16"/>
                <w:szCs w:val="16"/>
              </w:rPr>
              <w:t> </w:t>
            </w:r>
            <w:r w:rsidRPr="00686906">
              <w:rPr>
                <w:rFonts w:ascii="Times" w:hAnsi="Times"/>
                <w:color w:val="666666"/>
                <w:sz w:val="16"/>
                <w:szCs w:val="16"/>
              </w:rPr>
              <w:t>.001)</w:t>
            </w:r>
          </w:p>
        </w:tc>
      </w:tr>
      <w:tr w:rsidR="00CA5434" w:rsidRPr="008535F1" w14:paraId="6870F810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6FF2D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58471B" w14:textId="0DE01F74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Jolin et al.,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7DB2" w14:textId="68C95A0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Multiple quality improvement initiatives of 16 IM residents, measured pre/post intervention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br/>
            </w:r>
            <w:r>
              <w:rPr>
                <w:rFonts w:ascii="Times" w:hAnsi="Times"/>
                <w:color w:val="666666"/>
                <w:sz w:val="16"/>
                <w:szCs w:val="16"/>
              </w:rPr>
              <w:br/>
              <w:t>Special population of interest was was veterans who were discharged from hospital medicine service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85EF9EA" w14:textId="2C78320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16 internal medical residents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5AB550A" w14:textId="55C6AB4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Nursing, pharmacist, and physician education, automated reminders, edited discharge summaries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A1D41" w14:textId="1515DEA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Vaccine uptake increased from 30 to 87% for veterans discharged from hospital (no test of significance was reported).</w:t>
            </w:r>
          </w:p>
        </w:tc>
      </w:tr>
      <w:tr w:rsidR="00CA5434" w:rsidRPr="008535F1" w14:paraId="194E386D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97985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E7B8E3" w14:textId="07D61CA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Kawczak et al., (2020),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CA092" w14:textId="1041862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Quality improvement project with intervention and control cohorts, measured via vaccination receipts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C990584" w14:textId="43E33F5A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100 primary care physicains;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br/>
              <w:t>361,528 patient reeipts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0D0E052" w14:textId="25086C4F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Variety of learning interventions (e.g., guidelines reviews, online educational modules) and teaching regarding action planning, all aimed at providers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8D5F" w14:textId="7C33601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There was a significant increase in pneumococcal vaccination (80.6% pre-intervention vs. 82.7% post-intervention; p &lt; 0.001) for those &gt; 65 years of age.</w:t>
            </w:r>
          </w:p>
        </w:tc>
      </w:tr>
      <w:tr w:rsidR="00CA5434" w:rsidRPr="008535F1" w14:paraId="487DEDE4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768F0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E1B9FF" w14:textId="53D0539A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McRae et al.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93A50" w14:textId="590CA8D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Pre-post intervention with 3 months follow-up of 203 older adults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72EDE42" w14:textId="54DAC022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203 older adults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E638C6" w14:textId="44F828CF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Pharmacist-led multimodal educational intervention for patients, including formal presentation, live skit, small group action planning, and optional vaccination offer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CC351" w14:textId="2FDCAECD" w:rsidR="00CA5434" w:rsidRPr="0037793C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There were significant improvement (numeric results were not specified) in mean belief scores from baseline regarding the vaccine as well as pharmacists as the ones providing the vaccine.</w:t>
            </w:r>
          </w:p>
        </w:tc>
      </w:tr>
      <w:tr w:rsidR="00CA5434" w:rsidRPr="008535F1" w14:paraId="0F154EF9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C1A39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26C0BE" w14:textId="35A029F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Pizzi et al (2018),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D102B" w14:textId="1679A1D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Interventional design with three months of follow-up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5821FE9D" w14:textId="41D36221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190 older adults (mean age 74.3, SD 8.9), a majority of whom were African American/Black men (80.5%)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2A06FA9E" w14:textId="105475FB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Educational initiative with pharmacist presentation, actors' kit and small-group action planning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C956D6" w14:textId="6C90AB78" w:rsidR="00CA5434" w:rsidRPr="0037793C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Knowledge increased by 54.2% on assessment questionnaires at the three-month mark. Program cost was $119.00 USD per attendee. 37.2% of unvaccinated participants reporting receiving the vaccine by the 3 month mark.</w:t>
            </w:r>
          </w:p>
        </w:tc>
      </w:tr>
      <w:tr w:rsidR="00CA5434" w:rsidRPr="008535F1" w14:paraId="4250903F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36A44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909B4E" w14:textId="5B794BF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Ratner et al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C8B1" w14:textId="26B97EB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Interventional quality improvement 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lastRenderedPageBreak/>
              <w:t>design with pre- and post-comparison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54FA0178" w14:textId="2A69FA59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lastRenderedPageBreak/>
              <w:t xml:space="preserve">Unspecificed number </w:t>
            </w:r>
            <w:r>
              <w:rPr>
                <w:rFonts w:ascii="Times" w:hAnsi="Times"/>
                <w:color w:val="808080"/>
                <w:sz w:val="16"/>
                <w:szCs w:val="16"/>
              </w:rPr>
              <w:lastRenderedPageBreak/>
              <w:t>of primary care patients over the age 65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1688B4E0" w14:textId="21AA0EF6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lastRenderedPageBreak/>
              <w:t xml:space="preserve">Patient reminders via mail, phone calls, or electronic medical </w:t>
            </w:r>
            <w:r>
              <w:rPr>
                <w:rFonts w:ascii="Times" w:hAnsi="Times"/>
                <w:color w:val="808080"/>
                <w:sz w:val="16"/>
                <w:szCs w:val="16"/>
              </w:rPr>
              <w:lastRenderedPageBreak/>
              <w:t>record, with social workers assisting with logistical barriers such as transportation.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8FA243" w14:textId="44977C12" w:rsidR="00CA5434" w:rsidRPr="0037793C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lastRenderedPageBreak/>
              <w:t>Vaccination increased from 64.4% to 77.5% (no p value).</w:t>
            </w:r>
          </w:p>
        </w:tc>
      </w:tr>
      <w:tr w:rsidR="00CA5434" w:rsidRPr="008535F1" w14:paraId="1CD4ED5D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AABA9" w14:textId="77777777" w:rsidR="00CA5434" w:rsidRPr="008535F1" w:rsidRDefault="00CA5434" w:rsidP="00686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584604" w14:textId="45D1701F" w:rsidR="00CA5434" w:rsidRPr="008535F1" w:rsidRDefault="00CA5434" w:rsidP="00686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Wilson et al (2017),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2D634" w14:textId="7CCD507A" w:rsidR="00CA5434" w:rsidRPr="008535F1" w:rsidRDefault="00CA5434" w:rsidP="00686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Interventional quality improvement design measuring pre- and post-intervention vaccination rates and knowledge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E605F10" w14:textId="723B5215" w:rsidR="00CA5434" w:rsidRPr="004C1A5F" w:rsidRDefault="00CA5434" w:rsidP="00686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101 internal medicine residents, number of older adults not reported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7D70DC0D" w14:textId="087B4D45" w:rsidR="00CA5434" w:rsidRPr="004C1A5F" w:rsidRDefault="00CA5434" w:rsidP="00686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Multicomponent educational curriculum aimed at internal medicine residents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B6E751" w14:textId="1F2241FB" w:rsidR="00CA5434" w:rsidRPr="0037793C" w:rsidRDefault="00CA5434" w:rsidP="00686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Vaccination rates increased from 18.5% to 39.0% (p=0.0001). After the intervention, quiz scores increased for each item and were statitically significant for four out of eight items (no p values reported, no values reported).</w:t>
            </w:r>
          </w:p>
        </w:tc>
      </w:tr>
      <w:tr w:rsidR="00CA5434" w:rsidRPr="008535F1" w14:paraId="7C0740C4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75402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4E8BB2" w14:textId="0A38CC3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Zhao et al (2017),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203A2" w14:textId="06897670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Interventional study with prospective, one-tailed design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6F621AC4" w14:textId="7AB32C27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55 older adults over the age of 60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bottom"/>
          </w:tcPr>
          <w:p w14:paraId="08F34A0E" w14:textId="52AE9EEC" w:rsidR="00CA5434" w:rsidRPr="004C1A5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Education initaitive with face-to-face individual communication for patients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6CABC9" w14:textId="5C79B799" w:rsidR="00CA5434" w:rsidRPr="0037793C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Increased vaccination rates (pre vs. post) were observed for PPSV23 (53.3% vs. 68.9%, p = 0.016) and PCV13 (15.6% vs. 43.8%, p = 0.004).</w:t>
            </w:r>
          </w:p>
        </w:tc>
      </w:tr>
      <w:tr w:rsidR="00CA5434" w:rsidRPr="008535F1" w14:paraId="27B0B349" w14:textId="77777777" w:rsidTr="00CA5434">
        <w:trPr>
          <w:trHeight w:val="420"/>
        </w:trPr>
        <w:tc>
          <w:tcPr>
            <w:tcW w:w="1338" w:type="dxa"/>
            <w:vMerge w:val="restart"/>
            <w:tcBorders>
              <w:top w:val="single" w:sz="8" w:space="0" w:color="B7B7B7"/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9E0F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II. Prioritization of vaccination schemes</w:t>
            </w:r>
          </w:p>
          <w:p w14:paraId="3F586CDB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54EB5F" w14:textId="0AAAE28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Carillo et al. (2017),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5EDF" w14:textId="05A66BF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Pilot immunization initiative at a large primary care service, uncontrolled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6D02762A" w14:textId="1C8AAC4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3054 pre-intervention, 2922 patients post-intervention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3BCBD99B" w14:textId="4F5057A3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Military clinical pharmacists and technicians were used to identify eligible individuals, provide vaccine, and educate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D059" w14:textId="7E481234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 the post-intervention period, there were higher rates of pneumococcal vaccination for individuals who had not previously received any vaccines (6.5 to 22.6%, no p value reported)</w:t>
            </w:r>
          </w:p>
        </w:tc>
      </w:tr>
      <w:tr w:rsidR="00CA5434" w:rsidRPr="008535F1" w14:paraId="3CCD14F7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ABFE7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00C63B" w14:textId="528C00D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King, Judd et al. (2017),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17995" w14:textId="75D4BF9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Assessment of pharmacist led intervention, controlled via pre-policy cohort and post-policy cohort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6C623326" w14:textId="4C1DA21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100 patients in the pre-policy stage, 45 post-policy stage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5D2751EC" w14:textId="2DDB851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Pharmacist-led intervention in which inpatients were assessed for pneumococcal vaccine administration alongside streamlined electronic orders.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EA001" w14:textId="507D100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Vaccine rates for the correct formula (on the basis of age or medical condition) increased from 40% to 95.6%</w:t>
            </w:r>
          </w:p>
        </w:tc>
      </w:tr>
      <w:tr w:rsidR="00CA5434" w:rsidRPr="008535F1" w14:paraId="0321CE11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A0FF7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332E1A" w14:textId="21D8E9C0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McAdam-Marx et al. (2020),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C7E33" w14:textId="31C64DD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Retrospective controlled study between 2013 and 2017 with longitudinal adherence analysis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6A0253F3" w14:textId="1D564CE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12,057 older adults in baseline period; 14,518 older adults in interim period; 16,689 older adults in follow-up period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2F6DA9F0" w14:textId="137F0E2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Pneumococcal-specific best practice alerts (i.e. notification within electronic medical record when accessing a patient’s chart) with and without workflow design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D2BB0" w14:textId="6185020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There was no difference in vaccination rates for the best practice alerts with or without workflow redesign.</w:t>
            </w:r>
          </w:p>
        </w:tc>
      </w:tr>
      <w:tr w:rsidR="00CA5434" w:rsidRPr="008535F1" w14:paraId="257530F8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B0E75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9685C2" w14:textId="6140702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McKeirnan and Sarchet et al. (2019),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6397E" w14:textId="5A60103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Interventional design (not controlled, not randomized) 1 year of follow-up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412884B2" w14:textId="5CB15D1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  <w:lang w:val="fr-CH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7 pharmacy technicians (administration of 427 pneumococcal vaccines)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61959BB6" w14:textId="53E6F03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Implementation of Pharmacy Technician immunization Program to employ specially trained pharmacists to administer a range of vaccines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376E6" w14:textId="670054A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Improved vaccination uptake (a total of 427 pneumococcal vaccines administered).</w:t>
            </w:r>
          </w:p>
        </w:tc>
      </w:tr>
      <w:tr w:rsidR="00CA5434" w:rsidRPr="008535F1" w14:paraId="7FBD0E96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464A6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F603E1" w14:textId="637C3D7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Mendu et al. (2014),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FA4D5" w14:textId="593499B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Prospective study with pre/post intervention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7D634DE6" w14:textId="5F6415B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13 primary care providers – 7 control, 4 interventional; 105 patients with chronic kidney disease for control and 263 for intervention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3EF37C6E" w14:textId="361F727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Implementation of a preventative health checklist for healthcare providers related to chronic kidney disease, with pneumococcal vaccine as one of the items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94AF3" w14:textId="6BB5B2D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Patients in the intervention group were significantly more likely to have received pneumococcal vaccination (27.8% for control, 65.7% for intervention, p=0.001).</w:t>
            </w:r>
          </w:p>
        </w:tc>
      </w:tr>
      <w:tr w:rsidR="00CA5434" w:rsidRPr="008535F1" w14:paraId="5CA530C6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5872F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7FBEC4" w14:textId="2483FF44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Naito et al. (2020), Japan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C60A84" w14:textId="382B60FF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Analysis of cumulative number of vaccines shipped to each municipality, divided by population aged over 65 years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058E5554" w14:textId="4F119FFA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Unspecified number of over the age of 65 who are eligible for vaccination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126670AE" w14:textId="3F017F9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National vaccination program by Japanese government, involving vaccination subsidies and routine vaccination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FD7602" w14:textId="18AD58E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Vaccination rate increased to 40.6% two years into the 5-year national immunization campaign, with significant (unspecified) increases from the baseline for each fo the previously studied periods (exact numbers not available for baseline) &lt;p=0.01)</w:t>
            </w:r>
          </w:p>
        </w:tc>
      </w:tr>
      <w:tr w:rsidR="00CA5434" w:rsidRPr="008535F1" w14:paraId="043F4543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CF41F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3E1B15" w14:textId="7954ED3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Patel et al., (2018)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1DBF5" w14:textId="00C3DCF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Assessment of national immunization data following a major American policy change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64800BFC" w14:textId="4060513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1,446,453 respondents, of which 431,183 were above 65 years of age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29346872" w14:textId="7742C89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Policy change to allow pharmacy-based immunization services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79516" w14:textId="7E7E6A0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Pharmacy-based immunization services was attributed to an additional 3.5 million additional pneumococcal vaccinations.</w:t>
            </w:r>
          </w:p>
        </w:tc>
      </w:tr>
      <w:tr w:rsidR="00CA5434" w:rsidRPr="008535F1" w14:paraId="6FA0CF1B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CDC5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F2BB68" w14:textId="57A7DD0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Pickren et al.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7180" w14:textId="2EE0AE6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Retrospective cohort study that examined pneumococcal rates in a control group versus intervention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3F6B2AD8" w14:textId="43B3FA6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272 patients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6F88FF8B" w14:textId="52E2BE0F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Pharmacy provided screening and selection for vaccines in eligible individuals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05C46" w14:textId="6B129A7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 compliance to CDC guidelines for vaccination increased from 42% to 97%. The intervention group had increased labor cost for assessments and vaccine-related expenditure.</w:t>
            </w:r>
          </w:p>
        </w:tc>
      </w:tr>
      <w:tr w:rsidR="00CA5434" w:rsidRPr="008535F1" w14:paraId="30EBDFBC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2B62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2B09B8" w14:textId="128673D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Rager et al.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20BDBF" w14:textId="46BA2E0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Interventional design with randomized pharmacy stores in a 2:1 ratio of test stores and control stores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7D1C236C" w14:textId="739A95B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 xml:space="preserve">196 patients (either older adults or patients with chronic conditions) with a mean age of 66 (SD 13), 403 providers (169 pharmacists and </w:t>
            </w:r>
            <w:r>
              <w:rPr>
                <w:rFonts w:ascii="Times" w:hAnsi="Times"/>
                <w:color w:val="808080"/>
                <w:sz w:val="16"/>
                <w:szCs w:val="16"/>
              </w:rPr>
              <w:lastRenderedPageBreak/>
              <w:t>234 technicians)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65DCDCD0" w14:textId="61E9C4D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lastRenderedPageBreak/>
              <w:t>Online modules aimed at optimizing pharmacists' role in vaccination, marketing tools, and screening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0FF9B7" w14:textId="3B3B4F5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There was no overall change in pneumococcal vaccination rate (n=1383 in baseline, n=449 in control; rates were then averaged per month) between baseline and intervention groups (p=0.134).</w:t>
            </w:r>
          </w:p>
        </w:tc>
      </w:tr>
      <w:tr w:rsidR="00CA5434" w:rsidRPr="008535F1" w14:paraId="76C503AD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30B9B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11311E" w14:textId="69A1799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Shittu et al. (2020),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9636BE" w14:textId="31AE930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Quality Improvement design based on Diffusion of Innovation theory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41BF1820" w14:textId="37E678FF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112 residents at a long-term care facility (average age of 83)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2A9971F9" w14:textId="233A81B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Nursing education, standing order protocol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B62C0E" w14:textId="7FB7634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Pneumococcal immunization rates increased from 56% pre-intervention to 82% post-intervention, and vaccination screening rates increased from 0% to 100%. A chi-squared test for independence indicated a significant relationship between vaccination status and implementation of the standing order protocol intervention (p=0.046, df=1, n=112).</w:t>
            </w:r>
          </w:p>
        </w:tc>
      </w:tr>
      <w:tr w:rsidR="00CA5434" w:rsidRPr="008535F1" w14:paraId="1B28126E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B07F1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DCB1BF" w14:textId="2148192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Shono et al. (2019), Japan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B658" w14:textId="606D9298" w:rsidR="00CA5434" w:rsidRPr="003D10D6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Cross-sectional survey to assess vaccination rates, uncontrolled but considered variables such as coverage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79AF0C28" w14:textId="4CA0AEA0" w:rsidR="00CA5434" w:rsidRPr="00717AE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3899 respondents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7BB0FFD1" w14:textId="799A06A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Routine vaccination program that included subsidization of vaccine across the entire country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FFB1" w14:textId="4C04C9B8" w:rsidR="00CA5434" w:rsidRPr="009C36C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Eligibility for subsidy had the largest effect on vaccination uptake (adjusted odds ratio: 16.7) in second year of 5-year rollout.</w:t>
            </w:r>
          </w:p>
        </w:tc>
      </w:tr>
      <w:tr w:rsidR="00CA5434" w:rsidRPr="008535F1" w14:paraId="6ACC7FBA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7B35D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88F9D6" w14:textId="0DD541C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Turbeville et al. (2018),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E554BF" w14:textId="0BE09E91" w:rsidR="00CA5434" w:rsidRPr="003D10D6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Quality Improvement design based on Diffusion of Innovation theory, data collected electronically by information technology specialists and designed as pre- and post-intervention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03F0DA3D" w14:textId="1BEDB939" w:rsidR="00CA5434" w:rsidRPr="00717AE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353 patients at an outpatient internal medicine clinic, aged over 65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vAlign w:val="bottom"/>
          </w:tcPr>
          <w:p w14:paraId="3ED20679" w14:textId="66CB015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Education and algorithm aimed at certificed medical assistants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4F2F0B" w14:textId="24712C60" w:rsidR="00CA5434" w:rsidRPr="009C36C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PPV13 prescriptions increased from 74 prescriptions before the project to 165 presriptions after (no p value). Administration of PPSV23 iproved from 32 immunizations to 55 immunizations (no vaplue). Time frames were not specified (Data was collected over a three-month period).</w:t>
            </w:r>
          </w:p>
        </w:tc>
      </w:tr>
      <w:tr w:rsidR="00CA5434" w:rsidRPr="008535F1" w14:paraId="61899238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EE64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625ADB" w14:textId="78CEC9E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Webster et al. (2019), Australia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45F3" w14:textId="65D4FE24" w:rsidR="00CA5434" w:rsidRPr="003D10D6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National cross-sectional surveys before and after vaccination funding initiatives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4A3C2C35" w14:textId="5ED6B9BC" w:rsidR="00CA5434" w:rsidRPr="00717AE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11239 Indigenous (Native Aboriginal and Torres Strait Islander) individuals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0F3EAF21" w14:textId="6D6BCFE4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National funding of pneumococcal vaccination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14679" w14:textId="6AA151F7" w:rsidR="00CA5434" w:rsidRPr="009C36C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There was a decline in pneumococcal vaccination coverage for Indigenous adults between 2004-05 and 2012-13.</w:t>
            </w:r>
          </w:p>
        </w:tc>
      </w:tr>
      <w:tr w:rsidR="00CA5434" w:rsidRPr="008535F1" w14:paraId="3B043909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B531F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70B1DE" w14:textId="28437E0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Wells et al., (2019),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450D0" w14:textId="52F94639" w:rsidR="00CA5434" w:rsidRPr="003D10D6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Retrospective single-center cohort, no control group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077D1A20" w14:textId="0602C399" w:rsidR="00CA5434" w:rsidRPr="00717AEF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84 patients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</w:tcPr>
          <w:p w14:paraId="2E0474DC" w14:textId="7A084B3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Pharmacy resident-led vaccination protocol to interview each patient for pneumococcal history and verify medical records, then contact the most responsible healthcare provider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3DB62" w14:textId="75EB4196" w:rsidR="00CA5434" w:rsidRPr="009C36C4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64.7% of unvaccinated patients were vaccinated prior to discharge following the intervention.</w:t>
            </w:r>
          </w:p>
        </w:tc>
      </w:tr>
      <w:tr w:rsidR="00CA5434" w:rsidRPr="008535F1" w14:paraId="17729A41" w14:textId="77777777" w:rsidTr="00CA5434">
        <w:trPr>
          <w:trHeight w:val="420"/>
        </w:trPr>
        <w:tc>
          <w:tcPr>
            <w:tcW w:w="1338" w:type="dxa"/>
            <w:vMerge w:val="restart"/>
            <w:tcBorders>
              <w:top w:val="single" w:sz="8" w:space="0" w:color="B7B7B7"/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E09E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III. Primary care interventions</w:t>
            </w:r>
          </w:p>
          <w:p w14:paraId="0511D8C8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B619CB" w14:textId="6192220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Bitton et al.,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84FDF" w14:textId="72FF39F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Cross-sectional population survey via telephone to determine whether there was an association between primary 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lastRenderedPageBreak/>
              <w:t>care and pneumococcal vaccination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2ECF0A8" w14:textId="231EEA6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lastRenderedPageBreak/>
              <w:t>16,731 residents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81D6389" w14:textId="3A12B220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The measured exposure was individuals with “enhanced primary care”, aka – regular, personal provider who “always” or “almost always” has knowledge 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lastRenderedPageBreak/>
              <w:t>of their medical history, providers prompt appointments, was up-to-date regarding specialist care, and asked them about all of their medications.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4F65" w14:textId="40153CD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lastRenderedPageBreak/>
              <w:t>In the participants who reported indicators of enhanced primary care, there was a higher rate of vaccination (51% versus 43%, no p value reported).</w:t>
            </w:r>
          </w:p>
        </w:tc>
      </w:tr>
      <w:tr w:rsidR="00CA5434" w:rsidRPr="008535F1" w14:paraId="687EFA5F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46ACF" w14:textId="77777777" w:rsidR="00CA5434" w:rsidRPr="008535F1" w:rsidRDefault="00CA5434" w:rsidP="00EC3BFE">
            <w:pPr>
              <w:spacing w:line="240" w:lineRule="auto"/>
              <w:jc w:val="both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D24DB5" w14:textId="50442A2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Bowen et al.,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BEFAC" w14:textId="0AB05970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Before-after study of multiple screening parameters, with measures calculated 12 months after implementation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42667F0" w14:textId="525C09E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10,917 patients cared by primary care services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B4780AA" w14:textId="3DEB70E4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Clinical Decision support tool implemented into Electronic Medical Records, with and without alterations for patient-tailored care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FB566" w14:textId="741EC42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Vaccination rates significantly increased (6.1% to 14.5% absolute change from baseline, p&lt;0.05).</w:t>
            </w:r>
          </w:p>
        </w:tc>
      </w:tr>
      <w:tr w:rsidR="00CA5434" w:rsidRPr="008535F1" w14:paraId="03AB47B8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F323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1783BE" w14:textId="4FDE949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Burka et al. (2019),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FDCB" w14:textId="25BE9C7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Single-center retrospective analysis following intervention, no control, in veterans who had been hospitalized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C86328F" w14:textId="58C378B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540 older adults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011CADA" w14:textId="79AEBA71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Discharge reminder tool within required discharge note to provide patient-specific guidance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FEF47" w14:textId="34969C1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Vaccination at discharge in vaccine naïve patients increased from 1.4% to 25% following implementation, however, there were a significant number of inappropriately (i.e. given for the wrong age or target group) given vaccinations (n=20 of 20).</w:t>
            </w:r>
          </w:p>
        </w:tc>
      </w:tr>
      <w:tr w:rsidR="00CA5434" w:rsidRPr="008535F1" w14:paraId="5F092D71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B17E9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013D15" w14:textId="3137751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Church et al. (2018),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116A3" w14:textId="6310693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Before-after design, with primary outcome of administration following 180 days following placement of order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D1E340C" w14:textId="734D9B59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160 participants with chronic lymphocytic leukemia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E9635AF" w14:textId="6B4F5E5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Virtual clinic through electronic medical record to identify patients within a chronic lymphocytic leukemia clinic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1B714" w14:textId="5EE43B73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100/160 eligible patients had received the recommended vaccine following 180 days.</w:t>
            </w:r>
          </w:p>
        </w:tc>
      </w:tr>
      <w:tr w:rsidR="00CA5434" w:rsidRPr="008535F1" w14:paraId="416984A2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12436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77157D" w14:textId="75724AB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Hoang et al. (2018),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4F93" w14:textId="48F9C1C4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Population-based analysis of 6-year period through electronic medical record, to analyze the association between annual periodic health exams and receipt of vaccine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4799B36" w14:textId="0F38FCC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10,318 Medicare beneficiaries in the USA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B922F63" w14:textId="460CDB0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Receipt of the periodic health exam (i.e. annual physical) during a period where Medicare in the USA did not cover annual physicals (before 2011)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0B3AC" w14:textId="752271E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Patients with a physical health exam were more likely to obtain pneumococcal vaccination (p&lt;0.0001, OR 1.10).</w:t>
            </w:r>
          </w:p>
        </w:tc>
      </w:tr>
      <w:tr w:rsidR="00CA5434" w:rsidRPr="008535F1" w14:paraId="5F826B3A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208B5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E4B0AA" w14:textId="59F1FA0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Hurley et al. (2018),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4A56" w14:textId="76301D3F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Pragmatic </w:t>
            </w:r>
            <w:r w:rsidR="00DA37E2">
              <w:rPr>
                <w:rFonts w:ascii="Times" w:hAnsi="Times"/>
                <w:color w:val="666666"/>
                <w:sz w:val="16"/>
                <w:szCs w:val="16"/>
              </w:rPr>
              <w:t>randomized controlled trial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t>, measuring documentation of receipt of any vaccination &lt;6 months after the intervention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8E2CA9D" w14:textId="0DA5EA9F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5,332 older adults over 65 years of age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EAF47D6" w14:textId="0A0C349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Centralized vaccine reminder/recalls using an Immunization Information System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3C4D2" w14:textId="0D53B16F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 intervention, while effective for influenza vaccination, was ineffective at increasing pneumococcal rates in any studied population (9.0% versus 8.4%, no p value reported).</w:t>
            </w:r>
          </w:p>
        </w:tc>
      </w:tr>
      <w:tr w:rsidR="00CA5434" w:rsidRPr="008535F1" w14:paraId="167FB5D6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88017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36BB09" w14:textId="1E44AA9D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Kilgore et al. (2017),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2974" w14:textId="2561E77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Pre/post assessment across 15 ambulatory care clinics, no control group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EED112C" w14:textId="7EE02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Sample size not reported specific to pneumococcal vaccination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D987A04" w14:textId="72A3E4C3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 xml:space="preserve">Multicomponent intervention including provider education, clinic vaccine champions, electronic health record integration, student pharmacist placement for patient education, provider alerts, messaging patients on a patient portal, insurance claims </w:t>
            </w:r>
            <w:r>
              <w:rPr>
                <w:rFonts w:ascii="Times" w:hAnsi="Times"/>
                <w:color w:val="666666"/>
                <w:sz w:val="16"/>
                <w:szCs w:val="16"/>
              </w:rPr>
              <w:lastRenderedPageBreak/>
              <w:t>processing systems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DDB9" w14:textId="59DD87C3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lastRenderedPageBreak/>
              <w:t>Vaccination increased from 25.7% to 68.4% in the intervention period (no p value reported).</w:t>
            </w:r>
          </w:p>
        </w:tc>
      </w:tr>
      <w:tr w:rsidR="00CA5434" w:rsidRPr="008535F1" w14:paraId="613B5B06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8BFD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5A3A0F" w14:textId="0E61BA9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Loskutova et al. (2020),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206D" w14:textId="14986E3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Prospective interventional before-and-after study, non-randomized, with 43 primary care physicians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352BA4E" w14:textId="5422282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43 providers; 76,503 and 58,948 unique patients across three years in intervention and control groups respectively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FFE76A4" w14:textId="24AA257A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Multicomponent intervention with reminders, provider-level performance reports, provider education, patient visual aid materials, standing orders for immunizations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6FB0" w14:textId="10EFBBC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There was no significant difference in pneumococcal vaccination from baseline in the intervention group (35.7 ± 19.6 to 34.5% ± 19.0%, p = 0.3)</w:t>
            </w:r>
          </w:p>
        </w:tc>
      </w:tr>
      <w:tr w:rsidR="00CA5434" w:rsidRPr="008535F1" w14:paraId="090DFF9A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FD5D6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5B58B9" w14:textId="15AC71E0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Zimmerman et al. (2016),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76CDA" w14:textId="7AAC97F6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Cluster randomized control trial across 25 primary care practices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AC7B126" w14:textId="474DFEC2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18,107 older adults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6961146" w14:textId="271989AC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Four Pillars program implemented after patient research including provider education and one-on-one coaching.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15D88" w14:textId="75DF8C2B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There were mixed results related to vaccination uptake, particularly across sites. In small or medium-sized private primary care practices in Pittsburgh, there were significant increases in pneumococcal vaccination while there were no differences in larger safety net practices in Houston.</w:t>
            </w:r>
          </w:p>
        </w:tc>
      </w:tr>
      <w:tr w:rsidR="00CA5434" w:rsidRPr="008535F1" w14:paraId="76DF0ADA" w14:textId="77777777" w:rsidTr="00CA5434">
        <w:trPr>
          <w:trHeight w:val="420"/>
        </w:trPr>
        <w:tc>
          <w:tcPr>
            <w:tcW w:w="1338" w:type="dxa"/>
            <w:vMerge/>
            <w:tcBorders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37E93" w14:textId="77777777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EBC01D" w14:textId="6937300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/>
                <w:sz w:val="16"/>
                <w:szCs w:val="16"/>
              </w:rPr>
              <w:t>Zorek et al., (2015), USA</w:t>
            </w:r>
          </w:p>
        </w:tc>
        <w:tc>
          <w:tcPr>
            <w:tcW w:w="141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61C56" w14:textId="270EE713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Before-after pilot study with multiple screening and public health variables analyzed</w:t>
            </w:r>
          </w:p>
        </w:tc>
        <w:tc>
          <w:tcPr>
            <w:tcW w:w="8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CE9D634" w14:textId="465C8CA8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34 patients (1 lost to follow-up)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CEBD2E9" w14:textId="45C91165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Interprofessional teaching linic to provide preventative health services, including vaccination</w:t>
            </w:r>
          </w:p>
        </w:tc>
        <w:tc>
          <w:tcPr>
            <w:tcW w:w="255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73DE9" w14:textId="05BAA81E" w:rsidR="00CA5434" w:rsidRPr="008535F1" w:rsidRDefault="00CA5434" w:rsidP="00EC3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>
              <w:rPr>
                <w:rFonts w:ascii="Times" w:hAnsi="Times"/>
                <w:color w:val="666666"/>
                <w:sz w:val="16"/>
                <w:szCs w:val="16"/>
              </w:rPr>
              <w:t>21% increase in pneumococcal vaccines (not significant, p=0.16) following intervention.</w:t>
            </w:r>
          </w:p>
        </w:tc>
      </w:tr>
    </w:tbl>
    <w:p w14:paraId="65B04D19" w14:textId="77777777" w:rsidR="00F26C0D" w:rsidRPr="008535F1" w:rsidRDefault="00F26C0D" w:rsidP="00F26C0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78A9452" w14:textId="77777777" w:rsidR="00F26C0D" w:rsidRPr="008535F1" w:rsidRDefault="00F26C0D" w:rsidP="00F26C0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A68D844" w14:textId="6B7E5F18" w:rsidR="00F26C0D" w:rsidRPr="008535F1" w:rsidRDefault="0088204D" w:rsidP="00F26C0D">
      <w:pPr>
        <w:spacing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Supplementary Table 2</w:t>
      </w:r>
      <w:r w:rsidR="00F26C0D" w:rsidRPr="008535F1">
        <w:rPr>
          <w:rFonts w:ascii="Times New Roman" w:eastAsia="Times New Roman" w:hAnsi="Times New Roman" w:cs="Times New Roman"/>
          <w:u w:val="single"/>
        </w:rPr>
        <w:t>: Risk of Bias Assessment – Cochrane ROB and Cochrane RoBANs</w:t>
      </w:r>
    </w:p>
    <w:p w14:paraId="033D97AD" w14:textId="77777777" w:rsidR="00F26C0D" w:rsidRPr="008535F1" w:rsidRDefault="00F26C0D" w:rsidP="00F26C0D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8535F1">
        <w:rPr>
          <w:rFonts w:ascii="Times New Roman" w:eastAsia="Times New Roman" w:hAnsi="Times New Roman" w:cs="Times New Roman"/>
          <w:i/>
          <w:iCs/>
        </w:rPr>
        <w:t>This tool was applied only to full-text studies that featured a randomized study design. A score of 0 indicates low risk, 1 indicates medium/unclear risk, and 2 indicates high risk. The criterion related to blinding was removed from the assessment tool due to the lack of applicability to the intervention.</w:t>
      </w:r>
    </w:p>
    <w:p w14:paraId="6CF07BB2" w14:textId="77777777" w:rsidR="00F26C0D" w:rsidRPr="008535F1" w:rsidRDefault="00F26C0D" w:rsidP="00F26C0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8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5"/>
        <w:gridCol w:w="1119"/>
        <w:gridCol w:w="1379"/>
        <w:gridCol w:w="1314"/>
        <w:gridCol w:w="1134"/>
        <w:gridCol w:w="992"/>
        <w:gridCol w:w="992"/>
      </w:tblGrid>
      <w:tr w:rsidR="00F26C0D" w:rsidRPr="008535F1" w14:paraId="5D30983B" w14:textId="77777777" w:rsidTr="003D025F"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502E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Citation, Country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ED08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Participant Selection (e.g. eligible and clinically relevant for vaccination)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</w:tcPr>
          <w:p w14:paraId="7491858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Confounding (e.g. adequate control groups or controlling of variables)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</w:tcPr>
          <w:p w14:paraId="0DBC93BE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Measure of Exposure (e.g. length of folow-up, adequate outcomes)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</w:tcPr>
          <w:p w14:paraId="167C91B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Incomplete Outcome Data (e.g. loss to follow-up, lack of reporting)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</w:tcPr>
          <w:p w14:paraId="43EE6A4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Selective Outcome Reporting (e.g. discrepency between stated goals/outcomes and measurin, incomplete outcome reporting)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CCCCC"/>
          </w:tcPr>
          <w:p w14:paraId="2C6FEF0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</w:pPr>
            <w:r w:rsidRPr="008535F1">
              <w:rPr>
                <w:rFonts w:ascii="Times New Roman" w:eastAsia="Times New Roman" w:hAnsi="Times New Roman" w:cs="Times New Roman"/>
                <w:b/>
                <w:color w:val="666666"/>
                <w:sz w:val="16"/>
                <w:szCs w:val="16"/>
              </w:rPr>
              <w:t>Overall Assessment</w:t>
            </w:r>
          </w:p>
        </w:tc>
      </w:tr>
      <w:tr w:rsidR="00F26C0D" w:rsidRPr="008535F1" w14:paraId="0F71053D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4D0958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Bitton et al., (2016),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C3CC1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D636C0A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5A3490C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3CC"/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DA1FCC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A6B2EC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CEDF231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F26C0D" w:rsidRPr="008535F1" w14:paraId="2E735E11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E2BAEA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Bowen et al., (2016),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A75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1F05395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675101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73F68A75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542A976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0FE14DF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F26C0D" w:rsidRPr="008535F1" w14:paraId="4011CA8D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EC8EB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lastRenderedPageBreak/>
              <w:t>Brown et al. (2016),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CDFA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2B89903A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576EDD32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5328A8C2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59DEF7B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59D0F34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F26C0D" w:rsidRPr="008535F1" w14:paraId="361D0856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94625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Burka et al. (2019),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376F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263762C9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5D57B1B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59E09C9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18E42845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3E9A9A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F26C0D" w:rsidRPr="008535F1" w14:paraId="11D86CFA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D5A156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Caffrey et al. (2017),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2EC5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645DFCD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4B932E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4FE1776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17AE242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EACAF9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F26C0D" w:rsidRPr="008535F1" w14:paraId="799B1D19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D96CBE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Carillo et al. (2017),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7829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41678D25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C9E8C86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981C07B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71C1F351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8A052F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F26C0D" w:rsidRPr="008535F1" w14:paraId="3735B743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B84CB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  <w:lang w:val="fr-CH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  <w:t>Chan et al., (2015), Hong Kong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382B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779A5A7A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778DFCC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1D26F48D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7A8076BF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D588010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F26C0D" w:rsidRPr="008535F1" w14:paraId="31FA8AF7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C449D4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Church et al. (2018),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0FE3D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41365B2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5D53BDB5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70A1C116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8795E42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321C7CB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F26C0D" w:rsidRPr="008535F1" w14:paraId="225975BD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B205DC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Ho et al. (2017), Singapore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7CADA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4D4DBF79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AB75A3A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70D31AC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40375BB7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6C65938" w14:textId="77777777" w:rsidR="00F26C0D" w:rsidRPr="008535F1" w:rsidRDefault="00F26C0D" w:rsidP="003D0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12754630" w14:textId="77777777" w:rsidTr="00244C88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DA4D31" w14:textId="13598B11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Ho et al. (201</w:t>
            </w:r>
            <w:r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9</w:t>
            </w: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, Singapore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344E" w14:textId="0CF5549D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</w:tcPr>
          <w:p w14:paraId="0D737692" w14:textId="3ABBC69B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198778A" w14:textId="50BEEB4B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</w:tcPr>
          <w:p w14:paraId="712E9AF5" w14:textId="475584EC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</w:tcPr>
          <w:p w14:paraId="23FBA131" w14:textId="36D9220F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</w:tcPr>
          <w:p w14:paraId="076395C4" w14:textId="42FC6880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244C88" w:rsidRPr="008535F1" w14:paraId="072940BC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06969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Hoang et al. (2018),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B40B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707FB3D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E22C10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4655056F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46BE5AF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FB3FE2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07C7C832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A532B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Hurley et al. (2018),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FFE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424053A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8D6CDC5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3A0C1B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6933E6A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0723E9AA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244C88" w:rsidRPr="008535F1" w14:paraId="77E70D57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57EAC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Jolin et al., (2016),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77CA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76D53B9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D5C5A3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0AFEA12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5799B5A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549B66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04BEFAC2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F7BBD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Kawczak et al., (20</w:t>
            </w:r>
            <w:r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20</w:t>
            </w: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DFD0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4119C6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2A9527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54CC6FA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41E5034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09BBCD48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244C88" w:rsidRPr="008535F1" w14:paraId="2283EF44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A68F6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King, Judd et al. (2017),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88C0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3381D7E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17451C4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DEDED" w:themeFill="accent3" w:themeFillTint="33"/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5159A0D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767C068F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F148D78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71336489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7EBFC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Loskutova et al. (2020),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C28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6B82E76A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17F4C6D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47C1CC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486840B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6287076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244C88" w:rsidRPr="008535F1" w14:paraId="39B34D86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A4DA7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  <w:lang w:val="fr-CH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  <w:t>McAdam-Marx et al. (2020),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E33CA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5EF5B26F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12CB354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18C890CF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16813C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70CB1360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5DA309FE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B1ED1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  <w:lang w:val="fr-CH"/>
              </w:rPr>
              <w:t xml:space="preserve">McKeirnan and Sarchet et al. </w:t>
            </w: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(2019),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616A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0D06213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F34D847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6959F67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3B50B81A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2B38FD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1B857842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C3470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Mendu et al. (2014),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33F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0C3DE6C5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DCABFD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62ECF1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CCB3E0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4C16A35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31067101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63372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Naito et al. (2020), Japan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8597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219E0DB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47800DC0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169C5F6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804FEC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42AE3A7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5EDE0E0B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29F18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Patel et al., (2018)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4A548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03E5AD0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1D2C82C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4FA292F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AEDEDA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4C39955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57EC0B34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CDB6B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Pickren et al. (2016),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EBA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5147C5E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497FE1C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4A060F6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589900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9680DF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51313488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76A14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lastRenderedPageBreak/>
              <w:t>Pizzi et al. (2018),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32E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5F4D834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BB32F90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DEDED" w:themeFill="accent3" w:themeFillTint="33"/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64348B3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4ECCB58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1E5C2CD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244C88" w:rsidRPr="008535F1" w14:paraId="0BAD0381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B92BF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Shono et al. (2019), Japan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2F9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802E9C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2CE524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0382ED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66A946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61CCDFA7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244C88" w:rsidRPr="008535F1" w14:paraId="1EE0D4DB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6C2CAE" w14:textId="226E1738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hAnsi="Times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 xml:space="preserve">Turbeville et al. (2018), </w:t>
            </w:r>
            <w:r w:rsidR="00CA5434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C74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3EBB03B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78A9465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0A6BA56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5EB561E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F79633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17AF1C01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52AA4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Webster et al. (2019), Australia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C368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74A4716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639F0AC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676E55E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0EE178C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7AE3FEB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006960CC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D2195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Wells et al., (2019),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23928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1F7694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2B8DC585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78DF502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A1334B9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DDA728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  <w:tr w:rsidR="00244C88" w:rsidRPr="008535F1" w14:paraId="16CA3732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B30FDB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Zimmerman et al. (2016),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22AC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7F62E7BD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106133E6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7C10CA4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2B2E04AE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1F7641E2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Medium</w:t>
            </w:r>
          </w:p>
        </w:tc>
      </w:tr>
      <w:tr w:rsidR="00244C88" w:rsidRPr="008535F1" w14:paraId="69AE2A40" w14:textId="77777777" w:rsidTr="003D025F">
        <w:trPr>
          <w:trHeight w:val="420"/>
        </w:trPr>
        <w:tc>
          <w:tcPr>
            <w:tcW w:w="156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B44690" w14:textId="7FC846E5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808080" w:themeColor="background1" w:themeShade="80"/>
                <w:sz w:val="16"/>
                <w:szCs w:val="16"/>
              </w:rPr>
            </w:pPr>
            <w:r w:rsidRPr="008535F1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>Zorek et al., (2015),</w:t>
            </w:r>
            <w:r w:rsidR="00DA37E2">
              <w:rPr>
                <w:rFonts w:ascii="Times" w:hAnsi="Times"/>
                <w:color w:val="808080" w:themeColor="background1" w:themeShade="80"/>
                <w:sz w:val="16"/>
                <w:szCs w:val="16"/>
              </w:rPr>
              <w:t xml:space="preserve"> USA</w:t>
            </w:r>
          </w:p>
        </w:tc>
        <w:tc>
          <w:tcPr>
            <w:tcW w:w="111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F481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BE4D5" w:themeFill="accent2" w:themeFillTint="33"/>
          </w:tcPr>
          <w:p w14:paraId="0BC7CBD0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2</w:t>
            </w:r>
          </w:p>
        </w:tc>
        <w:tc>
          <w:tcPr>
            <w:tcW w:w="131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0AE2A0F7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3345D243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EF3CC"/>
          </w:tcPr>
          <w:p w14:paraId="18A02677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color w:val="666666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 w:themeFill="accent3" w:themeFillTint="33"/>
          </w:tcPr>
          <w:p w14:paraId="52F059B4" w14:textId="77777777" w:rsidR="00244C88" w:rsidRPr="008535F1" w:rsidRDefault="00244C88" w:rsidP="0024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</w:pPr>
            <w:r w:rsidRPr="008535F1">
              <w:rPr>
                <w:rFonts w:ascii="Times" w:eastAsia="Times New Roman" w:hAnsi="Times" w:cs="Times New Roman"/>
                <w:b/>
                <w:bCs/>
                <w:color w:val="666666"/>
                <w:sz w:val="16"/>
                <w:szCs w:val="16"/>
              </w:rPr>
              <w:t>Low</w:t>
            </w:r>
          </w:p>
        </w:tc>
      </w:tr>
    </w:tbl>
    <w:p w14:paraId="5997CD9D" w14:textId="77777777" w:rsidR="00F26C0D" w:rsidRPr="008535F1" w:rsidRDefault="00F26C0D" w:rsidP="00F26C0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FB7DD3F" w14:textId="77777777" w:rsidR="00F26C0D" w:rsidRPr="008535F1" w:rsidRDefault="00F26C0D" w:rsidP="00F26C0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EC77B15" w14:textId="77777777" w:rsidR="0051267A" w:rsidRDefault="00000000"/>
    <w:sectPr w:rsidR="0051267A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55DB7" w14:textId="77777777" w:rsidR="000463A5" w:rsidRDefault="000463A5">
      <w:pPr>
        <w:spacing w:line="240" w:lineRule="auto"/>
      </w:pPr>
      <w:r>
        <w:separator/>
      </w:r>
    </w:p>
  </w:endnote>
  <w:endnote w:type="continuationSeparator" w:id="0">
    <w:p w14:paraId="6CEA63DF" w14:textId="77777777" w:rsidR="000463A5" w:rsidRDefault="00046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1CD8" w14:textId="77777777" w:rsidR="00A40D19" w:rsidRDefault="0088204D">
    <w:pPr>
      <w:jc w:val="right"/>
      <w:rPr>
        <w:rFonts w:ascii="Times New Roman" w:eastAsia="Times New Roman" w:hAnsi="Times New Roman" w:cs="Times New Roman"/>
        <w:color w:val="999999"/>
      </w:rPr>
    </w:pPr>
    <w:r>
      <w:rPr>
        <w:rFonts w:ascii="Times New Roman" w:eastAsia="Times New Roman" w:hAnsi="Times New Roman" w:cs="Times New Roman"/>
        <w:color w:val="999999"/>
      </w:rPr>
      <w:fldChar w:fldCharType="begin"/>
    </w:r>
    <w:r>
      <w:rPr>
        <w:rFonts w:ascii="Times New Roman" w:eastAsia="Times New Roman" w:hAnsi="Times New Roman" w:cs="Times New Roman"/>
        <w:color w:val="999999"/>
      </w:rPr>
      <w:instrText>PAGE</w:instrText>
    </w:r>
    <w:r>
      <w:rPr>
        <w:rFonts w:ascii="Times New Roman" w:eastAsia="Times New Roman" w:hAnsi="Times New Roman" w:cs="Times New Roman"/>
        <w:color w:val="999999"/>
      </w:rPr>
      <w:fldChar w:fldCharType="separate"/>
    </w:r>
    <w:r>
      <w:rPr>
        <w:rFonts w:ascii="Times New Roman" w:eastAsia="Times New Roman" w:hAnsi="Times New Roman" w:cs="Times New Roman"/>
        <w:noProof/>
        <w:color w:val="999999"/>
      </w:rPr>
      <w:t>1</w:t>
    </w:r>
    <w:r>
      <w:rPr>
        <w:rFonts w:ascii="Times New Roman" w:eastAsia="Times New Roman" w:hAnsi="Times New Roman" w:cs="Times New Roman"/>
        <w:color w:val="99999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3239" w14:textId="77777777" w:rsidR="00A40D19" w:rsidRDefault="0088204D">
    <w:pPr>
      <w:jc w:val="right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A99D" w14:textId="77777777" w:rsidR="000463A5" w:rsidRDefault="000463A5">
      <w:pPr>
        <w:spacing w:line="240" w:lineRule="auto"/>
      </w:pPr>
      <w:r>
        <w:separator/>
      </w:r>
    </w:p>
  </w:footnote>
  <w:footnote w:type="continuationSeparator" w:id="0">
    <w:p w14:paraId="30AA5876" w14:textId="77777777" w:rsidR="000463A5" w:rsidRDefault="000463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BEC"/>
    <w:multiLevelType w:val="multilevel"/>
    <w:tmpl w:val="E61696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E818DA"/>
    <w:multiLevelType w:val="multilevel"/>
    <w:tmpl w:val="0DCA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2344EB"/>
    <w:multiLevelType w:val="multilevel"/>
    <w:tmpl w:val="802698D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9345057"/>
    <w:multiLevelType w:val="multilevel"/>
    <w:tmpl w:val="A4340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8796726"/>
    <w:multiLevelType w:val="multilevel"/>
    <w:tmpl w:val="E8F6B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7F539C"/>
    <w:multiLevelType w:val="multilevel"/>
    <w:tmpl w:val="997CB4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22993610">
    <w:abstractNumId w:val="3"/>
  </w:num>
  <w:num w:numId="2" w16cid:durableId="1905143933">
    <w:abstractNumId w:val="4"/>
  </w:num>
  <w:num w:numId="3" w16cid:durableId="791828504">
    <w:abstractNumId w:val="5"/>
  </w:num>
  <w:num w:numId="4" w16cid:durableId="1457329566">
    <w:abstractNumId w:val="0"/>
  </w:num>
  <w:num w:numId="5" w16cid:durableId="1783063838">
    <w:abstractNumId w:val="2"/>
  </w:num>
  <w:num w:numId="6" w16cid:durableId="2005432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E0"/>
    <w:rsid w:val="000463A5"/>
    <w:rsid w:val="000F5798"/>
    <w:rsid w:val="002149E0"/>
    <w:rsid w:val="00244C88"/>
    <w:rsid w:val="00291967"/>
    <w:rsid w:val="003B7F52"/>
    <w:rsid w:val="004F284B"/>
    <w:rsid w:val="00686906"/>
    <w:rsid w:val="0073441E"/>
    <w:rsid w:val="0088204D"/>
    <w:rsid w:val="008B5AA6"/>
    <w:rsid w:val="008D7FF2"/>
    <w:rsid w:val="00B15EEF"/>
    <w:rsid w:val="00BC2F29"/>
    <w:rsid w:val="00CA5434"/>
    <w:rsid w:val="00DA37E2"/>
    <w:rsid w:val="00EC3BFE"/>
    <w:rsid w:val="00F26C0D"/>
    <w:rsid w:val="00F51DAA"/>
    <w:rsid w:val="00F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A4EF6"/>
  <w15:chartTrackingRefBased/>
  <w15:docId w15:val="{DC576655-38A0-4445-B920-D590F9F2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C0D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C0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C0D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C0D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C0D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C0D"/>
    <w:rPr>
      <w:rFonts w:ascii="Arial" w:eastAsia="Arial" w:hAnsi="Arial" w:cs="Arial"/>
      <w:color w:val="666666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C0D"/>
    <w:rPr>
      <w:rFonts w:ascii="Arial" w:eastAsia="Arial" w:hAnsi="Arial" w:cs="Arial"/>
      <w:color w:val="666666"/>
      <w:sz w:val="22"/>
      <w:szCs w:val="22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C0D"/>
    <w:rPr>
      <w:rFonts w:ascii="Arial" w:eastAsia="Arial" w:hAnsi="Arial" w:cs="Arial"/>
      <w:i/>
      <w:color w:val="666666"/>
      <w:sz w:val="22"/>
      <w:szCs w:val="22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F26C0D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6C0D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C0D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26C0D"/>
    <w:rPr>
      <w:rFonts w:ascii="Arial" w:eastAsia="Arial" w:hAnsi="Arial" w:cs="Arial"/>
      <w:color w:val="666666"/>
      <w:sz w:val="30"/>
      <w:szCs w:val="30"/>
      <w:lang w:val="en"/>
    </w:rPr>
  </w:style>
  <w:style w:type="paragraph" w:styleId="Revision">
    <w:name w:val="Revision"/>
    <w:hidden/>
    <w:uiPriority w:val="99"/>
    <w:semiHidden/>
    <w:rsid w:val="00F26C0D"/>
    <w:rPr>
      <w:rFonts w:ascii="Arial" w:eastAsia="Arial" w:hAnsi="Arial" w:cs="Arial"/>
      <w:sz w:val="22"/>
      <w:szCs w:val="22"/>
      <w:lang w:val="en"/>
    </w:rPr>
  </w:style>
  <w:style w:type="paragraph" w:styleId="NormalWeb">
    <w:name w:val="Normal (Web)"/>
    <w:basedOn w:val="Normal"/>
    <w:uiPriority w:val="99"/>
    <w:semiHidden/>
    <w:unhideWhenUsed/>
    <w:rsid w:val="00F2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F2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26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C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C0D"/>
    <w:rPr>
      <w:rFonts w:ascii="Arial" w:eastAsia="Arial" w:hAnsi="Arial" w:cs="Arial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C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C0D"/>
    <w:rPr>
      <w:rFonts w:ascii="Arial" w:eastAsia="Arial" w:hAnsi="Arial" w:cs="Arial"/>
      <w:b/>
      <w:bCs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F26C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C0D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F26C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C0D"/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2988</Words>
  <Characters>17032</Characters>
  <Application>Microsoft Office Word</Application>
  <DocSecurity>0</DocSecurity>
  <Lines>141</Lines>
  <Paragraphs>39</Paragraphs>
  <ScaleCrop>false</ScaleCrop>
  <Company/>
  <LinksUpToDate>false</LinksUpToDate>
  <CharactersWithSpaces>19981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Kirubarajan</dc:creator>
  <cp:keywords/>
  <dc:description/>
  <cp:lastModifiedBy>T. Kirubarajan</cp:lastModifiedBy>
  <cp:revision>2</cp:revision>
  <dcterms:created xsi:type="dcterms:W3CDTF">2022-11-22T20:16:00Z</dcterms:created>
  <dcterms:modified xsi:type="dcterms:W3CDTF">2022-11-22T20:16:00Z</dcterms:modified>
</cp:coreProperties>
</file>