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29867" w14:textId="77777777" w:rsidR="0074446E" w:rsidRPr="009F6AAA" w:rsidRDefault="003C5051">
      <w:pPr>
        <w:rPr>
          <w:rFonts w:ascii="Times New Roman" w:hAnsi="Times New Roman" w:cs="Times New Roman"/>
          <w:b/>
          <w:bCs/>
          <w:sz w:val="28"/>
          <w:szCs w:val="28"/>
          <w:lang w:eastAsia="en-GB"/>
        </w:rPr>
      </w:pPr>
      <w:r w:rsidRPr="009F6AAA">
        <w:rPr>
          <w:rFonts w:ascii="Times New Roman" w:hAnsi="Times New Roman" w:cs="Times New Roman"/>
          <w:b/>
          <w:bCs/>
          <w:sz w:val="28"/>
          <w:szCs w:val="28"/>
          <w:lang w:eastAsia="en-GB"/>
        </w:rPr>
        <w:t xml:space="preserve">Supplementary </w:t>
      </w:r>
      <w:r w:rsidRPr="009F6AAA">
        <w:rPr>
          <w:rFonts w:ascii="Times New Roman" w:hAnsi="Times New Roman" w:cs="Times New Roman" w:hint="eastAsia"/>
          <w:b/>
          <w:bCs/>
          <w:sz w:val="28"/>
          <w:szCs w:val="28"/>
          <w:lang w:val="en-US" w:eastAsia="zh-CN"/>
        </w:rPr>
        <w:t>1</w:t>
      </w:r>
      <w:r w:rsidRPr="009F6AAA">
        <w:rPr>
          <w:rFonts w:ascii="Times New Roman" w:hAnsi="Times New Roman" w:cs="Times New Roman"/>
          <w:b/>
          <w:bCs/>
          <w:sz w:val="28"/>
          <w:szCs w:val="28"/>
          <w:lang w:eastAsia="en-GB"/>
        </w:rPr>
        <w:t xml:space="preserve">: </w:t>
      </w:r>
      <w:r w:rsidRPr="009F6AAA">
        <w:rPr>
          <w:rFonts w:ascii="Times New Roman" w:hAnsi="Times New Roman" w:cs="Times New Roman" w:hint="eastAsia"/>
          <w:b/>
          <w:bCs/>
          <w:sz w:val="28"/>
          <w:szCs w:val="28"/>
          <w:lang w:val="en-US" w:eastAsia="zh-CN"/>
        </w:rPr>
        <w:t>Beers</w:t>
      </w:r>
      <w:r w:rsidRPr="009F6AAA">
        <w:rPr>
          <w:rFonts w:ascii="Times New Roman" w:hAnsi="Times New Roman" w:cs="Times New Roman"/>
          <w:b/>
          <w:bCs/>
          <w:sz w:val="28"/>
          <w:szCs w:val="28"/>
          <w:lang w:eastAsia="en-GB"/>
        </w:rPr>
        <w:t xml:space="preserve"> Criteria </w:t>
      </w:r>
      <w:proofErr w:type="gramStart"/>
      <w:r w:rsidRPr="009F6AAA">
        <w:rPr>
          <w:rFonts w:ascii="Times New Roman" w:hAnsi="Times New Roman" w:cs="Times New Roman"/>
          <w:b/>
          <w:bCs/>
          <w:sz w:val="28"/>
          <w:szCs w:val="28"/>
          <w:lang w:eastAsia="en-GB"/>
        </w:rPr>
        <w:t>items  and</w:t>
      </w:r>
      <w:proofErr w:type="gramEnd"/>
      <w:r w:rsidRPr="009F6AAA">
        <w:rPr>
          <w:rFonts w:ascii="Times New Roman" w:hAnsi="Times New Roman" w:cs="Times New Roman"/>
          <w:b/>
          <w:bCs/>
          <w:sz w:val="28"/>
          <w:szCs w:val="28"/>
          <w:lang w:eastAsia="en-GB"/>
        </w:rPr>
        <w:t xml:space="preserve"> prevalence rates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320"/>
        <w:gridCol w:w="631"/>
        <w:gridCol w:w="624"/>
        <w:gridCol w:w="1508"/>
        <w:gridCol w:w="1062"/>
        <w:gridCol w:w="738"/>
        <w:gridCol w:w="1825"/>
        <w:gridCol w:w="1308"/>
      </w:tblGrid>
      <w:tr w:rsidR="0074446E" w:rsidRPr="009F6AAA" w14:paraId="54975B07" w14:textId="77777777">
        <w:tc>
          <w:tcPr>
            <w:tcW w:w="7872" w:type="dxa"/>
            <w:gridSpan w:val="7"/>
          </w:tcPr>
          <w:p w14:paraId="004D6E8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val="en-US" w:eastAsia="zh-CN"/>
              </w:rPr>
              <w:t>Beers</w:t>
            </w:r>
            <w:r w:rsidRPr="009F6A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 Criteria items</w:t>
            </w:r>
          </w:p>
        </w:tc>
        <w:tc>
          <w:tcPr>
            <w:tcW w:w="1370" w:type="dxa"/>
          </w:tcPr>
          <w:p w14:paraId="3595F2F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  <w:lang w:eastAsia="en-GB"/>
              </w:rPr>
              <w:t>P</w:t>
            </w:r>
            <w:r w:rsidRPr="009F6AA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GB"/>
              </w:rPr>
              <w:t>revalence rates (%)</w:t>
            </w:r>
          </w:p>
        </w:tc>
      </w:tr>
      <w:tr w:rsidR="0074446E" w:rsidRPr="009F6AAA" w14:paraId="10F1F881" w14:textId="77777777">
        <w:tc>
          <w:tcPr>
            <w:tcW w:w="9242" w:type="dxa"/>
            <w:gridSpan w:val="8"/>
          </w:tcPr>
          <w:p w14:paraId="4D8C0D9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Potentially Inappropriate Medication Use in Older Adults</w:t>
            </w:r>
          </w:p>
        </w:tc>
      </w:tr>
      <w:tr w:rsidR="0074446E" w:rsidRPr="009F6AAA" w14:paraId="73C48382" w14:textId="77777777">
        <w:tc>
          <w:tcPr>
            <w:tcW w:w="5999" w:type="dxa"/>
            <w:gridSpan w:val="6"/>
          </w:tcPr>
          <w:p w14:paraId="2DD72B8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Therapeutic Category, Drugs</w:t>
            </w:r>
          </w:p>
        </w:tc>
        <w:tc>
          <w:tcPr>
            <w:tcW w:w="1873" w:type="dxa"/>
          </w:tcPr>
          <w:p w14:paraId="32ACC80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b/>
                <w:bCs/>
                <w:lang w:val="en-US" w:eastAsia="zh-CN"/>
              </w:rPr>
              <w:t>Recommendation</w:t>
            </w:r>
          </w:p>
        </w:tc>
        <w:tc>
          <w:tcPr>
            <w:tcW w:w="1370" w:type="dxa"/>
          </w:tcPr>
          <w:p w14:paraId="2981CDE5" w14:textId="77777777" w:rsidR="0074446E" w:rsidRPr="009F6AAA" w:rsidRDefault="007444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IE" w:eastAsia="en-GB"/>
              </w:rPr>
            </w:pPr>
          </w:p>
        </w:tc>
      </w:tr>
      <w:tr w:rsidR="0074446E" w:rsidRPr="009F6AAA" w14:paraId="3AF602C2" w14:textId="77777777">
        <w:tc>
          <w:tcPr>
            <w:tcW w:w="5999" w:type="dxa"/>
            <w:gridSpan w:val="6"/>
          </w:tcPr>
          <w:p w14:paraId="54F610B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First-generation antihistamines</w:t>
            </w:r>
          </w:p>
          <w:p w14:paraId="7EEBBA9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Brompheniramine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Carbinoxamine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Chlorpheniramine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Clemastine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Cyproheptadine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Dexbrompheniramine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Dexchlorpheniramine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Dimenhydrinate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Diphenhydramine (oral)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Doxylamine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Hydroxyzine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Meclizine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Promethazine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Triprolidine</w:t>
            </w:r>
            <w:r w:rsidRPr="009F6A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462B7C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A30533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0.4 (3/852)</w:t>
            </w:r>
          </w:p>
        </w:tc>
      </w:tr>
      <w:tr w:rsidR="0074446E" w:rsidRPr="009F6AAA" w14:paraId="1DDAC5C3" w14:textId="77777777">
        <w:tc>
          <w:tcPr>
            <w:tcW w:w="5999" w:type="dxa"/>
            <w:gridSpan w:val="6"/>
          </w:tcPr>
          <w:p w14:paraId="0AD49DC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Antiparkinsonian agents</w:t>
            </w:r>
          </w:p>
          <w:p w14:paraId="19B591D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Benztropine (oral)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Trihexyphenidyl</w:t>
            </w:r>
          </w:p>
        </w:tc>
        <w:tc>
          <w:tcPr>
            <w:tcW w:w="1873" w:type="dxa"/>
          </w:tcPr>
          <w:p w14:paraId="65A8C7E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170B0C1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1C53FDEC" w14:textId="77777777">
        <w:tc>
          <w:tcPr>
            <w:tcW w:w="5999" w:type="dxa"/>
            <w:gridSpan w:val="6"/>
          </w:tcPr>
          <w:p w14:paraId="6CE19EA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Antispasmodics </w:t>
            </w:r>
          </w:p>
          <w:p w14:paraId="2690848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Atropine (excludes ophthalmic)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Belladonna alkaloids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Clidinium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-Chlordiazepoxide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Dicyclomine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Hyoscyamine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Propantheline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Scopolamine</w:t>
            </w:r>
          </w:p>
        </w:tc>
        <w:tc>
          <w:tcPr>
            <w:tcW w:w="1873" w:type="dxa"/>
          </w:tcPr>
          <w:p w14:paraId="1139CFE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71E9404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499E9113" w14:textId="77777777">
        <w:tc>
          <w:tcPr>
            <w:tcW w:w="5999" w:type="dxa"/>
            <w:gridSpan w:val="6"/>
          </w:tcPr>
          <w:p w14:paraId="5D4112A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proofErr w:type="spellStart"/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Antithrombotics</w:t>
            </w:r>
            <w:proofErr w:type="spellEnd"/>
          </w:p>
          <w:p w14:paraId="2474D12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Dipyridamole, oral short-acting (does not apply to the extended- release combination with aspirin)</w:t>
            </w:r>
          </w:p>
        </w:tc>
        <w:tc>
          <w:tcPr>
            <w:tcW w:w="1873" w:type="dxa"/>
          </w:tcPr>
          <w:p w14:paraId="3087B7A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619C70C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74185279" w14:textId="77777777">
        <w:tc>
          <w:tcPr>
            <w:tcW w:w="5999" w:type="dxa"/>
            <w:gridSpan w:val="6"/>
          </w:tcPr>
          <w:p w14:paraId="6330747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Ticlopidine</w:t>
            </w:r>
          </w:p>
        </w:tc>
        <w:tc>
          <w:tcPr>
            <w:tcW w:w="1873" w:type="dxa"/>
          </w:tcPr>
          <w:p w14:paraId="54F209D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647192C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47D1F0FD" w14:textId="77777777">
        <w:tc>
          <w:tcPr>
            <w:tcW w:w="5999" w:type="dxa"/>
            <w:gridSpan w:val="6"/>
          </w:tcPr>
          <w:p w14:paraId="6420F40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Anti-infective</w:t>
            </w:r>
          </w:p>
          <w:p w14:paraId="5F3E84F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Nitrofurantoin</w:t>
            </w:r>
          </w:p>
        </w:tc>
        <w:tc>
          <w:tcPr>
            <w:tcW w:w="1873" w:type="dxa"/>
          </w:tcPr>
          <w:p w14:paraId="7C80AC9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 in individuals with creatinine clearance &lt;30 mL/min or for long-term suppression of bacteria</w:t>
            </w:r>
          </w:p>
        </w:tc>
        <w:tc>
          <w:tcPr>
            <w:tcW w:w="1370" w:type="dxa"/>
          </w:tcPr>
          <w:p w14:paraId="6F69C5B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081DD4C3" w14:textId="77777777">
        <w:tc>
          <w:tcPr>
            <w:tcW w:w="5999" w:type="dxa"/>
            <w:gridSpan w:val="6"/>
          </w:tcPr>
          <w:p w14:paraId="5C17041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Peripheral alpha-1 blockers </w:t>
            </w:r>
          </w:p>
          <w:p w14:paraId="7A04823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Doxazosin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Prazosin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Terazosin</w:t>
            </w:r>
          </w:p>
        </w:tc>
        <w:tc>
          <w:tcPr>
            <w:tcW w:w="1873" w:type="dxa"/>
          </w:tcPr>
          <w:p w14:paraId="1A04DAC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Avoid use as an antihypertensive</w:t>
            </w:r>
          </w:p>
        </w:tc>
        <w:tc>
          <w:tcPr>
            <w:tcW w:w="1370" w:type="dxa"/>
          </w:tcPr>
          <w:p w14:paraId="474A4AA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2.7 (23/852) </w:t>
            </w:r>
          </w:p>
        </w:tc>
      </w:tr>
      <w:tr w:rsidR="0074446E" w:rsidRPr="009F6AAA" w14:paraId="538E3938" w14:textId="77777777">
        <w:tc>
          <w:tcPr>
            <w:tcW w:w="5999" w:type="dxa"/>
            <w:gridSpan w:val="6"/>
          </w:tcPr>
          <w:p w14:paraId="7B78013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Central alpha blockers </w:t>
            </w:r>
          </w:p>
          <w:p w14:paraId="45D4C7D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Clonidine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Guanabenz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Guanfacine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Methyldopa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Reserpine (&gt;0.1 mg/d)</w:t>
            </w:r>
          </w:p>
        </w:tc>
        <w:tc>
          <w:tcPr>
            <w:tcW w:w="1873" w:type="dxa"/>
          </w:tcPr>
          <w:p w14:paraId="0F0484C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IE" w:eastAsia="en-GB"/>
              </w:rPr>
              <w:t>Avoid clonidine as first-line antihypertensive Avoid others as listed</w:t>
            </w:r>
          </w:p>
        </w:tc>
        <w:tc>
          <w:tcPr>
            <w:tcW w:w="1370" w:type="dxa"/>
          </w:tcPr>
          <w:p w14:paraId="3B66030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0.1 (1/852)</w:t>
            </w:r>
          </w:p>
        </w:tc>
      </w:tr>
      <w:tr w:rsidR="0074446E" w:rsidRPr="009F6AAA" w14:paraId="24691DAD" w14:textId="77777777">
        <w:tc>
          <w:tcPr>
            <w:tcW w:w="5999" w:type="dxa"/>
            <w:gridSpan w:val="6"/>
          </w:tcPr>
          <w:p w14:paraId="1235FCD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Disopyramide</w:t>
            </w:r>
          </w:p>
        </w:tc>
        <w:tc>
          <w:tcPr>
            <w:tcW w:w="1873" w:type="dxa"/>
          </w:tcPr>
          <w:p w14:paraId="3C31F31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63468BA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FD1A436" w14:textId="77777777">
        <w:tc>
          <w:tcPr>
            <w:tcW w:w="5999" w:type="dxa"/>
            <w:gridSpan w:val="6"/>
          </w:tcPr>
          <w:p w14:paraId="6FA447A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Dronedarone</w:t>
            </w:r>
          </w:p>
        </w:tc>
        <w:tc>
          <w:tcPr>
            <w:tcW w:w="1873" w:type="dxa"/>
          </w:tcPr>
          <w:p w14:paraId="0C5E527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 in individuals with permanent atrial fibrillation or severe or recently decompensated heart failure</w:t>
            </w:r>
          </w:p>
        </w:tc>
        <w:tc>
          <w:tcPr>
            <w:tcW w:w="1370" w:type="dxa"/>
          </w:tcPr>
          <w:p w14:paraId="198DCBD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16216CDF" w14:textId="77777777">
        <w:tc>
          <w:tcPr>
            <w:tcW w:w="5999" w:type="dxa"/>
            <w:gridSpan w:val="6"/>
          </w:tcPr>
          <w:p w14:paraId="589592C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Digoxin</w:t>
            </w:r>
          </w:p>
        </w:tc>
        <w:tc>
          <w:tcPr>
            <w:tcW w:w="1873" w:type="dxa"/>
          </w:tcPr>
          <w:p w14:paraId="7D2D543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 as first-line therapy for atrial fibrillation and  heart failure</w:t>
            </w: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；</w:t>
            </w: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If used for atrial fibrillation or heart failure, avoid dosages &gt;0.125 mg/d</w:t>
            </w:r>
          </w:p>
        </w:tc>
        <w:tc>
          <w:tcPr>
            <w:tcW w:w="1370" w:type="dxa"/>
          </w:tcPr>
          <w:p w14:paraId="4F05372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2.9 (25/852)</w:t>
            </w:r>
          </w:p>
        </w:tc>
      </w:tr>
      <w:tr w:rsidR="0074446E" w:rsidRPr="009F6AAA" w14:paraId="65DE3778" w14:textId="77777777">
        <w:tc>
          <w:tcPr>
            <w:tcW w:w="5999" w:type="dxa"/>
            <w:gridSpan w:val="6"/>
          </w:tcPr>
          <w:p w14:paraId="1B5A661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Nifedipine, immediate release</w:t>
            </w:r>
          </w:p>
        </w:tc>
        <w:tc>
          <w:tcPr>
            <w:tcW w:w="1873" w:type="dxa"/>
          </w:tcPr>
          <w:p w14:paraId="760BCB0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3D78FF1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3043DFBE" w14:textId="77777777">
        <w:tc>
          <w:tcPr>
            <w:tcW w:w="5999" w:type="dxa"/>
            <w:gridSpan w:val="6"/>
          </w:tcPr>
          <w:p w14:paraId="1902DFF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Amiodarone</w:t>
            </w:r>
          </w:p>
        </w:tc>
        <w:tc>
          <w:tcPr>
            <w:tcW w:w="1873" w:type="dxa"/>
          </w:tcPr>
          <w:p w14:paraId="1E56093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 xml:space="preserve">Avoid amiodarone as first-line therapy for atrial fibrillation unless patient has heart failure or substantial left </w:t>
            </w: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lastRenderedPageBreak/>
              <w:t>ventricular hypertrophy</w:t>
            </w:r>
          </w:p>
        </w:tc>
        <w:tc>
          <w:tcPr>
            <w:tcW w:w="1370" w:type="dxa"/>
          </w:tcPr>
          <w:p w14:paraId="65ACC66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lastRenderedPageBreak/>
              <w:t>2.7 (23/852)</w:t>
            </w:r>
          </w:p>
        </w:tc>
      </w:tr>
      <w:tr w:rsidR="0074446E" w:rsidRPr="009F6AAA" w14:paraId="23625263" w14:textId="77777777">
        <w:tc>
          <w:tcPr>
            <w:tcW w:w="5999" w:type="dxa"/>
            <w:gridSpan w:val="6"/>
          </w:tcPr>
          <w:p w14:paraId="36EB47B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Antidepressants, alone or in combination </w:t>
            </w:r>
          </w:p>
          <w:p w14:paraId="7B2A896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Amitriptyline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Amoxapine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Clomipramine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Desipramine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Doxepin &gt;6 mg/d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Imipramine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Nortriptyline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Paroxetine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Protriptyline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Trimipramine</w:t>
            </w:r>
          </w:p>
        </w:tc>
        <w:tc>
          <w:tcPr>
            <w:tcW w:w="1873" w:type="dxa"/>
          </w:tcPr>
          <w:p w14:paraId="29E5F30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75AA5A9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0.2 (2/852)</w:t>
            </w:r>
          </w:p>
        </w:tc>
      </w:tr>
      <w:tr w:rsidR="0074446E" w:rsidRPr="009F6AAA" w14:paraId="2F563508" w14:textId="77777777">
        <w:tc>
          <w:tcPr>
            <w:tcW w:w="5999" w:type="dxa"/>
            <w:gridSpan w:val="6"/>
          </w:tcPr>
          <w:p w14:paraId="0DFF597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Antipsychotics, first- (conventional) and second- (atypical) generation</w:t>
            </w:r>
          </w:p>
        </w:tc>
        <w:tc>
          <w:tcPr>
            <w:tcW w:w="1873" w:type="dxa"/>
          </w:tcPr>
          <w:p w14:paraId="1816DD6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Avoid, except for schizophrenia, bipolar disorder, or short-term use as antiemetic during chemotherapy</w:t>
            </w:r>
          </w:p>
        </w:tc>
        <w:tc>
          <w:tcPr>
            <w:tcW w:w="1370" w:type="dxa"/>
          </w:tcPr>
          <w:p w14:paraId="403794D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2.2 (19/852)</w:t>
            </w:r>
          </w:p>
        </w:tc>
      </w:tr>
      <w:tr w:rsidR="0074446E" w:rsidRPr="009F6AAA" w14:paraId="78566650" w14:textId="77777777">
        <w:tc>
          <w:tcPr>
            <w:tcW w:w="5999" w:type="dxa"/>
            <w:gridSpan w:val="6"/>
          </w:tcPr>
          <w:p w14:paraId="193D327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Barbiturates </w:t>
            </w:r>
          </w:p>
          <w:p w14:paraId="5BC6192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Amobarbital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Butabarbital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Butalbital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Mephobarbital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Pentobarbital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Phenobarbital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Secobarbital</w:t>
            </w:r>
          </w:p>
        </w:tc>
        <w:tc>
          <w:tcPr>
            <w:tcW w:w="1873" w:type="dxa"/>
          </w:tcPr>
          <w:p w14:paraId="59BF0AA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1107EE8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80EE6EA" w14:textId="77777777">
        <w:tc>
          <w:tcPr>
            <w:tcW w:w="5999" w:type="dxa"/>
            <w:gridSpan w:val="6"/>
          </w:tcPr>
          <w:p w14:paraId="25A010E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Benzodiazepines Short- and intermediate- acting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Alprazolam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Estazolam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Lorazepam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Oxazepam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Temazepam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Triazolam</w:t>
            </w:r>
          </w:p>
        </w:tc>
        <w:tc>
          <w:tcPr>
            <w:tcW w:w="1873" w:type="dxa"/>
          </w:tcPr>
          <w:p w14:paraId="08B497D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13315EC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7.6 (65/852)</w:t>
            </w:r>
          </w:p>
        </w:tc>
      </w:tr>
      <w:tr w:rsidR="0074446E" w:rsidRPr="009F6AAA" w14:paraId="012DE6E1" w14:textId="77777777">
        <w:tc>
          <w:tcPr>
            <w:tcW w:w="5999" w:type="dxa"/>
            <w:gridSpan w:val="6"/>
          </w:tcPr>
          <w:p w14:paraId="1EBD964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Benzodiazepines Long-acting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</w:p>
          <w:p w14:paraId="6A3B9BA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Clorazepate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Chlordiazepoxide (alone or in combination with amitriptyline or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clidinium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)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Clonazepam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Diazepam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Flurazepam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Quazepam</w:t>
            </w:r>
          </w:p>
        </w:tc>
        <w:tc>
          <w:tcPr>
            <w:tcW w:w="1873" w:type="dxa"/>
          </w:tcPr>
          <w:p w14:paraId="0BD0334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D4C3F8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0.4 (3/852)</w:t>
            </w:r>
          </w:p>
        </w:tc>
      </w:tr>
      <w:tr w:rsidR="0074446E" w:rsidRPr="009F6AAA" w14:paraId="53F06FA8" w14:textId="77777777">
        <w:tc>
          <w:tcPr>
            <w:tcW w:w="5999" w:type="dxa"/>
            <w:gridSpan w:val="6"/>
          </w:tcPr>
          <w:p w14:paraId="58FEE82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Meprobamate</w:t>
            </w:r>
          </w:p>
        </w:tc>
        <w:tc>
          <w:tcPr>
            <w:tcW w:w="1873" w:type="dxa"/>
          </w:tcPr>
          <w:p w14:paraId="461C222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056907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327515BE" w14:textId="77777777">
        <w:tc>
          <w:tcPr>
            <w:tcW w:w="5999" w:type="dxa"/>
            <w:gridSpan w:val="6"/>
          </w:tcPr>
          <w:p w14:paraId="49F85EB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Nonbenzodiazepine, benzodiazepine receptor agonist hypnotics </w:t>
            </w:r>
          </w:p>
          <w:p w14:paraId="5857694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Eszopiclone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Zolpidem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Zaleplon</w:t>
            </w:r>
          </w:p>
        </w:tc>
        <w:tc>
          <w:tcPr>
            <w:tcW w:w="1873" w:type="dxa"/>
          </w:tcPr>
          <w:p w14:paraId="2C6EA2D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2B6A922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1.1 (9/852)</w:t>
            </w:r>
          </w:p>
        </w:tc>
      </w:tr>
      <w:tr w:rsidR="0074446E" w:rsidRPr="009F6AAA" w14:paraId="6E2CCA87" w14:textId="77777777">
        <w:tc>
          <w:tcPr>
            <w:tcW w:w="5999" w:type="dxa"/>
            <w:gridSpan w:val="6"/>
          </w:tcPr>
          <w:p w14:paraId="50CFE95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Ergoloid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mesylates (dehydrogenated ergot alkaloids)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Isoxsuprine</w:t>
            </w:r>
            <w:proofErr w:type="spellEnd"/>
          </w:p>
        </w:tc>
        <w:tc>
          <w:tcPr>
            <w:tcW w:w="1873" w:type="dxa"/>
          </w:tcPr>
          <w:p w14:paraId="5338C91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48645B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0.2 (2/852)</w:t>
            </w:r>
          </w:p>
        </w:tc>
      </w:tr>
      <w:tr w:rsidR="0074446E" w:rsidRPr="009F6AAA" w14:paraId="71E93EEB" w14:textId="77777777">
        <w:tc>
          <w:tcPr>
            <w:tcW w:w="5999" w:type="dxa"/>
            <w:gridSpan w:val="6"/>
          </w:tcPr>
          <w:p w14:paraId="4762897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Androgens </w:t>
            </w:r>
          </w:p>
          <w:p w14:paraId="2A406DC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Methyltestosterone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Testosterone</w:t>
            </w:r>
          </w:p>
        </w:tc>
        <w:tc>
          <w:tcPr>
            <w:tcW w:w="1873" w:type="dxa"/>
          </w:tcPr>
          <w:p w14:paraId="04C0331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 unless indicated for confirmed hypogonadism with clinical symptoms</w:t>
            </w:r>
          </w:p>
        </w:tc>
        <w:tc>
          <w:tcPr>
            <w:tcW w:w="1370" w:type="dxa"/>
          </w:tcPr>
          <w:p w14:paraId="5C743A3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D2CED3B" w14:textId="77777777">
        <w:tc>
          <w:tcPr>
            <w:tcW w:w="5999" w:type="dxa"/>
            <w:gridSpan w:val="6"/>
          </w:tcPr>
          <w:p w14:paraId="1C1FA46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Desiccated thyroid</w:t>
            </w:r>
          </w:p>
        </w:tc>
        <w:tc>
          <w:tcPr>
            <w:tcW w:w="1873" w:type="dxa"/>
          </w:tcPr>
          <w:p w14:paraId="04F2AD9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6CFAD0E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30A27B6C" w14:textId="77777777">
        <w:tc>
          <w:tcPr>
            <w:tcW w:w="5999" w:type="dxa"/>
            <w:gridSpan w:val="6"/>
          </w:tcPr>
          <w:p w14:paraId="6F95DD0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Estrogens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with or without progestins</w:t>
            </w:r>
          </w:p>
        </w:tc>
        <w:tc>
          <w:tcPr>
            <w:tcW w:w="1873" w:type="dxa"/>
          </w:tcPr>
          <w:p w14:paraId="634C50D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 oral and topical patch Vaginal cream or tablets: acceptable to use low-dose intravaginal estrogen for management of dyspareunia, lower urinary tract infections, and other vaginal symptoms</w:t>
            </w:r>
          </w:p>
        </w:tc>
        <w:tc>
          <w:tcPr>
            <w:tcW w:w="1370" w:type="dxa"/>
          </w:tcPr>
          <w:p w14:paraId="01C6547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2E03D6B" w14:textId="77777777">
        <w:tc>
          <w:tcPr>
            <w:tcW w:w="5999" w:type="dxa"/>
            <w:gridSpan w:val="6"/>
          </w:tcPr>
          <w:p w14:paraId="6465A83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Growth hormone</w:t>
            </w:r>
          </w:p>
        </w:tc>
        <w:tc>
          <w:tcPr>
            <w:tcW w:w="1873" w:type="dxa"/>
          </w:tcPr>
          <w:p w14:paraId="2AF234F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Avoid, except as hormone replacement after pituitary gland removal</w:t>
            </w:r>
          </w:p>
        </w:tc>
        <w:tc>
          <w:tcPr>
            <w:tcW w:w="1370" w:type="dxa"/>
          </w:tcPr>
          <w:p w14:paraId="28E7E24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7F7D5FAE" w14:textId="77777777">
        <w:tc>
          <w:tcPr>
            <w:tcW w:w="5999" w:type="dxa"/>
            <w:gridSpan w:val="6"/>
          </w:tcPr>
          <w:p w14:paraId="4FA10F3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Insulin, sliding scale</w:t>
            </w:r>
          </w:p>
        </w:tc>
        <w:tc>
          <w:tcPr>
            <w:tcW w:w="1873" w:type="dxa"/>
          </w:tcPr>
          <w:p w14:paraId="70D230B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AA38DA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3A30E081" w14:textId="77777777">
        <w:tc>
          <w:tcPr>
            <w:tcW w:w="5999" w:type="dxa"/>
            <w:gridSpan w:val="6"/>
          </w:tcPr>
          <w:p w14:paraId="07CCA2A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Megestrol</w:t>
            </w:r>
          </w:p>
        </w:tc>
        <w:tc>
          <w:tcPr>
            <w:tcW w:w="1873" w:type="dxa"/>
          </w:tcPr>
          <w:p w14:paraId="5087BD4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0274140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256A8D67" w14:textId="77777777">
        <w:tc>
          <w:tcPr>
            <w:tcW w:w="5999" w:type="dxa"/>
            <w:gridSpan w:val="6"/>
          </w:tcPr>
          <w:p w14:paraId="002182C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Sulfonylureas, long-duration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</w:p>
          <w:p w14:paraId="20A36CA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Chlorpropamide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Glyburide</w:t>
            </w:r>
          </w:p>
        </w:tc>
        <w:tc>
          <w:tcPr>
            <w:tcW w:w="1873" w:type="dxa"/>
          </w:tcPr>
          <w:p w14:paraId="388B2FE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EB8DFB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0.1 (1/852)</w:t>
            </w:r>
          </w:p>
        </w:tc>
      </w:tr>
      <w:tr w:rsidR="0074446E" w:rsidRPr="009F6AAA" w14:paraId="6AED3733" w14:textId="77777777">
        <w:tc>
          <w:tcPr>
            <w:tcW w:w="5999" w:type="dxa"/>
            <w:gridSpan w:val="6"/>
          </w:tcPr>
          <w:p w14:paraId="03BF64D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Metoclopramide</w:t>
            </w:r>
          </w:p>
        </w:tc>
        <w:tc>
          <w:tcPr>
            <w:tcW w:w="1873" w:type="dxa"/>
          </w:tcPr>
          <w:p w14:paraId="608B427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Avoid, unless for gastroparesis</w:t>
            </w:r>
          </w:p>
        </w:tc>
        <w:tc>
          <w:tcPr>
            <w:tcW w:w="1370" w:type="dxa"/>
          </w:tcPr>
          <w:p w14:paraId="5981FDA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165497D3" w14:textId="77777777">
        <w:tc>
          <w:tcPr>
            <w:tcW w:w="5999" w:type="dxa"/>
            <w:gridSpan w:val="6"/>
          </w:tcPr>
          <w:p w14:paraId="296B949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Mineral oil, given orally</w:t>
            </w:r>
          </w:p>
        </w:tc>
        <w:tc>
          <w:tcPr>
            <w:tcW w:w="1873" w:type="dxa"/>
          </w:tcPr>
          <w:p w14:paraId="1F2F4E0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74D123B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0FE527B8" w14:textId="77777777">
        <w:tc>
          <w:tcPr>
            <w:tcW w:w="5999" w:type="dxa"/>
            <w:gridSpan w:val="6"/>
          </w:tcPr>
          <w:p w14:paraId="465139D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Proton-pump inhibitors</w:t>
            </w:r>
          </w:p>
        </w:tc>
        <w:tc>
          <w:tcPr>
            <w:tcW w:w="1873" w:type="dxa"/>
          </w:tcPr>
          <w:p w14:paraId="3525C6A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 xml:space="preserve">Avoid scheduled use for &gt;8 weeks unless for high-risk patients (e.g., oral corticosteroids or </w:t>
            </w: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lastRenderedPageBreak/>
              <w:t>chronic NSAID use), erosive esophagitis, Barrett</w:t>
            </w: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’</w:t>
            </w: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s esophagitis, pathological hypersecretory condition, or demonstrated need for maintenance treatment (e.g., due to failure of drug discontinuation trial or H2 blockers)</w:t>
            </w:r>
          </w:p>
        </w:tc>
        <w:tc>
          <w:tcPr>
            <w:tcW w:w="1370" w:type="dxa"/>
          </w:tcPr>
          <w:p w14:paraId="0543AA3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lastRenderedPageBreak/>
              <w:t>32.4 (276/852)</w:t>
            </w:r>
          </w:p>
        </w:tc>
      </w:tr>
      <w:tr w:rsidR="0074446E" w:rsidRPr="009F6AAA" w14:paraId="5D6EE50A" w14:textId="77777777">
        <w:tc>
          <w:tcPr>
            <w:tcW w:w="5999" w:type="dxa"/>
            <w:gridSpan w:val="6"/>
          </w:tcPr>
          <w:p w14:paraId="6531725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Meperidine</w:t>
            </w:r>
          </w:p>
        </w:tc>
        <w:tc>
          <w:tcPr>
            <w:tcW w:w="1873" w:type="dxa"/>
          </w:tcPr>
          <w:p w14:paraId="34FD66A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Avoid, especially in individuals with chronic kidney disease</w:t>
            </w:r>
          </w:p>
        </w:tc>
        <w:tc>
          <w:tcPr>
            <w:tcW w:w="1370" w:type="dxa"/>
          </w:tcPr>
          <w:p w14:paraId="7857DAB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556AF377" w14:textId="77777777">
        <w:tc>
          <w:tcPr>
            <w:tcW w:w="5999" w:type="dxa"/>
            <w:gridSpan w:val="6"/>
          </w:tcPr>
          <w:p w14:paraId="025597F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Non-cyclooxygenase-selective NSAIDs, oral: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Aspirin &gt;325 mg/d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Diclofenac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Diflunisal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Etodolac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Fenoprofen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Ibuprofen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Ketoprofen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Meclofenamate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Mefenamic acid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Meloxicam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Nabumetone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Naproxen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Oxaprozin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Piroxicam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Sulindac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Tolmetin</w:t>
            </w:r>
          </w:p>
        </w:tc>
        <w:tc>
          <w:tcPr>
            <w:tcW w:w="1873" w:type="dxa"/>
          </w:tcPr>
          <w:p w14:paraId="28B37E5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 xml:space="preserve">Avoid chronic use, unless other alternatives are not </w:t>
            </w:r>
            <w:proofErr w:type="gramStart"/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effective</w:t>
            </w:r>
            <w:proofErr w:type="gramEnd"/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 xml:space="preserve"> and patient can take gastroprotective agent (proton- pump inhibitor or misoprostol)</w:t>
            </w:r>
          </w:p>
        </w:tc>
        <w:tc>
          <w:tcPr>
            <w:tcW w:w="1370" w:type="dxa"/>
          </w:tcPr>
          <w:p w14:paraId="09030F3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0.9 (8/852)</w:t>
            </w:r>
          </w:p>
        </w:tc>
      </w:tr>
      <w:tr w:rsidR="0074446E" w:rsidRPr="009F6AAA" w14:paraId="4817D3C6" w14:textId="77777777">
        <w:tc>
          <w:tcPr>
            <w:tcW w:w="5999" w:type="dxa"/>
            <w:gridSpan w:val="6"/>
          </w:tcPr>
          <w:p w14:paraId="030AF13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Indomethacin</w:t>
            </w:r>
          </w:p>
        </w:tc>
        <w:tc>
          <w:tcPr>
            <w:tcW w:w="1873" w:type="dxa"/>
          </w:tcPr>
          <w:p w14:paraId="55D40A9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2A8281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4AAD4929" w14:textId="77777777">
        <w:trPr>
          <w:trHeight w:val="90"/>
        </w:trPr>
        <w:tc>
          <w:tcPr>
            <w:tcW w:w="5999" w:type="dxa"/>
            <w:gridSpan w:val="6"/>
          </w:tcPr>
          <w:p w14:paraId="55243AB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Ketorolac, includes parenteral</w:t>
            </w:r>
          </w:p>
        </w:tc>
        <w:tc>
          <w:tcPr>
            <w:tcW w:w="1873" w:type="dxa"/>
          </w:tcPr>
          <w:p w14:paraId="69ECFB2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36D143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789C4843" w14:textId="77777777">
        <w:tc>
          <w:tcPr>
            <w:tcW w:w="5999" w:type="dxa"/>
            <w:gridSpan w:val="6"/>
          </w:tcPr>
          <w:p w14:paraId="74DC992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Pentazocine</w:t>
            </w:r>
          </w:p>
        </w:tc>
        <w:tc>
          <w:tcPr>
            <w:tcW w:w="1873" w:type="dxa"/>
          </w:tcPr>
          <w:p w14:paraId="4DECAFF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0C28143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4751480B" w14:textId="77777777">
        <w:tc>
          <w:tcPr>
            <w:tcW w:w="5999" w:type="dxa"/>
            <w:gridSpan w:val="6"/>
          </w:tcPr>
          <w:p w14:paraId="1E8D1AB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Skeletal muscle relaxants </w:t>
            </w:r>
          </w:p>
          <w:p w14:paraId="2646B95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Carisoprodol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Chlorzoxazone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Cyclobenzaprine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Metaxalone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Methocarbamol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Orphenadrine</w:t>
            </w:r>
          </w:p>
        </w:tc>
        <w:tc>
          <w:tcPr>
            <w:tcW w:w="1873" w:type="dxa"/>
          </w:tcPr>
          <w:p w14:paraId="024231A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07799B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2AFE3D4F" w14:textId="77777777">
        <w:tc>
          <w:tcPr>
            <w:tcW w:w="5999" w:type="dxa"/>
            <w:gridSpan w:val="6"/>
          </w:tcPr>
          <w:p w14:paraId="1445A5D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Desmopressin</w:t>
            </w:r>
          </w:p>
        </w:tc>
        <w:tc>
          <w:tcPr>
            <w:tcW w:w="1873" w:type="dxa"/>
          </w:tcPr>
          <w:p w14:paraId="4EF6F1E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 for treatment of nocturia or nocturnal polyuria</w:t>
            </w:r>
          </w:p>
        </w:tc>
        <w:tc>
          <w:tcPr>
            <w:tcW w:w="1370" w:type="dxa"/>
          </w:tcPr>
          <w:p w14:paraId="72AB26D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0FC74F86" w14:textId="77777777">
        <w:tc>
          <w:tcPr>
            <w:tcW w:w="9242" w:type="dxa"/>
            <w:gridSpan w:val="8"/>
          </w:tcPr>
          <w:p w14:paraId="7682B78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Potentially Inappropriate Medication Use in Older Adults Due to Drug</w:t>
            </w: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–</w:t>
            </w: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Disease or Drug</w:t>
            </w: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–</w:t>
            </w: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Syndrome Interactions That May Exacerbate the Disease or Syndrome</w:t>
            </w:r>
          </w:p>
        </w:tc>
      </w:tr>
      <w:tr w:rsidR="0074446E" w:rsidRPr="009F6AAA" w14:paraId="21CC7462" w14:textId="77777777">
        <w:tc>
          <w:tcPr>
            <w:tcW w:w="1348" w:type="dxa"/>
          </w:tcPr>
          <w:p w14:paraId="6C4271D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Disease or Syndrome</w:t>
            </w:r>
          </w:p>
        </w:tc>
        <w:tc>
          <w:tcPr>
            <w:tcW w:w="4651" w:type="dxa"/>
            <w:gridSpan w:val="5"/>
          </w:tcPr>
          <w:p w14:paraId="4C170F3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 xml:space="preserve"> Drug(s)</w:t>
            </w:r>
          </w:p>
        </w:tc>
        <w:tc>
          <w:tcPr>
            <w:tcW w:w="1873" w:type="dxa"/>
          </w:tcPr>
          <w:p w14:paraId="2BB07CF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Recommendation</w:t>
            </w:r>
          </w:p>
        </w:tc>
        <w:tc>
          <w:tcPr>
            <w:tcW w:w="1370" w:type="dxa"/>
          </w:tcPr>
          <w:p w14:paraId="2CB7C9FB" w14:textId="77777777" w:rsidR="0074446E" w:rsidRPr="009F6AAA" w:rsidRDefault="007444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zh-CN"/>
              </w:rPr>
            </w:pPr>
          </w:p>
        </w:tc>
      </w:tr>
      <w:tr w:rsidR="0074446E" w:rsidRPr="009F6AAA" w14:paraId="4C14862D" w14:textId="77777777">
        <w:tc>
          <w:tcPr>
            <w:tcW w:w="1348" w:type="dxa"/>
          </w:tcPr>
          <w:p w14:paraId="3B99910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Heart failure</w:t>
            </w:r>
          </w:p>
        </w:tc>
        <w:tc>
          <w:tcPr>
            <w:tcW w:w="4651" w:type="dxa"/>
            <w:gridSpan w:val="5"/>
          </w:tcPr>
          <w:p w14:paraId="0D5E2AB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NSAIDs and COX-2 inhibitors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Nondihydropyridine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CCBs (diltiazem, verapamil)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—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avoid only for heart failure with reduced ejection fraction Thiazolidinediones (pioglitazone, rosiglitazone) Cilostazol Dronedarone (severe or recently decompensated heart failure)</w:t>
            </w:r>
          </w:p>
        </w:tc>
        <w:tc>
          <w:tcPr>
            <w:tcW w:w="1873" w:type="dxa"/>
          </w:tcPr>
          <w:p w14:paraId="709A630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6DD629F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3.8 (32/852)</w:t>
            </w:r>
          </w:p>
        </w:tc>
      </w:tr>
      <w:tr w:rsidR="0074446E" w:rsidRPr="009F6AAA" w14:paraId="62B9403E" w14:textId="77777777">
        <w:tc>
          <w:tcPr>
            <w:tcW w:w="1348" w:type="dxa"/>
          </w:tcPr>
          <w:p w14:paraId="4A6C550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Syncope</w:t>
            </w:r>
          </w:p>
        </w:tc>
        <w:tc>
          <w:tcPr>
            <w:tcW w:w="4651" w:type="dxa"/>
            <w:gridSpan w:val="5"/>
          </w:tcPr>
          <w:p w14:paraId="3906978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AChEIs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</w:p>
          <w:p w14:paraId="4CEEFEE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Peripheral alpha-1 blockers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(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Doxazosin Prazosin Terazosin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)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</w:p>
          <w:p w14:paraId="07B622B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Tertiary TCAs </w:t>
            </w:r>
          </w:p>
          <w:p w14:paraId="715D7EF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Chlorpromazine </w:t>
            </w:r>
          </w:p>
          <w:p w14:paraId="2ADBEEE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Thioridazine </w:t>
            </w:r>
          </w:p>
          <w:p w14:paraId="5269818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Olanzapine</w:t>
            </w:r>
          </w:p>
        </w:tc>
        <w:tc>
          <w:tcPr>
            <w:tcW w:w="1873" w:type="dxa"/>
          </w:tcPr>
          <w:p w14:paraId="349A7E1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25E5249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0.1 (1/852)</w:t>
            </w:r>
          </w:p>
        </w:tc>
      </w:tr>
      <w:tr w:rsidR="0074446E" w:rsidRPr="009F6AAA" w14:paraId="793CF887" w14:textId="77777777">
        <w:tc>
          <w:tcPr>
            <w:tcW w:w="1348" w:type="dxa"/>
          </w:tcPr>
          <w:p w14:paraId="77E27BB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Chronic seizures or epilepsy</w:t>
            </w:r>
          </w:p>
        </w:tc>
        <w:tc>
          <w:tcPr>
            <w:tcW w:w="4651" w:type="dxa"/>
            <w:gridSpan w:val="5"/>
          </w:tcPr>
          <w:p w14:paraId="46B1ED1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Bupropion Chlorpromazine Clozapine Maprotiline Olanzapine Thioridazine Thiothixene Tramadol</w:t>
            </w:r>
          </w:p>
        </w:tc>
        <w:tc>
          <w:tcPr>
            <w:tcW w:w="1873" w:type="dxa"/>
          </w:tcPr>
          <w:p w14:paraId="32E210E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25B0586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798D2491" w14:textId="77777777">
        <w:tc>
          <w:tcPr>
            <w:tcW w:w="1348" w:type="dxa"/>
          </w:tcPr>
          <w:p w14:paraId="3317565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Delirium</w:t>
            </w:r>
          </w:p>
        </w:tc>
        <w:tc>
          <w:tcPr>
            <w:tcW w:w="4651" w:type="dxa"/>
            <w:gridSpan w:val="5"/>
          </w:tcPr>
          <w:p w14:paraId="2157444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Anticholinergics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Antipsychotics Benzodiazepines Chlorpromazine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Corticosteroidsa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</w:p>
          <w:p w14:paraId="2BE261D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lastRenderedPageBreak/>
              <w:t xml:space="preserve">H2-receptor antagonists 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(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Cimetidine Famotidine Nizatidine Ranitidine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)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</w:p>
          <w:p w14:paraId="26D0EC2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Meperidine </w:t>
            </w:r>
          </w:p>
          <w:p w14:paraId="38001C4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Sedative hypnotics</w:t>
            </w:r>
          </w:p>
        </w:tc>
        <w:tc>
          <w:tcPr>
            <w:tcW w:w="1873" w:type="dxa"/>
          </w:tcPr>
          <w:p w14:paraId="7749017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lastRenderedPageBreak/>
              <w:t>Avoid</w:t>
            </w:r>
          </w:p>
        </w:tc>
        <w:tc>
          <w:tcPr>
            <w:tcW w:w="1370" w:type="dxa"/>
          </w:tcPr>
          <w:p w14:paraId="46CB1FB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0.4 (3/852)</w:t>
            </w:r>
          </w:p>
        </w:tc>
      </w:tr>
      <w:tr w:rsidR="0074446E" w:rsidRPr="009F6AAA" w14:paraId="44D9BE68" w14:textId="77777777">
        <w:tc>
          <w:tcPr>
            <w:tcW w:w="1348" w:type="dxa"/>
          </w:tcPr>
          <w:p w14:paraId="36C0D48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Dementia or cognitive impairment</w:t>
            </w:r>
          </w:p>
        </w:tc>
        <w:tc>
          <w:tcPr>
            <w:tcW w:w="4651" w:type="dxa"/>
            <w:gridSpan w:val="5"/>
          </w:tcPr>
          <w:p w14:paraId="1EA4F5D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Anticholinergics </w:t>
            </w:r>
          </w:p>
          <w:p w14:paraId="3978DE1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Benzodiazepines </w:t>
            </w:r>
          </w:p>
          <w:p w14:paraId="6CEC60F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H2-receptor antagonists Nonbenzodiazepine, benzodiazepine receptor agonist hypnotics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(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Eszopiclone Zolpidem Zaleplon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)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</w:p>
          <w:p w14:paraId="4351747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Antipsychotics, chronic and as-needed use</w:t>
            </w:r>
          </w:p>
        </w:tc>
        <w:tc>
          <w:tcPr>
            <w:tcW w:w="1873" w:type="dxa"/>
          </w:tcPr>
          <w:p w14:paraId="26EE000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1383DD9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0.7 (6/852)</w:t>
            </w:r>
          </w:p>
        </w:tc>
      </w:tr>
      <w:tr w:rsidR="0074446E" w:rsidRPr="009F6AAA" w14:paraId="3FFC99A5" w14:textId="77777777">
        <w:tc>
          <w:tcPr>
            <w:tcW w:w="1348" w:type="dxa"/>
          </w:tcPr>
          <w:p w14:paraId="706A649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History of falls or fractures</w:t>
            </w:r>
          </w:p>
        </w:tc>
        <w:tc>
          <w:tcPr>
            <w:tcW w:w="4651" w:type="dxa"/>
            <w:gridSpan w:val="5"/>
          </w:tcPr>
          <w:p w14:paraId="3CA2A3C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Anticonvulsants Antipsychotics Benzodiazepines Nonbenzodiazepine, benzodiazepine receptor agonist hypnotics Eszopiclone Zaleplon Zolpidem TCAs SSRIs Opioids</w:t>
            </w:r>
          </w:p>
        </w:tc>
        <w:tc>
          <w:tcPr>
            <w:tcW w:w="1873" w:type="dxa"/>
          </w:tcPr>
          <w:p w14:paraId="4672649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 xml:space="preserve">Avoid unless safer alternatives are not available; avoid anticonvulsants except for seizure and mood disorders </w:t>
            </w:r>
          </w:p>
          <w:p w14:paraId="2D8A818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Opioids: avoid, excludes pain management due to recent fractures or joint replacement</w:t>
            </w:r>
          </w:p>
        </w:tc>
        <w:tc>
          <w:tcPr>
            <w:tcW w:w="1370" w:type="dxa"/>
          </w:tcPr>
          <w:p w14:paraId="3598BFA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1.1 (9/852)</w:t>
            </w:r>
          </w:p>
        </w:tc>
      </w:tr>
      <w:tr w:rsidR="0074446E" w:rsidRPr="009F6AAA" w14:paraId="5A79EB9F" w14:textId="77777777">
        <w:tc>
          <w:tcPr>
            <w:tcW w:w="1348" w:type="dxa"/>
          </w:tcPr>
          <w:p w14:paraId="589F291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Insomnia</w:t>
            </w:r>
          </w:p>
        </w:tc>
        <w:tc>
          <w:tcPr>
            <w:tcW w:w="4651" w:type="dxa"/>
            <w:gridSpan w:val="5"/>
          </w:tcPr>
          <w:p w14:paraId="6CF7D1C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Oral decongestants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(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Pseudoephedrine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/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Phenylephrine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)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</w:p>
          <w:p w14:paraId="7A38E17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Stimulants 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(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Amphetamine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Armodafinil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Methylphenidate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Modafinil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)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Theobromines 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(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Theophylline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Caffeine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)</w:t>
            </w:r>
          </w:p>
        </w:tc>
        <w:tc>
          <w:tcPr>
            <w:tcW w:w="1873" w:type="dxa"/>
          </w:tcPr>
          <w:p w14:paraId="732E886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5B334F6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0.2 (2/852)</w:t>
            </w:r>
          </w:p>
        </w:tc>
      </w:tr>
      <w:tr w:rsidR="0074446E" w:rsidRPr="009F6AAA" w14:paraId="08FDA868" w14:textId="77777777">
        <w:tc>
          <w:tcPr>
            <w:tcW w:w="1348" w:type="dxa"/>
          </w:tcPr>
          <w:p w14:paraId="12511E5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Parkinson disease</w:t>
            </w:r>
          </w:p>
        </w:tc>
        <w:tc>
          <w:tcPr>
            <w:tcW w:w="4651" w:type="dxa"/>
            <w:gridSpan w:val="5"/>
          </w:tcPr>
          <w:p w14:paraId="4D0682F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All antipsychotics (except aripiprazole, quetiapine, clozapine) </w:t>
            </w:r>
          </w:p>
          <w:p w14:paraId="0DDB2BE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Antiemetics 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(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Metoclopramide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Prochlorperazine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Promethazine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)</w:t>
            </w:r>
          </w:p>
        </w:tc>
        <w:tc>
          <w:tcPr>
            <w:tcW w:w="1873" w:type="dxa"/>
          </w:tcPr>
          <w:p w14:paraId="2C2F0AA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23B8F0E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0.2 (2/852)</w:t>
            </w:r>
          </w:p>
        </w:tc>
      </w:tr>
      <w:tr w:rsidR="0074446E" w:rsidRPr="009F6AAA" w14:paraId="308DDBAC" w14:textId="77777777">
        <w:tc>
          <w:tcPr>
            <w:tcW w:w="1348" w:type="dxa"/>
          </w:tcPr>
          <w:p w14:paraId="063247E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History of gastric or duodenal ulcers</w:t>
            </w:r>
          </w:p>
        </w:tc>
        <w:tc>
          <w:tcPr>
            <w:tcW w:w="4651" w:type="dxa"/>
            <w:gridSpan w:val="5"/>
          </w:tcPr>
          <w:p w14:paraId="51FCD2D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Aspirin (&gt;325 mg/d) </w:t>
            </w:r>
          </w:p>
          <w:p w14:paraId="6B305F5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Non-COX-2 selective NSAIDs</w:t>
            </w:r>
          </w:p>
        </w:tc>
        <w:tc>
          <w:tcPr>
            <w:tcW w:w="1873" w:type="dxa"/>
          </w:tcPr>
          <w:p w14:paraId="39C7388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sz w:val="18"/>
                <w:szCs w:val="18"/>
                <w:lang w:val="en-US" w:eastAsia="zh-CN"/>
              </w:rPr>
              <w:t>Avoid unless other alternatives are not effective and patient can take gastroprotective agent (i.e., proton-pump inhibitor or misoprostol)</w:t>
            </w:r>
          </w:p>
        </w:tc>
        <w:tc>
          <w:tcPr>
            <w:tcW w:w="1370" w:type="dxa"/>
          </w:tcPr>
          <w:p w14:paraId="2AD10A8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E9D6F29" w14:textId="77777777">
        <w:tc>
          <w:tcPr>
            <w:tcW w:w="1348" w:type="dxa"/>
          </w:tcPr>
          <w:p w14:paraId="4D312E4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Chronic kidney disease Stages IV or less (creatinine clearance &lt;30 mL/min)</w:t>
            </w:r>
          </w:p>
        </w:tc>
        <w:tc>
          <w:tcPr>
            <w:tcW w:w="4651" w:type="dxa"/>
            <w:gridSpan w:val="5"/>
          </w:tcPr>
          <w:p w14:paraId="72C916A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NSAIDs (non-COX and COX-selective, oral and parenteral)</w:t>
            </w:r>
          </w:p>
        </w:tc>
        <w:tc>
          <w:tcPr>
            <w:tcW w:w="1873" w:type="dxa"/>
          </w:tcPr>
          <w:p w14:paraId="2776319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7C589D7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0.9 (8/852)</w:t>
            </w:r>
          </w:p>
        </w:tc>
      </w:tr>
      <w:tr w:rsidR="0074446E" w:rsidRPr="009F6AAA" w14:paraId="61B1A8E6" w14:textId="77777777">
        <w:tc>
          <w:tcPr>
            <w:tcW w:w="1348" w:type="dxa"/>
          </w:tcPr>
          <w:p w14:paraId="28BE7A3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Urinary incontinence (all types) in women</w:t>
            </w:r>
          </w:p>
        </w:tc>
        <w:tc>
          <w:tcPr>
            <w:tcW w:w="4651" w:type="dxa"/>
            <w:gridSpan w:val="5"/>
          </w:tcPr>
          <w:p w14:paraId="2E62A53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Estrogen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oral and transdermal (excludes intravaginal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estrogen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) </w:t>
            </w:r>
          </w:p>
          <w:p w14:paraId="1968C25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Peripheral alpha-1 blockers 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(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Doxazosin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Prazosin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/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Terazosin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)</w:t>
            </w:r>
          </w:p>
        </w:tc>
        <w:tc>
          <w:tcPr>
            <w:tcW w:w="1873" w:type="dxa"/>
          </w:tcPr>
          <w:p w14:paraId="62F34BA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 in women</w:t>
            </w:r>
          </w:p>
        </w:tc>
        <w:tc>
          <w:tcPr>
            <w:tcW w:w="1370" w:type="dxa"/>
          </w:tcPr>
          <w:p w14:paraId="2AAA48A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85A3AA1" w14:textId="77777777">
        <w:tc>
          <w:tcPr>
            <w:tcW w:w="1348" w:type="dxa"/>
          </w:tcPr>
          <w:p w14:paraId="77A959E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Lower urinary tract symptoms, benign prostatic hyperplasia</w:t>
            </w:r>
          </w:p>
        </w:tc>
        <w:tc>
          <w:tcPr>
            <w:tcW w:w="4651" w:type="dxa"/>
            <w:gridSpan w:val="5"/>
          </w:tcPr>
          <w:p w14:paraId="36EB687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Strongly anticholinergic drugs, except antimuscarinics for urinary incontinence</w:t>
            </w:r>
          </w:p>
        </w:tc>
        <w:tc>
          <w:tcPr>
            <w:tcW w:w="1873" w:type="dxa"/>
          </w:tcPr>
          <w:p w14:paraId="0013337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 in men</w:t>
            </w:r>
          </w:p>
        </w:tc>
        <w:tc>
          <w:tcPr>
            <w:tcW w:w="1370" w:type="dxa"/>
          </w:tcPr>
          <w:p w14:paraId="7BAAF3D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0.8 (7/852)</w:t>
            </w:r>
          </w:p>
        </w:tc>
      </w:tr>
      <w:tr w:rsidR="0074446E" w:rsidRPr="009F6AAA" w14:paraId="77145D0C" w14:textId="77777777">
        <w:tc>
          <w:tcPr>
            <w:tcW w:w="9242" w:type="dxa"/>
            <w:gridSpan w:val="8"/>
          </w:tcPr>
          <w:p w14:paraId="688815C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lastRenderedPageBreak/>
              <w:t>Potentially Inappropriate Medications to Be Used</w:t>
            </w:r>
          </w:p>
          <w:p w14:paraId="47B7F3E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with Caution in Older Adults</w:t>
            </w:r>
          </w:p>
        </w:tc>
      </w:tr>
      <w:tr w:rsidR="0074446E" w:rsidRPr="009F6AAA" w14:paraId="3387E3B1" w14:textId="77777777">
        <w:tc>
          <w:tcPr>
            <w:tcW w:w="4165" w:type="dxa"/>
            <w:gridSpan w:val="4"/>
          </w:tcPr>
          <w:p w14:paraId="634292C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Drug(s)</w:t>
            </w:r>
          </w:p>
        </w:tc>
        <w:tc>
          <w:tcPr>
            <w:tcW w:w="3707" w:type="dxa"/>
            <w:gridSpan w:val="3"/>
          </w:tcPr>
          <w:p w14:paraId="0C062BE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Recommendation</w:t>
            </w:r>
          </w:p>
        </w:tc>
        <w:tc>
          <w:tcPr>
            <w:tcW w:w="1370" w:type="dxa"/>
          </w:tcPr>
          <w:p w14:paraId="63CFBCB9" w14:textId="77777777" w:rsidR="0074446E" w:rsidRPr="009F6AAA" w:rsidRDefault="007444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</w:p>
        </w:tc>
      </w:tr>
      <w:tr w:rsidR="0074446E" w:rsidRPr="009F6AAA" w14:paraId="7F764451" w14:textId="77777777">
        <w:trPr>
          <w:trHeight w:val="498"/>
        </w:trPr>
        <w:tc>
          <w:tcPr>
            <w:tcW w:w="4165" w:type="dxa"/>
            <w:gridSpan w:val="4"/>
          </w:tcPr>
          <w:p w14:paraId="7F36D90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Aspirin for primary prevention of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cardiac events</w:t>
            </w:r>
          </w:p>
        </w:tc>
        <w:tc>
          <w:tcPr>
            <w:tcW w:w="3707" w:type="dxa"/>
            <w:gridSpan w:val="3"/>
          </w:tcPr>
          <w:p w14:paraId="76302E8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Use with caution in adults aged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80</w:t>
            </w:r>
          </w:p>
        </w:tc>
        <w:tc>
          <w:tcPr>
            <w:tcW w:w="1370" w:type="dxa"/>
          </w:tcPr>
          <w:p w14:paraId="3175637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4.3 (37/852)</w:t>
            </w:r>
          </w:p>
        </w:tc>
      </w:tr>
      <w:tr w:rsidR="0074446E" w:rsidRPr="009F6AAA" w14:paraId="50582528" w14:textId="77777777">
        <w:tc>
          <w:tcPr>
            <w:tcW w:w="4165" w:type="dxa"/>
            <w:gridSpan w:val="4"/>
          </w:tcPr>
          <w:p w14:paraId="7727C11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Dabigatran</w:t>
            </w:r>
          </w:p>
        </w:tc>
        <w:tc>
          <w:tcPr>
            <w:tcW w:w="3707" w:type="dxa"/>
            <w:gridSpan w:val="3"/>
          </w:tcPr>
          <w:p w14:paraId="4B26D43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Use with caution in in adults aged</w:t>
            </w:r>
          </w:p>
          <w:p w14:paraId="2BA8F60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75 and in patients with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CrCl</w:t>
            </w:r>
            <w:proofErr w:type="spellEnd"/>
          </w:p>
          <w:p w14:paraId="0BF2A05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&lt;30 mL/min</w:t>
            </w:r>
          </w:p>
        </w:tc>
        <w:tc>
          <w:tcPr>
            <w:tcW w:w="1370" w:type="dxa"/>
          </w:tcPr>
          <w:p w14:paraId="75FEF05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0.9 (8/852)</w:t>
            </w:r>
          </w:p>
        </w:tc>
      </w:tr>
      <w:tr w:rsidR="0074446E" w:rsidRPr="009F6AAA" w14:paraId="74F57DC6" w14:textId="77777777">
        <w:tc>
          <w:tcPr>
            <w:tcW w:w="4165" w:type="dxa"/>
            <w:gridSpan w:val="4"/>
          </w:tcPr>
          <w:p w14:paraId="609655A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Prasugrel</w:t>
            </w:r>
          </w:p>
        </w:tc>
        <w:tc>
          <w:tcPr>
            <w:tcW w:w="3707" w:type="dxa"/>
            <w:gridSpan w:val="3"/>
          </w:tcPr>
          <w:p w14:paraId="0260FDF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Use with caution in adults aged</w:t>
            </w:r>
          </w:p>
          <w:p w14:paraId="5DFC218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75</w:t>
            </w:r>
          </w:p>
        </w:tc>
        <w:tc>
          <w:tcPr>
            <w:tcW w:w="1370" w:type="dxa"/>
          </w:tcPr>
          <w:p w14:paraId="2C9F43B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7A29F82F" w14:textId="77777777">
        <w:tc>
          <w:tcPr>
            <w:tcW w:w="4165" w:type="dxa"/>
            <w:gridSpan w:val="4"/>
          </w:tcPr>
          <w:p w14:paraId="08E6FAE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Antipsychotics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Diuretics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Carbamazepine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Carboplatin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Cyclophosphamide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Cisplatin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Mirtazapine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Oxcarbazepine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SNRIs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SSRIs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TCAs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Vincristine</w:t>
            </w:r>
          </w:p>
        </w:tc>
        <w:tc>
          <w:tcPr>
            <w:tcW w:w="3707" w:type="dxa"/>
            <w:gridSpan w:val="3"/>
          </w:tcPr>
          <w:p w14:paraId="2034785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Use with caution</w:t>
            </w:r>
          </w:p>
        </w:tc>
        <w:tc>
          <w:tcPr>
            <w:tcW w:w="1370" w:type="dxa"/>
          </w:tcPr>
          <w:p w14:paraId="17FA58B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31.7 (270/852)</w:t>
            </w:r>
          </w:p>
        </w:tc>
      </w:tr>
      <w:tr w:rsidR="0074446E" w:rsidRPr="009F6AAA" w14:paraId="1F9D900C" w14:textId="77777777">
        <w:tc>
          <w:tcPr>
            <w:tcW w:w="4165" w:type="dxa"/>
            <w:gridSpan w:val="4"/>
          </w:tcPr>
          <w:p w14:paraId="37231A8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Vasodilators</w:t>
            </w:r>
          </w:p>
        </w:tc>
        <w:tc>
          <w:tcPr>
            <w:tcW w:w="3707" w:type="dxa"/>
            <w:gridSpan w:val="3"/>
          </w:tcPr>
          <w:p w14:paraId="58BCDBB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Use with caution</w:t>
            </w:r>
          </w:p>
        </w:tc>
        <w:tc>
          <w:tcPr>
            <w:tcW w:w="1370" w:type="dxa"/>
          </w:tcPr>
          <w:p w14:paraId="6047052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65.5 (558/852)</w:t>
            </w:r>
          </w:p>
        </w:tc>
      </w:tr>
      <w:tr w:rsidR="0074446E" w:rsidRPr="009F6AAA" w14:paraId="531EDDFF" w14:textId="77777777">
        <w:tc>
          <w:tcPr>
            <w:tcW w:w="9242" w:type="dxa"/>
            <w:gridSpan w:val="8"/>
          </w:tcPr>
          <w:p w14:paraId="7AABDEE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Potentially Clinically Important Non-Anti-infective</w:t>
            </w:r>
          </w:p>
          <w:p w14:paraId="2E92DC6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Drug</w:t>
            </w: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–</w:t>
            </w: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Drug Interactions That Should Be Avoided in Older Adults</w:t>
            </w:r>
          </w:p>
        </w:tc>
      </w:tr>
      <w:tr w:rsidR="0074446E" w:rsidRPr="009F6AAA" w14:paraId="7EC4D863" w14:textId="77777777">
        <w:tc>
          <w:tcPr>
            <w:tcW w:w="1990" w:type="dxa"/>
            <w:gridSpan w:val="2"/>
          </w:tcPr>
          <w:p w14:paraId="6237536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Object Drug and</w:t>
            </w:r>
          </w:p>
          <w:p w14:paraId="7F87997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Class</w:t>
            </w:r>
          </w:p>
        </w:tc>
        <w:tc>
          <w:tcPr>
            <w:tcW w:w="2175" w:type="dxa"/>
            <w:gridSpan w:val="2"/>
          </w:tcPr>
          <w:p w14:paraId="10175E8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Interacting Drug</w:t>
            </w:r>
          </w:p>
          <w:p w14:paraId="6B91EA8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and Class</w:t>
            </w:r>
          </w:p>
        </w:tc>
        <w:tc>
          <w:tcPr>
            <w:tcW w:w="3707" w:type="dxa"/>
            <w:gridSpan w:val="3"/>
          </w:tcPr>
          <w:p w14:paraId="57E04C6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Recommendation</w:t>
            </w:r>
          </w:p>
        </w:tc>
        <w:tc>
          <w:tcPr>
            <w:tcW w:w="1370" w:type="dxa"/>
          </w:tcPr>
          <w:p w14:paraId="52E037AD" w14:textId="77777777" w:rsidR="0074446E" w:rsidRPr="009F6AAA" w:rsidRDefault="007444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</w:p>
        </w:tc>
      </w:tr>
      <w:tr w:rsidR="0074446E" w:rsidRPr="009F6AAA" w14:paraId="69F81895" w14:textId="77777777">
        <w:tc>
          <w:tcPr>
            <w:tcW w:w="1990" w:type="dxa"/>
            <w:gridSpan w:val="2"/>
          </w:tcPr>
          <w:p w14:paraId="60AE476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ACEIs</w:t>
            </w:r>
          </w:p>
        </w:tc>
        <w:tc>
          <w:tcPr>
            <w:tcW w:w="2175" w:type="dxa"/>
            <w:gridSpan w:val="2"/>
          </w:tcPr>
          <w:p w14:paraId="18F6E50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Amiloride or</w:t>
            </w:r>
          </w:p>
          <w:p w14:paraId="52BC515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triamterene</w:t>
            </w:r>
          </w:p>
        </w:tc>
        <w:tc>
          <w:tcPr>
            <w:tcW w:w="3707" w:type="dxa"/>
            <w:gridSpan w:val="3"/>
          </w:tcPr>
          <w:p w14:paraId="1D89921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Avoid routine use; </w:t>
            </w:r>
          </w:p>
          <w:p w14:paraId="41B605C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reserve for</w:t>
            </w:r>
          </w:p>
          <w:p w14:paraId="7F09389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patients with demonstrated</w:t>
            </w:r>
          </w:p>
          <w:p w14:paraId="1FCD4F7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hypokalemia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while taking an ACEI</w:t>
            </w:r>
          </w:p>
        </w:tc>
        <w:tc>
          <w:tcPr>
            <w:tcW w:w="1370" w:type="dxa"/>
          </w:tcPr>
          <w:p w14:paraId="226DD10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FFC8124" w14:textId="77777777">
        <w:tc>
          <w:tcPr>
            <w:tcW w:w="1990" w:type="dxa"/>
            <w:gridSpan w:val="2"/>
          </w:tcPr>
          <w:p w14:paraId="6DD40AA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Anticholinergic</w:t>
            </w:r>
          </w:p>
        </w:tc>
        <w:tc>
          <w:tcPr>
            <w:tcW w:w="2175" w:type="dxa"/>
            <w:gridSpan w:val="2"/>
          </w:tcPr>
          <w:p w14:paraId="7AAAAD6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Anticholinergic</w:t>
            </w:r>
          </w:p>
        </w:tc>
        <w:tc>
          <w:tcPr>
            <w:tcW w:w="3707" w:type="dxa"/>
            <w:gridSpan w:val="3"/>
          </w:tcPr>
          <w:p w14:paraId="00CAE30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Avoid, minimize number of</w:t>
            </w:r>
          </w:p>
          <w:p w14:paraId="0273FCE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anticholinergic drugs</w:t>
            </w:r>
          </w:p>
        </w:tc>
        <w:tc>
          <w:tcPr>
            <w:tcW w:w="1370" w:type="dxa"/>
          </w:tcPr>
          <w:p w14:paraId="36B8F0D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115DCF51" w14:textId="77777777">
        <w:tc>
          <w:tcPr>
            <w:tcW w:w="1990" w:type="dxa"/>
            <w:gridSpan w:val="2"/>
          </w:tcPr>
          <w:p w14:paraId="44F33E8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Antidepressants (i.e.,</w:t>
            </w:r>
          </w:p>
          <w:p w14:paraId="42B2DC5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TCAs and SSRIs)</w:t>
            </w:r>
          </w:p>
        </w:tc>
        <w:tc>
          <w:tcPr>
            <w:tcW w:w="2175" w:type="dxa"/>
            <w:gridSpan w:val="2"/>
          </w:tcPr>
          <w:p w14:paraId="62BCF0B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2 other CNS-active</w:t>
            </w:r>
          </w:p>
          <w:p w14:paraId="056C86C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drugs</w:t>
            </w:r>
          </w:p>
        </w:tc>
        <w:tc>
          <w:tcPr>
            <w:tcW w:w="3707" w:type="dxa"/>
            <w:gridSpan w:val="3"/>
          </w:tcPr>
          <w:p w14:paraId="2F7AA33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Avoid total of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3 CNS-active</w:t>
            </w:r>
          </w:p>
          <w:p w14:paraId="0ED4F7B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drugs; minimize number of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CNSactive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drugs</w:t>
            </w:r>
          </w:p>
        </w:tc>
        <w:tc>
          <w:tcPr>
            <w:tcW w:w="1370" w:type="dxa"/>
          </w:tcPr>
          <w:p w14:paraId="1B2FBC7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0.5 (4/852)</w:t>
            </w:r>
          </w:p>
        </w:tc>
      </w:tr>
      <w:tr w:rsidR="0074446E" w:rsidRPr="009F6AAA" w14:paraId="765DD8C9" w14:textId="77777777">
        <w:tc>
          <w:tcPr>
            <w:tcW w:w="1990" w:type="dxa"/>
            <w:gridSpan w:val="2"/>
          </w:tcPr>
          <w:p w14:paraId="56E6FEB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Antipsychotics</w:t>
            </w:r>
          </w:p>
        </w:tc>
        <w:tc>
          <w:tcPr>
            <w:tcW w:w="2175" w:type="dxa"/>
            <w:gridSpan w:val="2"/>
          </w:tcPr>
          <w:p w14:paraId="76C767D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2 other CNS-active</w:t>
            </w:r>
          </w:p>
          <w:p w14:paraId="5AE83C8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drugs</w:t>
            </w:r>
          </w:p>
        </w:tc>
        <w:tc>
          <w:tcPr>
            <w:tcW w:w="3707" w:type="dxa"/>
            <w:gridSpan w:val="3"/>
          </w:tcPr>
          <w:p w14:paraId="1A6736E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Avoid total of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3 CNS-active</w:t>
            </w:r>
          </w:p>
          <w:p w14:paraId="04B1FB5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d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rugs; minimize number of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CNSactive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drugs</w:t>
            </w:r>
          </w:p>
        </w:tc>
        <w:tc>
          <w:tcPr>
            <w:tcW w:w="1370" w:type="dxa"/>
          </w:tcPr>
          <w:p w14:paraId="3B02D2C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0.1 (1/852)</w:t>
            </w:r>
          </w:p>
        </w:tc>
      </w:tr>
      <w:tr w:rsidR="0074446E" w:rsidRPr="009F6AAA" w14:paraId="66B50607" w14:textId="77777777">
        <w:tc>
          <w:tcPr>
            <w:tcW w:w="1990" w:type="dxa"/>
            <w:gridSpan w:val="2"/>
          </w:tcPr>
          <w:p w14:paraId="6F583B8E" w14:textId="39D6DB32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Benzodiazepines and</w:t>
            </w:r>
            <w:r w:rsidR="00181F57" w:rsidRPr="009F6AAA">
              <w:rPr>
                <w:rFonts w:ascii="Times New Roman" w:hAnsi="Times New Roman" w:cs="Times New Roman" w:hint="eastAsia"/>
                <w:lang w:val="en-IE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nonbenzodiazepine,</w:t>
            </w:r>
            <w:r w:rsidR="00181F57" w:rsidRPr="009F6AAA">
              <w:rPr>
                <w:rFonts w:ascii="Times New Roman" w:hAnsi="Times New Roman" w:cs="Times New Roman" w:hint="eastAsia"/>
                <w:lang w:val="en-IE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benzodiazepine receptor</w:t>
            </w:r>
            <w:r w:rsidR="00181F57" w:rsidRPr="009F6AAA">
              <w:rPr>
                <w:rFonts w:ascii="Times New Roman" w:hAnsi="Times New Roman" w:cs="Times New Roman" w:hint="eastAsia"/>
                <w:lang w:val="en-IE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agonist hypnotics</w:t>
            </w:r>
          </w:p>
        </w:tc>
        <w:tc>
          <w:tcPr>
            <w:tcW w:w="2175" w:type="dxa"/>
            <w:gridSpan w:val="2"/>
          </w:tcPr>
          <w:p w14:paraId="26F1B2A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2 other CNS-active</w:t>
            </w:r>
          </w:p>
          <w:p w14:paraId="21601C2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drugs</w:t>
            </w:r>
          </w:p>
        </w:tc>
        <w:tc>
          <w:tcPr>
            <w:tcW w:w="3707" w:type="dxa"/>
            <w:gridSpan w:val="3"/>
          </w:tcPr>
          <w:p w14:paraId="7F25737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Avoid total of 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3 CNS-active</w:t>
            </w:r>
          </w:p>
          <w:p w14:paraId="5ACC626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drugs; minimize number of </w:t>
            </w:r>
            <w:proofErr w:type="spellStart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CNSactive</w:t>
            </w:r>
            <w:proofErr w:type="spell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drugs</w:t>
            </w:r>
          </w:p>
        </w:tc>
        <w:tc>
          <w:tcPr>
            <w:tcW w:w="1370" w:type="dxa"/>
          </w:tcPr>
          <w:p w14:paraId="6DE78A6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0.1 (1/852)</w:t>
            </w:r>
          </w:p>
        </w:tc>
      </w:tr>
      <w:tr w:rsidR="0074446E" w:rsidRPr="009F6AAA" w14:paraId="61781105" w14:textId="77777777">
        <w:tc>
          <w:tcPr>
            <w:tcW w:w="1990" w:type="dxa"/>
            <w:gridSpan w:val="2"/>
          </w:tcPr>
          <w:p w14:paraId="49B5235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Corticosteroids, oral or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parenteral</w:t>
            </w:r>
          </w:p>
        </w:tc>
        <w:tc>
          <w:tcPr>
            <w:tcW w:w="2175" w:type="dxa"/>
            <w:gridSpan w:val="2"/>
          </w:tcPr>
          <w:p w14:paraId="451AAB6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NSAIDs</w:t>
            </w:r>
          </w:p>
        </w:tc>
        <w:tc>
          <w:tcPr>
            <w:tcW w:w="3707" w:type="dxa"/>
            <w:gridSpan w:val="3"/>
          </w:tcPr>
          <w:p w14:paraId="2B2EA1F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Avoid; if not possible, provide</w:t>
            </w:r>
          </w:p>
          <w:p w14:paraId="3707DA1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gastrointestinal protection</w:t>
            </w:r>
          </w:p>
        </w:tc>
        <w:tc>
          <w:tcPr>
            <w:tcW w:w="1370" w:type="dxa"/>
          </w:tcPr>
          <w:p w14:paraId="4345A28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1.4 (12/852)</w:t>
            </w:r>
          </w:p>
        </w:tc>
      </w:tr>
      <w:tr w:rsidR="0074446E" w:rsidRPr="009F6AAA" w14:paraId="1D446AA3" w14:textId="77777777">
        <w:tc>
          <w:tcPr>
            <w:tcW w:w="1990" w:type="dxa"/>
            <w:gridSpan w:val="2"/>
          </w:tcPr>
          <w:p w14:paraId="5631C4B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Lithium</w:t>
            </w:r>
          </w:p>
        </w:tc>
        <w:tc>
          <w:tcPr>
            <w:tcW w:w="2175" w:type="dxa"/>
            <w:gridSpan w:val="2"/>
          </w:tcPr>
          <w:p w14:paraId="4E54301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ACEIs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 </w:t>
            </w:r>
          </w:p>
          <w:p w14:paraId="0EC4CDA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Loop diuretics</w:t>
            </w:r>
          </w:p>
        </w:tc>
        <w:tc>
          <w:tcPr>
            <w:tcW w:w="3707" w:type="dxa"/>
            <w:gridSpan w:val="3"/>
          </w:tcPr>
          <w:p w14:paraId="2F11379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Avoid, monitor lithium</w:t>
            </w:r>
          </w:p>
          <w:p w14:paraId="428F364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concentrations</w:t>
            </w:r>
          </w:p>
        </w:tc>
        <w:tc>
          <w:tcPr>
            <w:tcW w:w="1370" w:type="dxa"/>
          </w:tcPr>
          <w:p w14:paraId="0B2172F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538BC575" w14:textId="77777777">
        <w:tc>
          <w:tcPr>
            <w:tcW w:w="1990" w:type="dxa"/>
            <w:gridSpan w:val="2"/>
          </w:tcPr>
          <w:p w14:paraId="64BBC12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Opioid receptor agonist</w:t>
            </w:r>
          </w:p>
          <w:p w14:paraId="11EF1D5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analgesics</w:t>
            </w:r>
          </w:p>
        </w:tc>
        <w:tc>
          <w:tcPr>
            <w:tcW w:w="2175" w:type="dxa"/>
            <w:gridSpan w:val="2"/>
          </w:tcPr>
          <w:p w14:paraId="1D45505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2 other CNS-active</w:t>
            </w:r>
          </w:p>
          <w:p w14:paraId="0728339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drugs</w:t>
            </w:r>
          </w:p>
        </w:tc>
        <w:tc>
          <w:tcPr>
            <w:tcW w:w="3707" w:type="dxa"/>
            <w:gridSpan w:val="3"/>
          </w:tcPr>
          <w:p w14:paraId="2C4FBF6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Avoid total of 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≥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3 CNS-active</w:t>
            </w:r>
          </w:p>
          <w:p w14:paraId="0A6DEDC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drugs; minimize number of CNS</w:t>
            </w:r>
          </w:p>
          <w:p w14:paraId="36483A6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drugs</w:t>
            </w:r>
          </w:p>
        </w:tc>
        <w:tc>
          <w:tcPr>
            <w:tcW w:w="1370" w:type="dxa"/>
          </w:tcPr>
          <w:p w14:paraId="0BF510A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6DCCA4B" w14:textId="77777777">
        <w:tc>
          <w:tcPr>
            <w:tcW w:w="1990" w:type="dxa"/>
            <w:gridSpan w:val="2"/>
          </w:tcPr>
          <w:p w14:paraId="3422F29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Peripheral Alpha-1</w:t>
            </w:r>
          </w:p>
          <w:p w14:paraId="3BC189E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blockers</w:t>
            </w:r>
          </w:p>
        </w:tc>
        <w:tc>
          <w:tcPr>
            <w:tcW w:w="2175" w:type="dxa"/>
            <w:gridSpan w:val="2"/>
          </w:tcPr>
          <w:p w14:paraId="0AD5721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Loop diuretics</w:t>
            </w:r>
          </w:p>
        </w:tc>
        <w:tc>
          <w:tcPr>
            <w:tcW w:w="3707" w:type="dxa"/>
            <w:gridSpan w:val="3"/>
          </w:tcPr>
          <w:p w14:paraId="39859A4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 in older women, unless</w:t>
            </w:r>
          </w:p>
          <w:p w14:paraId="557CF7D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conditions warrant both drugs</w:t>
            </w:r>
          </w:p>
        </w:tc>
        <w:tc>
          <w:tcPr>
            <w:tcW w:w="1370" w:type="dxa"/>
          </w:tcPr>
          <w:p w14:paraId="363D406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0.8 (7/852)</w:t>
            </w:r>
          </w:p>
        </w:tc>
      </w:tr>
      <w:tr w:rsidR="0074446E" w:rsidRPr="009F6AAA" w14:paraId="13EA70E5" w14:textId="77777777">
        <w:tc>
          <w:tcPr>
            <w:tcW w:w="1990" w:type="dxa"/>
            <w:gridSpan w:val="2"/>
          </w:tcPr>
          <w:p w14:paraId="3F498A6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Theophylline</w:t>
            </w:r>
          </w:p>
        </w:tc>
        <w:tc>
          <w:tcPr>
            <w:tcW w:w="2175" w:type="dxa"/>
            <w:gridSpan w:val="2"/>
          </w:tcPr>
          <w:p w14:paraId="034F14C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Cimetidine</w:t>
            </w:r>
          </w:p>
        </w:tc>
        <w:tc>
          <w:tcPr>
            <w:tcW w:w="3707" w:type="dxa"/>
            <w:gridSpan w:val="3"/>
          </w:tcPr>
          <w:p w14:paraId="0BDD69E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83427D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4D47C16E" w14:textId="77777777">
        <w:tc>
          <w:tcPr>
            <w:tcW w:w="1990" w:type="dxa"/>
            <w:gridSpan w:val="2"/>
          </w:tcPr>
          <w:p w14:paraId="23F9B20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Warfarin</w:t>
            </w:r>
          </w:p>
        </w:tc>
        <w:tc>
          <w:tcPr>
            <w:tcW w:w="2175" w:type="dxa"/>
            <w:gridSpan w:val="2"/>
          </w:tcPr>
          <w:p w14:paraId="3D303A5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Amiodarone</w:t>
            </w:r>
          </w:p>
        </w:tc>
        <w:tc>
          <w:tcPr>
            <w:tcW w:w="3707" w:type="dxa"/>
            <w:gridSpan w:val="3"/>
          </w:tcPr>
          <w:p w14:paraId="7E3A2BF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Avoid when </w:t>
            </w:r>
            <w:proofErr w:type="gramStart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possible;</w:t>
            </w:r>
            <w:proofErr w:type="gram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monitor</w:t>
            </w:r>
          </w:p>
          <w:p w14:paraId="18B563D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international normalized ratio</w:t>
            </w:r>
          </w:p>
          <w:p w14:paraId="01C4297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closely</w:t>
            </w:r>
          </w:p>
        </w:tc>
        <w:tc>
          <w:tcPr>
            <w:tcW w:w="1370" w:type="dxa"/>
          </w:tcPr>
          <w:p w14:paraId="5D77857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0.5 (4/852)</w:t>
            </w:r>
          </w:p>
        </w:tc>
      </w:tr>
      <w:tr w:rsidR="0074446E" w:rsidRPr="009F6AAA" w14:paraId="402232D4" w14:textId="77777777">
        <w:tc>
          <w:tcPr>
            <w:tcW w:w="1990" w:type="dxa"/>
            <w:gridSpan w:val="2"/>
          </w:tcPr>
          <w:p w14:paraId="54D4875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Warfarin</w:t>
            </w:r>
          </w:p>
        </w:tc>
        <w:tc>
          <w:tcPr>
            <w:tcW w:w="2175" w:type="dxa"/>
            <w:gridSpan w:val="2"/>
          </w:tcPr>
          <w:p w14:paraId="785890B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NSAIDs</w:t>
            </w:r>
          </w:p>
        </w:tc>
        <w:tc>
          <w:tcPr>
            <w:tcW w:w="3707" w:type="dxa"/>
            <w:gridSpan w:val="3"/>
          </w:tcPr>
          <w:p w14:paraId="78B45ED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Avoid when </w:t>
            </w:r>
            <w:proofErr w:type="gramStart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possible;</w:t>
            </w:r>
            <w:proofErr w:type="gramEnd"/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 xml:space="preserve"> if used</w:t>
            </w:r>
          </w:p>
          <w:p w14:paraId="3AA8793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together, monitor for bleeding</w:t>
            </w:r>
          </w:p>
          <w:p w14:paraId="6C3FE61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lastRenderedPageBreak/>
              <w:t>closely</w:t>
            </w:r>
          </w:p>
        </w:tc>
        <w:tc>
          <w:tcPr>
            <w:tcW w:w="1370" w:type="dxa"/>
          </w:tcPr>
          <w:p w14:paraId="6A6BAEE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lastRenderedPageBreak/>
              <w:t>1.5 (13/852)</w:t>
            </w:r>
          </w:p>
        </w:tc>
      </w:tr>
      <w:tr w:rsidR="0074446E" w:rsidRPr="009F6AAA" w14:paraId="16E79895" w14:textId="77777777">
        <w:tc>
          <w:tcPr>
            <w:tcW w:w="9242" w:type="dxa"/>
            <w:gridSpan w:val="8"/>
          </w:tcPr>
          <w:p w14:paraId="7B04D77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lang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Non-Anti-Infective Medications That Should Be</w:t>
            </w:r>
          </w:p>
          <w:p w14:paraId="03CAD20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color w:val="333333"/>
                <w:sz w:val="24"/>
                <w:szCs w:val="24"/>
                <w:lang w:eastAsia="en-GB"/>
              </w:rPr>
              <w:t>Avoided or Have Their Dosage Reduced with Varying Levels of Kidney Function in Older Adults</w:t>
            </w:r>
          </w:p>
        </w:tc>
      </w:tr>
      <w:tr w:rsidR="0074446E" w:rsidRPr="009F6AAA" w14:paraId="3ADBDD3D" w14:textId="77777777">
        <w:tc>
          <w:tcPr>
            <w:tcW w:w="2624" w:type="dxa"/>
            <w:gridSpan w:val="3"/>
          </w:tcPr>
          <w:p w14:paraId="4DD5374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Medication</w:t>
            </w:r>
          </w:p>
        </w:tc>
        <w:tc>
          <w:tcPr>
            <w:tcW w:w="2624" w:type="dxa"/>
            <w:gridSpan w:val="2"/>
          </w:tcPr>
          <w:p w14:paraId="07B6DD5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Creatinine Clearance,</w:t>
            </w:r>
          </w:p>
          <w:p w14:paraId="0D5602B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mL/min, at Which</w:t>
            </w:r>
          </w:p>
          <w:p w14:paraId="37B2CB1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Action Required</w:t>
            </w:r>
          </w:p>
        </w:tc>
        <w:tc>
          <w:tcPr>
            <w:tcW w:w="2624" w:type="dxa"/>
            <w:gridSpan w:val="2"/>
          </w:tcPr>
          <w:p w14:paraId="6127374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b/>
                <w:bCs/>
                <w:lang w:val="en-IE" w:eastAsia="en-GB"/>
              </w:rPr>
              <w:t>Recommendation</w:t>
            </w:r>
          </w:p>
        </w:tc>
        <w:tc>
          <w:tcPr>
            <w:tcW w:w="1370" w:type="dxa"/>
          </w:tcPr>
          <w:p w14:paraId="3880A8E3" w14:textId="77777777" w:rsidR="0074446E" w:rsidRPr="009F6AAA" w:rsidRDefault="007444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</w:p>
        </w:tc>
      </w:tr>
      <w:tr w:rsidR="0074446E" w:rsidRPr="009F6AAA" w14:paraId="76BFD389" w14:textId="77777777">
        <w:tc>
          <w:tcPr>
            <w:tcW w:w="2624" w:type="dxa"/>
            <w:gridSpan w:val="3"/>
          </w:tcPr>
          <w:p w14:paraId="1FC33FA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Amiloride</w:t>
            </w:r>
          </w:p>
        </w:tc>
        <w:tc>
          <w:tcPr>
            <w:tcW w:w="2624" w:type="dxa"/>
            <w:gridSpan w:val="2"/>
          </w:tcPr>
          <w:p w14:paraId="206DE95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&lt;30</w:t>
            </w:r>
          </w:p>
        </w:tc>
        <w:tc>
          <w:tcPr>
            <w:tcW w:w="2624" w:type="dxa"/>
            <w:gridSpan w:val="2"/>
          </w:tcPr>
          <w:p w14:paraId="339DC29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Avoid</w:t>
            </w:r>
          </w:p>
        </w:tc>
        <w:tc>
          <w:tcPr>
            <w:tcW w:w="1370" w:type="dxa"/>
          </w:tcPr>
          <w:p w14:paraId="463EEAB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357BB929" w14:textId="77777777">
        <w:tc>
          <w:tcPr>
            <w:tcW w:w="2624" w:type="dxa"/>
            <w:gridSpan w:val="3"/>
          </w:tcPr>
          <w:p w14:paraId="3823132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Apixaban</w:t>
            </w:r>
          </w:p>
        </w:tc>
        <w:tc>
          <w:tcPr>
            <w:tcW w:w="2624" w:type="dxa"/>
            <w:gridSpan w:val="2"/>
          </w:tcPr>
          <w:p w14:paraId="34A3681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&lt;25</w:t>
            </w:r>
          </w:p>
        </w:tc>
        <w:tc>
          <w:tcPr>
            <w:tcW w:w="2624" w:type="dxa"/>
            <w:gridSpan w:val="2"/>
          </w:tcPr>
          <w:p w14:paraId="7BDDCDF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Avoid</w:t>
            </w:r>
          </w:p>
        </w:tc>
        <w:tc>
          <w:tcPr>
            <w:tcW w:w="1370" w:type="dxa"/>
          </w:tcPr>
          <w:p w14:paraId="0732733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7C800AC9" w14:textId="77777777">
        <w:tc>
          <w:tcPr>
            <w:tcW w:w="2624" w:type="dxa"/>
            <w:gridSpan w:val="3"/>
          </w:tcPr>
          <w:p w14:paraId="667B371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Dabigatran</w:t>
            </w:r>
          </w:p>
        </w:tc>
        <w:tc>
          <w:tcPr>
            <w:tcW w:w="2624" w:type="dxa"/>
            <w:gridSpan w:val="2"/>
          </w:tcPr>
          <w:p w14:paraId="1FFDDF2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&lt;30</w:t>
            </w:r>
          </w:p>
        </w:tc>
        <w:tc>
          <w:tcPr>
            <w:tcW w:w="2624" w:type="dxa"/>
            <w:gridSpan w:val="2"/>
          </w:tcPr>
          <w:p w14:paraId="6966949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Avoid</w:t>
            </w:r>
          </w:p>
        </w:tc>
        <w:tc>
          <w:tcPr>
            <w:tcW w:w="1370" w:type="dxa"/>
          </w:tcPr>
          <w:p w14:paraId="1F5E376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0.1 (1/852)</w:t>
            </w:r>
          </w:p>
        </w:tc>
      </w:tr>
      <w:tr w:rsidR="0074446E" w:rsidRPr="009F6AAA" w14:paraId="2B3BB999" w14:textId="77777777">
        <w:tc>
          <w:tcPr>
            <w:tcW w:w="2624" w:type="dxa"/>
            <w:gridSpan w:val="3"/>
          </w:tcPr>
          <w:p w14:paraId="572AACD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proofErr w:type="spellStart"/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Edoxaban</w:t>
            </w:r>
            <w:proofErr w:type="spellEnd"/>
          </w:p>
        </w:tc>
        <w:tc>
          <w:tcPr>
            <w:tcW w:w="2624" w:type="dxa"/>
            <w:gridSpan w:val="2"/>
          </w:tcPr>
          <w:p w14:paraId="1B359CA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30-50</w:t>
            </w:r>
          </w:p>
          <w:p w14:paraId="72C6B53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/>
                <w:lang w:val="en-US" w:eastAsia="zh-CN"/>
              </w:rPr>
              <w:t>&lt;30 or &gt;95</w:t>
            </w:r>
          </w:p>
        </w:tc>
        <w:tc>
          <w:tcPr>
            <w:tcW w:w="2624" w:type="dxa"/>
            <w:gridSpan w:val="2"/>
          </w:tcPr>
          <w:p w14:paraId="4C23BC7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  <w:p w14:paraId="1201792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5D91537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F670B38" w14:textId="77777777">
        <w:tc>
          <w:tcPr>
            <w:tcW w:w="2624" w:type="dxa"/>
            <w:gridSpan w:val="3"/>
          </w:tcPr>
          <w:p w14:paraId="2D4BF35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Enoxaparin</w:t>
            </w:r>
          </w:p>
        </w:tc>
        <w:tc>
          <w:tcPr>
            <w:tcW w:w="2624" w:type="dxa"/>
            <w:gridSpan w:val="2"/>
          </w:tcPr>
          <w:p w14:paraId="55C3BC8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&lt;30</w:t>
            </w:r>
          </w:p>
        </w:tc>
        <w:tc>
          <w:tcPr>
            <w:tcW w:w="2624" w:type="dxa"/>
            <w:gridSpan w:val="2"/>
          </w:tcPr>
          <w:p w14:paraId="51256CE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</w:tc>
        <w:tc>
          <w:tcPr>
            <w:tcW w:w="1370" w:type="dxa"/>
          </w:tcPr>
          <w:p w14:paraId="23CFA12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30256017" w14:textId="77777777">
        <w:tc>
          <w:tcPr>
            <w:tcW w:w="2624" w:type="dxa"/>
            <w:gridSpan w:val="3"/>
          </w:tcPr>
          <w:p w14:paraId="5F26554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Fondaparinux</w:t>
            </w:r>
          </w:p>
        </w:tc>
        <w:tc>
          <w:tcPr>
            <w:tcW w:w="2624" w:type="dxa"/>
            <w:gridSpan w:val="2"/>
          </w:tcPr>
          <w:p w14:paraId="5CA39C2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&lt;30</w:t>
            </w:r>
          </w:p>
        </w:tc>
        <w:tc>
          <w:tcPr>
            <w:tcW w:w="2624" w:type="dxa"/>
            <w:gridSpan w:val="2"/>
          </w:tcPr>
          <w:p w14:paraId="0BAB5A7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7B970B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49DB0CF6" w14:textId="77777777">
        <w:tc>
          <w:tcPr>
            <w:tcW w:w="2624" w:type="dxa"/>
            <w:gridSpan w:val="3"/>
          </w:tcPr>
          <w:p w14:paraId="24E41CC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Rivaroxaban</w:t>
            </w:r>
          </w:p>
        </w:tc>
        <w:tc>
          <w:tcPr>
            <w:tcW w:w="2624" w:type="dxa"/>
            <w:gridSpan w:val="2"/>
          </w:tcPr>
          <w:p w14:paraId="5E30267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30-50</w:t>
            </w:r>
          </w:p>
          <w:p w14:paraId="7840F4A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&lt;30</w:t>
            </w:r>
          </w:p>
        </w:tc>
        <w:tc>
          <w:tcPr>
            <w:tcW w:w="2624" w:type="dxa"/>
            <w:gridSpan w:val="2"/>
          </w:tcPr>
          <w:p w14:paraId="6EF69EC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  <w:p w14:paraId="063733A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0EC5806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0.5 (4/852)</w:t>
            </w:r>
          </w:p>
        </w:tc>
      </w:tr>
      <w:tr w:rsidR="0074446E" w:rsidRPr="009F6AAA" w14:paraId="7EA6F738" w14:textId="77777777">
        <w:tc>
          <w:tcPr>
            <w:tcW w:w="2624" w:type="dxa"/>
            <w:gridSpan w:val="3"/>
          </w:tcPr>
          <w:p w14:paraId="738D1FA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Spironolactone</w:t>
            </w:r>
          </w:p>
        </w:tc>
        <w:tc>
          <w:tcPr>
            <w:tcW w:w="2624" w:type="dxa"/>
            <w:gridSpan w:val="2"/>
          </w:tcPr>
          <w:p w14:paraId="0803D47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&lt;30</w:t>
            </w:r>
          </w:p>
        </w:tc>
        <w:tc>
          <w:tcPr>
            <w:tcW w:w="2624" w:type="dxa"/>
            <w:gridSpan w:val="2"/>
          </w:tcPr>
          <w:p w14:paraId="15FA6C5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31B054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1.3 (11/852)</w:t>
            </w:r>
          </w:p>
        </w:tc>
      </w:tr>
      <w:tr w:rsidR="0074446E" w:rsidRPr="009F6AAA" w14:paraId="25F5C47A" w14:textId="77777777">
        <w:tc>
          <w:tcPr>
            <w:tcW w:w="2624" w:type="dxa"/>
            <w:gridSpan w:val="3"/>
          </w:tcPr>
          <w:p w14:paraId="66670B8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Triamterene</w:t>
            </w:r>
          </w:p>
        </w:tc>
        <w:tc>
          <w:tcPr>
            <w:tcW w:w="2624" w:type="dxa"/>
            <w:gridSpan w:val="2"/>
          </w:tcPr>
          <w:p w14:paraId="1A32921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&lt;30</w:t>
            </w:r>
          </w:p>
        </w:tc>
        <w:tc>
          <w:tcPr>
            <w:tcW w:w="2624" w:type="dxa"/>
            <w:gridSpan w:val="2"/>
          </w:tcPr>
          <w:p w14:paraId="211A3CF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06A2933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32F9991A" w14:textId="77777777">
        <w:tc>
          <w:tcPr>
            <w:tcW w:w="2624" w:type="dxa"/>
            <w:gridSpan w:val="3"/>
          </w:tcPr>
          <w:p w14:paraId="607F319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Duloxetine</w:t>
            </w:r>
          </w:p>
        </w:tc>
        <w:tc>
          <w:tcPr>
            <w:tcW w:w="2624" w:type="dxa"/>
            <w:gridSpan w:val="2"/>
          </w:tcPr>
          <w:p w14:paraId="0A9E73A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&lt;30</w:t>
            </w:r>
          </w:p>
        </w:tc>
        <w:tc>
          <w:tcPr>
            <w:tcW w:w="2624" w:type="dxa"/>
            <w:gridSpan w:val="2"/>
          </w:tcPr>
          <w:p w14:paraId="7BC89D6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5A4C0F7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7FF8F6B1" w14:textId="77777777">
        <w:tc>
          <w:tcPr>
            <w:tcW w:w="2624" w:type="dxa"/>
            <w:gridSpan w:val="3"/>
          </w:tcPr>
          <w:p w14:paraId="2C734A9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Gabapentin</w:t>
            </w:r>
          </w:p>
        </w:tc>
        <w:tc>
          <w:tcPr>
            <w:tcW w:w="2624" w:type="dxa"/>
            <w:gridSpan w:val="2"/>
          </w:tcPr>
          <w:p w14:paraId="5E0276D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6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0</w:t>
            </w:r>
          </w:p>
        </w:tc>
        <w:tc>
          <w:tcPr>
            <w:tcW w:w="2624" w:type="dxa"/>
            <w:gridSpan w:val="2"/>
          </w:tcPr>
          <w:p w14:paraId="1F97434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</w:tc>
        <w:tc>
          <w:tcPr>
            <w:tcW w:w="1370" w:type="dxa"/>
          </w:tcPr>
          <w:p w14:paraId="08FD7ED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0.6 (5/852)</w:t>
            </w:r>
          </w:p>
        </w:tc>
      </w:tr>
      <w:tr w:rsidR="0074446E" w:rsidRPr="009F6AAA" w14:paraId="64E71B31" w14:textId="77777777">
        <w:tc>
          <w:tcPr>
            <w:tcW w:w="2624" w:type="dxa"/>
            <w:gridSpan w:val="3"/>
          </w:tcPr>
          <w:p w14:paraId="0D1CE1A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Levetiracetam</w:t>
            </w:r>
          </w:p>
        </w:tc>
        <w:tc>
          <w:tcPr>
            <w:tcW w:w="2624" w:type="dxa"/>
            <w:gridSpan w:val="2"/>
          </w:tcPr>
          <w:p w14:paraId="2809BF8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≤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80</w:t>
            </w:r>
          </w:p>
        </w:tc>
        <w:tc>
          <w:tcPr>
            <w:tcW w:w="2624" w:type="dxa"/>
            <w:gridSpan w:val="2"/>
          </w:tcPr>
          <w:p w14:paraId="19055B3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</w:tc>
        <w:tc>
          <w:tcPr>
            <w:tcW w:w="1370" w:type="dxa"/>
          </w:tcPr>
          <w:p w14:paraId="7D87FC4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0.4 (3/852)</w:t>
            </w:r>
          </w:p>
        </w:tc>
      </w:tr>
      <w:tr w:rsidR="0074446E" w:rsidRPr="009F6AAA" w14:paraId="7B329A14" w14:textId="77777777">
        <w:tc>
          <w:tcPr>
            <w:tcW w:w="2624" w:type="dxa"/>
            <w:gridSpan w:val="3"/>
          </w:tcPr>
          <w:p w14:paraId="110B258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Pregabalin</w:t>
            </w:r>
          </w:p>
        </w:tc>
        <w:tc>
          <w:tcPr>
            <w:tcW w:w="2624" w:type="dxa"/>
            <w:gridSpan w:val="2"/>
          </w:tcPr>
          <w:p w14:paraId="73AAA59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6</w:t>
            </w: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0</w:t>
            </w:r>
          </w:p>
        </w:tc>
        <w:tc>
          <w:tcPr>
            <w:tcW w:w="2624" w:type="dxa"/>
            <w:gridSpan w:val="2"/>
          </w:tcPr>
          <w:p w14:paraId="74A0A3D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</w:tc>
        <w:tc>
          <w:tcPr>
            <w:tcW w:w="1370" w:type="dxa"/>
          </w:tcPr>
          <w:p w14:paraId="51BA82A3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3E5BB1DF" w14:textId="77777777">
        <w:tc>
          <w:tcPr>
            <w:tcW w:w="2624" w:type="dxa"/>
            <w:gridSpan w:val="3"/>
          </w:tcPr>
          <w:p w14:paraId="5F4DDC9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Tramadol</w:t>
            </w:r>
          </w:p>
        </w:tc>
        <w:tc>
          <w:tcPr>
            <w:tcW w:w="2624" w:type="dxa"/>
            <w:gridSpan w:val="2"/>
          </w:tcPr>
          <w:p w14:paraId="49135E5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&lt;30</w:t>
            </w:r>
          </w:p>
        </w:tc>
        <w:tc>
          <w:tcPr>
            <w:tcW w:w="2624" w:type="dxa"/>
            <w:gridSpan w:val="2"/>
          </w:tcPr>
          <w:p w14:paraId="0717549A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 xml:space="preserve"> Immediate release: reduce</w:t>
            </w:r>
          </w:p>
          <w:p w14:paraId="25154A6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dose</w:t>
            </w:r>
          </w:p>
          <w:p w14:paraId="3CD301B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Extended release: avoid</w:t>
            </w:r>
          </w:p>
        </w:tc>
        <w:tc>
          <w:tcPr>
            <w:tcW w:w="1370" w:type="dxa"/>
          </w:tcPr>
          <w:p w14:paraId="05F5B63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0.1 (1/852)</w:t>
            </w:r>
          </w:p>
        </w:tc>
      </w:tr>
      <w:tr w:rsidR="0074446E" w:rsidRPr="009F6AAA" w14:paraId="2F89C22E" w14:textId="77777777">
        <w:tc>
          <w:tcPr>
            <w:tcW w:w="2624" w:type="dxa"/>
            <w:gridSpan w:val="3"/>
          </w:tcPr>
          <w:p w14:paraId="5EC38EB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Cimetidine</w:t>
            </w:r>
          </w:p>
        </w:tc>
        <w:tc>
          <w:tcPr>
            <w:tcW w:w="2624" w:type="dxa"/>
            <w:gridSpan w:val="2"/>
          </w:tcPr>
          <w:p w14:paraId="0F466F4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50</w:t>
            </w:r>
          </w:p>
        </w:tc>
        <w:tc>
          <w:tcPr>
            <w:tcW w:w="2624" w:type="dxa"/>
            <w:gridSpan w:val="2"/>
          </w:tcPr>
          <w:p w14:paraId="1C28A3A2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</w:tc>
        <w:tc>
          <w:tcPr>
            <w:tcW w:w="1370" w:type="dxa"/>
          </w:tcPr>
          <w:p w14:paraId="5E1A3C57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2047027" w14:textId="77777777">
        <w:tc>
          <w:tcPr>
            <w:tcW w:w="2624" w:type="dxa"/>
            <w:gridSpan w:val="3"/>
          </w:tcPr>
          <w:p w14:paraId="52EB19C1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Famotidine</w:t>
            </w:r>
          </w:p>
        </w:tc>
        <w:tc>
          <w:tcPr>
            <w:tcW w:w="2624" w:type="dxa"/>
            <w:gridSpan w:val="2"/>
          </w:tcPr>
          <w:p w14:paraId="2047E00D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50</w:t>
            </w:r>
          </w:p>
        </w:tc>
        <w:tc>
          <w:tcPr>
            <w:tcW w:w="2624" w:type="dxa"/>
            <w:gridSpan w:val="2"/>
          </w:tcPr>
          <w:p w14:paraId="006B0B86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</w:tc>
        <w:tc>
          <w:tcPr>
            <w:tcW w:w="1370" w:type="dxa"/>
          </w:tcPr>
          <w:p w14:paraId="25A5BB0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0.8 (7/852)</w:t>
            </w:r>
          </w:p>
        </w:tc>
      </w:tr>
      <w:tr w:rsidR="0074446E" w:rsidRPr="009F6AAA" w14:paraId="3A91AD5F" w14:textId="77777777">
        <w:tc>
          <w:tcPr>
            <w:tcW w:w="2624" w:type="dxa"/>
            <w:gridSpan w:val="3"/>
          </w:tcPr>
          <w:p w14:paraId="5F4F7C7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Nizatidine</w:t>
            </w:r>
          </w:p>
        </w:tc>
        <w:tc>
          <w:tcPr>
            <w:tcW w:w="2624" w:type="dxa"/>
            <w:gridSpan w:val="2"/>
          </w:tcPr>
          <w:p w14:paraId="0767DAB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50</w:t>
            </w:r>
          </w:p>
        </w:tc>
        <w:tc>
          <w:tcPr>
            <w:tcW w:w="2624" w:type="dxa"/>
            <w:gridSpan w:val="2"/>
          </w:tcPr>
          <w:p w14:paraId="363EA2B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</w:tc>
        <w:tc>
          <w:tcPr>
            <w:tcW w:w="1370" w:type="dxa"/>
          </w:tcPr>
          <w:p w14:paraId="1BF5AA44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574C24E8" w14:textId="77777777">
        <w:tc>
          <w:tcPr>
            <w:tcW w:w="2624" w:type="dxa"/>
            <w:gridSpan w:val="3"/>
          </w:tcPr>
          <w:p w14:paraId="01B4F7F9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Ranitidine</w:t>
            </w:r>
          </w:p>
        </w:tc>
        <w:tc>
          <w:tcPr>
            <w:tcW w:w="2624" w:type="dxa"/>
            <w:gridSpan w:val="2"/>
          </w:tcPr>
          <w:p w14:paraId="1699B27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</w:t>
            </w: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50</w:t>
            </w:r>
          </w:p>
        </w:tc>
        <w:tc>
          <w:tcPr>
            <w:tcW w:w="2624" w:type="dxa"/>
            <w:gridSpan w:val="2"/>
          </w:tcPr>
          <w:p w14:paraId="21617DF8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</w:t>
            </w:r>
          </w:p>
        </w:tc>
        <w:tc>
          <w:tcPr>
            <w:tcW w:w="1370" w:type="dxa"/>
          </w:tcPr>
          <w:p w14:paraId="342A56AE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:rsidRPr="009F6AAA" w14:paraId="62593FD9" w14:textId="77777777">
        <w:tc>
          <w:tcPr>
            <w:tcW w:w="2624" w:type="dxa"/>
            <w:gridSpan w:val="3"/>
          </w:tcPr>
          <w:p w14:paraId="1F30AE00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Colchicine</w:t>
            </w:r>
          </w:p>
        </w:tc>
        <w:tc>
          <w:tcPr>
            <w:tcW w:w="2624" w:type="dxa"/>
            <w:gridSpan w:val="2"/>
          </w:tcPr>
          <w:p w14:paraId="2990080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&lt;30</w:t>
            </w:r>
          </w:p>
        </w:tc>
        <w:tc>
          <w:tcPr>
            <w:tcW w:w="2624" w:type="dxa"/>
            <w:gridSpan w:val="2"/>
          </w:tcPr>
          <w:p w14:paraId="15918A3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Reduce dose; monitor for</w:t>
            </w:r>
          </w:p>
          <w:p w14:paraId="0B70B30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adverse effects</w:t>
            </w:r>
          </w:p>
        </w:tc>
        <w:tc>
          <w:tcPr>
            <w:tcW w:w="1370" w:type="dxa"/>
          </w:tcPr>
          <w:p w14:paraId="7D91EDB5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  <w:tr w:rsidR="0074446E" w14:paraId="66B07E95" w14:textId="77777777">
        <w:tc>
          <w:tcPr>
            <w:tcW w:w="2624" w:type="dxa"/>
            <w:gridSpan w:val="3"/>
          </w:tcPr>
          <w:p w14:paraId="14F354DB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IE" w:eastAsia="en-GB"/>
              </w:rPr>
              <w:t>Probenecid</w:t>
            </w:r>
          </w:p>
        </w:tc>
        <w:tc>
          <w:tcPr>
            <w:tcW w:w="2624" w:type="dxa"/>
            <w:gridSpan w:val="2"/>
          </w:tcPr>
          <w:p w14:paraId="560B140C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&lt;30</w:t>
            </w:r>
          </w:p>
        </w:tc>
        <w:tc>
          <w:tcPr>
            <w:tcW w:w="2624" w:type="dxa"/>
            <w:gridSpan w:val="2"/>
          </w:tcPr>
          <w:p w14:paraId="020CFCEF" w14:textId="77777777" w:rsidR="0074446E" w:rsidRPr="009F6AAA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IE" w:eastAsia="en-GB"/>
              </w:rPr>
            </w:pPr>
            <w:r w:rsidRPr="009F6AAA">
              <w:rPr>
                <w:rFonts w:ascii="Times New Roman" w:hAnsi="Times New Roman" w:cs="Times New Roman"/>
                <w:lang w:val="en-US" w:eastAsia="zh-CN"/>
              </w:rPr>
              <w:t>Avoid</w:t>
            </w:r>
          </w:p>
        </w:tc>
        <w:tc>
          <w:tcPr>
            <w:tcW w:w="1370" w:type="dxa"/>
          </w:tcPr>
          <w:p w14:paraId="475017DE" w14:textId="77777777" w:rsidR="0074446E" w:rsidRDefault="003C505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9F6AAA">
              <w:rPr>
                <w:rFonts w:ascii="Times New Roman" w:hAnsi="Times New Roman" w:cs="Times New Roman" w:hint="eastAsia"/>
                <w:lang w:val="en-US" w:eastAsia="zh-CN"/>
              </w:rPr>
              <w:t>0</w:t>
            </w:r>
          </w:p>
        </w:tc>
      </w:tr>
    </w:tbl>
    <w:p w14:paraId="1BF5104B" w14:textId="77777777" w:rsidR="0074446E" w:rsidRDefault="0074446E">
      <w:pPr>
        <w:rPr>
          <w:rFonts w:ascii="Times New Roman" w:hAnsi="Times New Roman" w:cs="Times New Roman"/>
          <w:lang w:val="en-IE" w:eastAsia="en-GB"/>
        </w:rPr>
      </w:pPr>
    </w:p>
    <w:sectPr w:rsidR="0074446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1B48E" w14:textId="77777777" w:rsidR="004F5806" w:rsidRDefault="004F5806">
      <w:pPr>
        <w:spacing w:line="240" w:lineRule="auto"/>
      </w:pPr>
      <w:r>
        <w:separator/>
      </w:r>
    </w:p>
  </w:endnote>
  <w:endnote w:type="continuationSeparator" w:id="0">
    <w:p w14:paraId="00F42EE4" w14:textId="77777777" w:rsidR="004F5806" w:rsidRDefault="004F58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8A079" w14:textId="77777777" w:rsidR="0074446E" w:rsidRDefault="003C5051">
    <w:pPr>
      <w:pStyle w:val="a7"/>
      <w:framePr w:wrap="auto" w:vAnchor="text" w:hAnchor="margin" w:xAlign="right" w:y="1"/>
      <w:rPr>
        <w:rStyle w:val="ae"/>
        <w:rFonts w:cs="Calibri"/>
      </w:rPr>
    </w:pPr>
    <w:r>
      <w:rPr>
        <w:rStyle w:val="ae"/>
        <w:rFonts w:cs="Calibri"/>
      </w:rPr>
      <w:fldChar w:fldCharType="begin"/>
    </w:r>
    <w:r>
      <w:rPr>
        <w:rStyle w:val="ae"/>
        <w:rFonts w:cs="Calibri"/>
      </w:rPr>
      <w:instrText xml:space="preserve">PAGE  </w:instrText>
    </w:r>
    <w:r>
      <w:rPr>
        <w:rStyle w:val="ae"/>
        <w:rFonts w:cs="Calibri"/>
      </w:rPr>
      <w:fldChar w:fldCharType="separate"/>
    </w:r>
    <w:r>
      <w:rPr>
        <w:rStyle w:val="ae"/>
        <w:rFonts w:cs="Calibri"/>
      </w:rPr>
      <w:t>42</w:t>
    </w:r>
    <w:r>
      <w:rPr>
        <w:rStyle w:val="ae"/>
        <w:rFonts w:cs="Calibri"/>
      </w:rPr>
      <w:fldChar w:fldCharType="end"/>
    </w:r>
  </w:p>
  <w:p w14:paraId="5CC12FE1" w14:textId="77777777" w:rsidR="0074446E" w:rsidRDefault="0074446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92AD4" w14:textId="77777777" w:rsidR="004F5806" w:rsidRDefault="004F5806">
      <w:pPr>
        <w:spacing w:after="0"/>
      </w:pPr>
      <w:r>
        <w:separator/>
      </w:r>
    </w:p>
  </w:footnote>
  <w:footnote w:type="continuationSeparator" w:id="0">
    <w:p w14:paraId="4BB0AE2B" w14:textId="77777777" w:rsidR="004F5806" w:rsidRDefault="004F580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embedSystemFonts/>
  <w:bordersDoNotSurroundHeader/>
  <w:bordersDoNotSurroundFooter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0F3CEDD2-4788-4F96-98BB-E7EBFB68B898}"/>
  </w:docVars>
  <w:rsids>
    <w:rsidRoot w:val="00B50ABD"/>
    <w:rsid w:val="000040C1"/>
    <w:rsid w:val="00004C47"/>
    <w:rsid w:val="00007CCB"/>
    <w:rsid w:val="00012E77"/>
    <w:rsid w:val="00017325"/>
    <w:rsid w:val="000200E1"/>
    <w:rsid w:val="0002191C"/>
    <w:rsid w:val="00021AF1"/>
    <w:rsid w:val="00023D6D"/>
    <w:rsid w:val="00023E2D"/>
    <w:rsid w:val="00024C94"/>
    <w:rsid w:val="000274C8"/>
    <w:rsid w:val="0002790F"/>
    <w:rsid w:val="00043AFF"/>
    <w:rsid w:val="00045EE6"/>
    <w:rsid w:val="00046D77"/>
    <w:rsid w:val="00047BF5"/>
    <w:rsid w:val="00054CEB"/>
    <w:rsid w:val="00057506"/>
    <w:rsid w:val="000609EE"/>
    <w:rsid w:val="0006182C"/>
    <w:rsid w:val="00061ED4"/>
    <w:rsid w:val="00062D70"/>
    <w:rsid w:val="00064A48"/>
    <w:rsid w:val="00071E21"/>
    <w:rsid w:val="0007505B"/>
    <w:rsid w:val="000802C2"/>
    <w:rsid w:val="0008091C"/>
    <w:rsid w:val="000877BA"/>
    <w:rsid w:val="0009008A"/>
    <w:rsid w:val="0009152B"/>
    <w:rsid w:val="00095BBA"/>
    <w:rsid w:val="00095E34"/>
    <w:rsid w:val="0009627B"/>
    <w:rsid w:val="000968E2"/>
    <w:rsid w:val="000A0D11"/>
    <w:rsid w:val="000A1D27"/>
    <w:rsid w:val="000A2C42"/>
    <w:rsid w:val="000A3477"/>
    <w:rsid w:val="000A4031"/>
    <w:rsid w:val="000A796B"/>
    <w:rsid w:val="000A7B9C"/>
    <w:rsid w:val="000B289B"/>
    <w:rsid w:val="000B2B5D"/>
    <w:rsid w:val="000B3331"/>
    <w:rsid w:val="000B499B"/>
    <w:rsid w:val="000B66CC"/>
    <w:rsid w:val="000B76BD"/>
    <w:rsid w:val="000C72EE"/>
    <w:rsid w:val="000D499D"/>
    <w:rsid w:val="000D6147"/>
    <w:rsid w:val="000D6213"/>
    <w:rsid w:val="000D7A34"/>
    <w:rsid w:val="000E2922"/>
    <w:rsid w:val="000E3AF0"/>
    <w:rsid w:val="000E4B6B"/>
    <w:rsid w:val="000E60E9"/>
    <w:rsid w:val="000F0340"/>
    <w:rsid w:val="000F3916"/>
    <w:rsid w:val="000F7718"/>
    <w:rsid w:val="001251E7"/>
    <w:rsid w:val="00127C71"/>
    <w:rsid w:val="0014331D"/>
    <w:rsid w:val="00154DCE"/>
    <w:rsid w:val="001557D8"/>
    <w:rsid w:val="00156069"/>
    <w:rsid w:val="00156993"/>
    <w:rsid w:val="00161679"/>
    <w:rsid w:val="00165475"/>
    <w:rsid w:val="0016784A"/>
    <w:rsid w:val="00167C60"/>
    <w:rsid w:val="00170FB8"/>
    <w:rsid w:val="00171658"/>
    <w:rsid w:val="0017677A"/>
    <w:rsid w:val="00176C65"/>
    <w:rsid w:val="00180F2A"/>
    <w:rsid w:val="00181F57"/>
    <w:rsid w:val="00185125"/>
    <w:rsid w:val="0018723F"/>
    <w:rsid w:val="0019069D"/>
    <w:rsid w:val="001952E9"/>
    <w:rsid w:val="001A00C3"/>
    <w:rsid w:val="001A4B3E"/>
    <w:rsid w:val="001A6668"/>
    <w:rsid w:val="001A72C6"/>
    <w:rsid w:val="001B18EB"/>
    <w:rsid w:val="001B2407"/>
    <w:rsid w:val="001B33C0"/>
    <w:rsid w:val="001B4715"/>
    <w:rsid w:val="001B7855"/>
    <w:rsid w:val="001C15BB"/>
    <w:rsid w:val="001C2010"/>
    <w:rsid w:val="001C67D0"/>
    <w:rsid w:val="001D013C"/>
    <w:rsid w:val="001D2036"/>
    <w:rsid w:val="001D4AE3"/>
    <w:rsid w:val="001D5BF6"/>
    <w:rsid w:val="001D6418"/>
    <w:rsid w:val="001E0155"/>
    <w:rsid w:val="001E1753"/>
    <w:rsid w:val="001E551F"/>
    <w:rsid w:val="001E570F"/>
    <w:rsid w:val="001E7B1E"/>
    <w:rsid w:val="001F36B7"/>
    <w:rsid w:val="001F4B34"/>
    <w:rsid w:val="002017E7"/>
    <w:rsid w:val="00206E74"/>
    <w:rsid w:val="0021043B"/>
    <w:rsid w:val="0021138D"/>
    <w:rsid w:val="00213746"/>
    <w:rsid w:val="0021376A"/>
    <w:rsid w:val="00213A9D"/>
    <w:rsid w:val="0021531B"/>
    <w:rsid w:val="00215A7A"/>
    <w:rsid w:val="00215F46"/>
    <w:rsid w:val="0021651F"/>
    <w:rsid w:val="0022754E"/>
    <w:rsid w:val="00231041"/>
    <w:rsid w:val="0023173D"/>
    <w:rsid w:val="00245311"/>
    <w:rsid w:val="002454BC"/>
    <w:rsid w:val="00246CC3"/>
    <w:rsid w:val="00247C46"/>
    <w:rsid w:val="002506F2"/>
    <w:rsid w:val="00252B55"/>
    <w:rsid w:val="002643EC"/>
    <w:rsid w:val="00264859"/>
    <w:rsid w:val="00271F45"/>
    <w:rsid w:val="0028296B"/>
    <w:rsid w:val="002868B4"/>
    <w:rsid w:val="002A1CC3"/>
    <w:rsid w:val="002A7305"/>
    <w:rsid w:val="002B0403"/>
    <w:rsid w:val="002B27AF"/>
    <w:rsid w:val="002B3825"/>
    <w:rsid w:val="002C0E2A"/>
    <w:rsid w:val="002C2420"/>
    <w:rsid w:val="002C2476"/>
    <w:rsid w:val="002C3876"/>
    <w:rsid w:val="002C3AFF"/>
    <w:rsid w:val="002C6B08"/>
    <w:rsid w:val="002D1691"/>
    <w:rsid w:val="002D19A6"/>
    <w:rsid w:val="002D21ED"/>
    <w:rsid w:val="002D3E3F"/>
    <w:rsid w:val="002D54F4"/>
    <w:rsid w:val="002D660F"/>
    <w:rsid w:val="002D76DC"/>
    <w:rsid w:val="002E177B"/>
    <w:rsid w:val="002E791C"/>
    <w:rsid w:val="002E7D7D"/>
    <w:rsid w:val="002F4415"/>
    <w:rsid w:val="002F75C2"/>
    <w:rsid w:val="00300729"/>
    <w:rsid w:val="00306CA5"/>
    <w:rsid w:val="00311BD4"/>
    <w:rsid w:val="0031768B"/>
    <w:rsid w:val="003212CE"/>
    <w:rsid w:val="003215CE"/>
    <w:rsid w:val="00337558"/>
    <w:rsid w:val="003378C4"/>
    <w:rsid w:val="00337AA4"/>
    <w:rsid w:val="00337E92"/>
    <w:rsid w:val="00343714"/>
    <w:rsid w:val="00344244"/>
    <w:rsid w:val="0035335A"/>
    <w:rsid w:val="00353D08"/>
    <w:rsid w:val="00354DCF"/>
    <w:rsid w:val="00356F1D"/>
    <w:rsid w:val="00357F30"/>
    <w:rsid w:val="003624FA"/>
    <w:rsid w:val="003674A8"/>
    <w:rsid w:val="00370B86"/>
    <w:rsid w:val="00375D1F"/>
    <w:rsid w:val="0037784D"/>
    <w:rsid w:val="00381549"/>
    <w:rsid w:val="003833F8"/>
    <w:rsid w:val="00383E5B"/>
    <w:rsid w:val="00384053"/>
    <w:rsid w:val="003954F9"/>
    <w:rsid w:val="00396CFF"/>
    <w:rsid w:val="003B1A82"/>
    <w:rsid w:val="003B41F3"/>
    <w:rsid w:val="003B6C14"/>
    <w:rsid w:val="003C03F2"/>
    <w:rsid w:val="003C0A9C"/>
    <w:rsid w:val="003C4F25"/>
    <w:rsid w:val="003C5051"/>
    <w:rsid w:val="003D0791"/>
    <w:rsid w:val="003D1C11"/>
    <w:rsid w:val="003D516F"/>
    <w:rsid w:val="003D7502"/>
    <w:rsid w:val="003E1DA6"/>
    <w:rsid w:val="003E5993"/>
    <w:rsid w:val="003E734A"/>
    <w:rsid w:val="003E75C2"/>
    <w:rsid w:val="003F5D17"/>
    <w:rsid w:val="003F75B4"/>
    <w:rsid w:val="004009FA"/>
    <w:rsid w:val="00405802"/>
    <w:rsid w:val="00405D8F"/>
    <w:rsid w:val="004172E1"/>
    <w:rsid w:val="00420345"/>
    <w:rsid w:val="00421BD3"/>
    <w:rsid w:val="00422013"/>
    <w:rsid w:val="00424001"/>
    <w:rsid w:val="004307EF"/>
    <w:rsid w:val="00430B01"/>
    <w:rsid w:val="004313EA"/>
    <w:rsid w:val="0043254B"/>
    <w:rsid w:val="00436114"/>
    <w:rsid w:val="00444EE9"/>
    <w:rsid w:val="00461ADE"/>
    <w:rsid w:val="004662F5"/>
    <w:rsid w:val="00467BC2"/>
    <w:rsid w:val="00470182"/>
    <w:rsid w:val="004764E0"/>
    <w:rsid w:val="00477971"/>
    <w:rsid w:val="0048045D"/>
    <w:rsid w:val="004804A9"/>
    <w:rsid w:val="0048145C"/>
    <w:rsid w:val="004844A7"/>
    <w:rsid w:val="00486A1F"/>
    <w:rsid w:val="00496643"/>
    <w:rsid w:val="004A05B2"/>
    <w:rsid w:val="004A3D30"/>
    <w:rsid w:val="004A539B"/>
    <w:rsid w:val="004A6989"/>
    <w:rsid w:val="004B66A5"/>
    <w:rsid w:val="004C419D"/>
    <w:rsid w:val="004D1E9C"/>
    <w:rsid w:val="004D46A4"/>
    <w:rsid w:val="004D4AF4"/>
    <w:rsid w:val="004E44DD"/>
    <w:rsid w:val="004E7477"/>
    <w:rsid w:val="004F0817"/>
    <w:rsid w:val="004F21A1"/>
    <w:rsid w:val="004F2B2B"/>
    <w:rsid w:val="004F5806"/>
    <w:rsid w:val="00501C75"/>
    <w:rsid w:val="00502FDF"/>
    <w:rsid w:val="00503319"/>
    <w:rsid w:val="0050475A"/>
    <w:rsid w:val="005047F3"/>
    <w:rsid w:val="00504ED6"/>
    <w:rsid w:val="00506105"/>
    <w:rsid w:val="00510970"/>
    <w:rsid w:val="00511652"/>
    <w:rsid w:val="005120CC"/>
    <w:rsid w:val="0051389E"/>
    <w:rsid w:val="00516E39"/>
    <w:rsid w:val="00517353"/>
    <w:rsid w:val="005209AC"/>
    <w:rsid w:val="005242D9"/>
    <w:rsid w:val="00524599"/>
    <w:rsid w:val="00526B9F"/>
    <w:rsid w:val="0052795D"/>
    <w:rsid w:val="005464E9"/>
    <w:rsid w:val="005508E4"/>
    <w:rsid w:val="00552414"/>
    <w:rsid w:val="005627A3"/>
    <w:rsid w:val="005679A4"/>
    <w:rsid w:val="005710B6"/>
    <w:rsid w:val="005715BB"/>
    <w:rsid w:val="00572C38"/>
    <w:rsid w:val="00572E3C"/>
    <w:rsid w:val="00575C1A"/>
    <w:rsid w:val="0057765B"/>
    <w:rsid w:val="005828E4"/>
    <w:rsid w:val="00585249"/>
    <w:rsid w:val="0059396C"/>
    <w:rsid w:val="005A27A0"/>
    <w:rsid w:val="005A2888"/>
    <w:rsid w:val="005A493F"/>
    <w:rsid w:val="005A4BAC"/>
    <w:rsid w:val="005B2D41"/>
    <w:rsid w:val="005B38FE"/>
    <w:rsid w:val="005C201C"/>
    <w:rsid w:val="005C6A10"/>
    <w:rsid w:val="005D2AEB"/>
    <w:rsid w:val="005D3622"/>
    <w:rsid w:val="005D3CBC"/>
    <w:rsid w:val="005E04C7"/>
    <w:rsid w:val="005E1E9D"/>
    <w:rsid w:val="005F0293"/>
    <w:rsid w:val="005F31B5"/>
    <w:rsid w:val="006022B4"/>
    <w:rsid w:val="00602FB6"/>
    <w:rsid w:val="00605A35"/>
    <w:rsid w:val="006078F6"/>
    <w:rsid w:val="0061364B"/>
    <w:rsid w:val="00617672"/>
    <w:rsid w:val="00621C61"/>
    <w:rsid w:val="0062220E"/>
    <w:rsid w:val="006265B9"/>
    <w:rsid w:val="00627DB7"/>
    <w:rsid w:val="006309B8"/>
    <w:rsid w:val="00630F21"/>
    <w:rsid w:val="00632A0F"/>
    <w:rsid w:val="00636DE9"/>
    <w:rsid w:val="00640673"/>
    <w:rsid w:val="00641440"/>
    <w:rsid w:val="0064378A"/>
    <w:rsid w:val="00645481"/>
    <w:rsid w:val="006458E8"/>
    <w:rsid w:val="00646FBF"/>
    <w:rsid w:val="006501D1"/>
    <w:rsid w:val="006502A4"/>
    <w:rsid w:val="006515ED"/>
    <w:rsid w:val="00675C5F"/>
    <w:rsid w:val="00676E4D"/>
    <w:rsid w:val="0067786A"/>
    <w:rsid w:val="006806D6"/>
    <w:rsid w:val="00686FD6"/>
    <w:rsid w:val="0069108A"/>
    <w:rsid w:val="00693D25"/>
    <w:rsid w:val="00694B6C"/>
    <w:rsid w:val="00695B75"/>
    <w:rsid w:val="006A09F2"/>
    <w:rsid w:val="006A0D0D"/>
    <w:rsid w:val="006A2120"/>
    <w:rsid w:val="006A5EDB"/>
    <w:rsid w:val="006B060E"/>
    <w:rsid w:val="006B30A9"/>
    <w:rsid w:val="006B479D"/>
    <w:rsid w:val="006C2A21"/>
    <w:rsid w:val="006C6289"/>
    <w:rsid w:val="006C67FD"/>
    <w:rsid w:val="006D3EB0"/>
    <w:rsid w:val="006E2C34"/>
    <w:rsid w:val="006E3F50"/>
    <w:rsid w:val="006F1CA1"/>
    <w:rsid w:val="006F44AE"/>
    <w:rsid w:val="00700F02"/>
    <w:rsid w:val="00702F49"/>
    <w:rsid w:val="007043EB"/>
    <w:rsid w:val="007056DB"/>
    <w:rsid w:val="00706CB5"/>
    <w:rsid w:val="0071490F"/>
    <w:rsid w:val="0071702F"/>
    <w:rsid w:val="0072079E"/>
    <w:rsid w:val="0072401A"/>
    <w:rsid w:val="007268F3"/>
    <w:rsid w:val="007315C2"/>
    <w:rsid w:val="00734469"/>
    <w:rsid w:val="0074446E"/>
    <w:rsid w:val="0074516F"/>
    <w:rsid w:val="00746EDF"/>
    <w:rsid w:val="00747E69"/>
    <w:rsid w:val="00752622"/>
    <w:rsid w:val="00756BA3"/>
    <w:rsid w:val="00770E3E"/>
    <w:rsid w:val="007800B3"/>
    <w:rsid w:val="00782626"/>
    <w:rsid w:val="00783133"/>
    <w:rsid w:val="007863C7"/>
    <w:rsid w:val="00792611"/>
    <w:rsid w:val="00795334"/>
    <w:rsid w:val="00795F97"/>
    <w:rsid w:val="00797D3F"/>
    <w:rsid w:val="007A1C13"/>
    <w:rsid w:val="007A46E9"/>
    <w:rsid w:val="007B0A59"/>
    <w:rsid w:val="007B19FC"/>
    <w:rsid w:val="007C178A"/>
    <w:rsid w:val="007C7F03"/>
    <w:rsid w:val="007D1E7F"/>
    <w:rsid w:val="007D39C9"/>
    <w:rsid w:val="007D5B6A"/>
    <w:rsid w:val="007E0EAE"/>
    <w:rsid w:val="007E1682"/>
    <w:rsid w:val="007E7CD6"/>
    <w:rsid w:val="007F2286"/>
    <w:rsid w:val="007F3C34"/>
    <w:rsid w:val="007F5D49"/>
    <w:rsid w:val="007F7538"/>
    <w:rsid w:val="00805BBB"/>
    <w:rsid w:val="008151AF"/>
    <w:rsid w:val="00815441"/>
    <w:rsid w:val="00816B13"/>
    <w:rsid w:val="0082556C"/>
    <w:rsid w:val="008268AF"/>
    <w:rsid w:val="008272BD"/>
    <w:rsid w:val="008400D2"/>
    <w:rsid w:val="00846547"/>
    <w:rsid w:val="00851DC2"/>
    <w:rsid w:val="00857EAE"/>
    <w:rsid w:val="00861DF6"/>
    <w:rsid w:val="0086504E"/>
    <w:rsid w:val="008656D1"/>
    <w:rsid w:val="0087565C"/>
    <w:rsid w:val="0088621A"/>
    <w:rsid w:val="00887C82"/>
    <w:rsid w:val="008918B5"/>
    <w:rsid w:val="00892531"/>
    <w:rsid w:val="00894259"/>
    <w:rsid w:val="00896C57"/>
    <w:rsid w:val="008A466C"/>
    <w:rsid w:val="008B6111"/>
    <w:rsid w:val="008C07F4"/>
    <w:rsid w:val="008C4E49"/>
    <w:rsid w:val="008C6A0A"/>
    <w:rsid w:val="008C7C5B"/>
    <w:rsid w:val="008D1B5A"/>
    <w:rsid w:val="008D2300"/>
    <w:rsid w:val="008E23AA"/>
    <w:rsid w:val="008E49FA"/>
    <w:rsid w:val="008E7FBF"/>
    <w:rsid w:val="008F0558"/>
    <w:rsid w:val="008F214C"/>
    <w:rsid w:val="008F2520"/>
    <w:rsid w:val="008F582B"/>
    <w:rsid w:val="008F75C6"/>
    <w:rsid w:val="008F7669"/>
    <w:rsid w:val="00901FC2"/>
    <w:rsid w:val="00904BD3"/>
    <w:rsid w:val="009056D5"/>
    <w:rsid w:val="0090705E"/>
    <w:rsid w:val="00911D9A"/>
    <w:rsid w:val="0091219A"/>
    <w:rsid w:val="00913155"/>
    <w:rsid w:val="00916D61"/>
    <w:rsid w:val="00925482"/>
    <w:rsid w:val="009277E3"/>
    <w:rsid w:val="00930DC6"/>
    <w:rsid w:val="00931290"/>
    <w:rsid w:val="0093143F"/>
    <w:rsid w:val="00936054"/>
    <w:rsid w:val="009364AA"/>
    <w:rsid w:val="009377FA"/>
    <w:rsid w:val="0094229D"/>
    <w:rsid w:val="00946FA1"/>
    <w:rsid w:val="00952478"/>
    <w:rsid w:val="00960572"/>
    <w:rsid w:val="00965209"/>
    <w:rsid w:val="0096767D"/>
    <w:rsid w:val="0097103E"/>
    <w:rsid w:val="00975286"/>
    <w:rsid w:val="00976F4B"/>
    <w:rsid w:val="009771F0"/>
    <w:rsid w:val="0099048E"/>
    <w:rsid w:val="00996A26"/>
    <w:rsid w:val="009A245F"/>
    <w:rsid w:val="009B0DC0"/>
    <w:rsid w:val="009B40A5"/>
    <w:rsid w:val="009C32CF"/>
    <w:rsid w:val="009C3B64"/>
    <w:rsid w:val="009D0210"/>
    <w:rsid w:val="009D2B83"/>
    <w:rsid w:val="009D3D1E"/>
    <w:rsid w:val="009D76DE"/>
    <w:rsid w:val="009E16FA"/>
    <w:rsid w:val="009E7737"/>
    <w:rsid w:val="009F3D5C"/>
    <w:rsid w:val="009F5480"/>
    <w:rsid w:val="009F6AAA"/>
    <w:rsid w:val="00A07ABF"/>
    <w:rsid w:val="00A13505"/>
    <w:rsid w:val="00A1672F"/>
    <w:rsid w:val="00A1691D"/>
    <w:rsid w:val="00A1762A"/>
    <w:rsid w:val="00A23081"/>
    <w:rsid w:val="00A32287"/>
    <w:rsid w:val="00A336FA"/>
    <w:rsid w:val="00A4144D"/>
    <w:rsid w:val="00A45395"/>
    <w:rsid w:val="00A5223D"/>
    <w:rsid w:val="00A52241"/>
    <w:rsid w:val="00A57181"/>
    <w:rsid w:val="00A60256"/>
    <w:rsid w:val="00A649C5"/>
    <w:rsid w:val="00A705C4"/>
    <w:rsid w:val="00A713FD"/>
    <w:rsid w:val="00A74CDB"/>
    <w:rsid w:val="00A76E96"/>
    <w:rsid w:val="00A831E1"/>
    <w:rsid w:val="00A95AD9"/>
    <w:rsid w:val="00A96267"/>
    <w:rsid w:val="00A96CDA"/>
    <w:rsid w:val="00A96D43"/>
    <w:rsid w:val="00AA0D7F"/>
    <w:rsid w:val="00AA3437"/>
    <w:rsid w:val="00AA355C"/>
    <w:rsid w:val="00AB244B"/>
    <w:rsid w:val="00AB47EA"/>
    <w:rsid w:val="00AB4DE9"/>
    <w:rsid w:val="00AC0871"/>
    <w:rsid w:val="00AC260F"/>
    <w:rsid w:val="00AC472F"/>
    <w:rsid w:val="00AC5053"/>
    <w:rsid w:val="00AC7256"/>
    <w:rsid w:val="00AD1AFD"/>
    <w:rsid w:val="00AD433E"/>
    <w:rsid w:val="00AD635A"/>
    <w:rsid w:val="00AE07B3"/>
    <w:rsid w:val="00AE1E45"/>
    <w:rsid w:val="00AE2812"/>
    <w:rsid w:val="00AE28AC"/>
    <w:rsid w:val="00AF45CE"/>
    <w:rsid w:val="00AF55C7"/>
    <w:rsid w:val="00AF6CC6"/>
    <w:rsid w:val="00B027CA"/>
    <w:rsid w:val="00B060A5"/>
    <w:rsid w:val="00B07D65"/>
    <w:rsid w:val="00B100D4"/>
    <w:rsid w:val="00B10687"/>
    <w:rsid w:val="00B16D61"/>
    <w:rsid w:val="00B2377A"/>
    <w:rsid w:val="00B30692"/>
    <w:rsid w:val="00B307F3"/>
    <w:rsid w:val="00B30A3B"/>
    <w:rsid w:val="00B31843"/>
    <w:rsid w:val="00B34498"/>
    <w:rsid w:val="00B36B50"/>
    <w:rsid w:val="00B37AE0"/>
    <w:rsid w:val="00B37CE5"/>
    <w:rsid w:val="00B412AC"/>
    <w:rsid w:val="00B45AC5"/>
    <w:rsid w:val="00B5064A"/>
    <w:rsid w:val="00B50ABD"/>
    <w:rsid w:val="00B51D35"/>
    <w:rsid w:val="00B52E98"/>
    <w:rsid w:val="00B5334C"/>
    <w:rsid w:val="00B556E7"/>
    <w:rsid w:val="00B66FCB"/>
    <w:rsid w:val="00B671BB"/>
    <w:rsid w:val="00B73AE6"/>
    <w:rsid w:val="00B76CEC"/>
    <w:rsid w:val="00B76F84"/>
    <w:rsid w:val="00B84B90"/>
    <w:rsid w:val="00B852C9"/>
    <w:rsid w:val="00B85787"/>
    <w:rsid w:val="00B953E4"/>
    <w:rsid w:val="00B9779C"/>
    <w:rsid w:val="00B97C45"/>
    <w:rsid w:val="00BA3AB3"/>
    <w:rsid w:val="00BA5FB2"/>
    <w:rsid w:val="00BA6827"/>
    <w:rsid w:val="00BB088E"/>
    <w:rsid w:val="00BB4B25"/>
    <w:rsid w:val="00BB4EEB"/>
    <w:rsid w:val="00BB597B"/>
    <w:rsid w:val="00BC5A3D"/>
    <w:rsid w:val="00BD0126"/>
    <w:rsid w:val="00BD04B1"/>
    <w:rsid w:val="00BD48E7"/>
    <w:rsid w:val="00BE5858"/>
    <w:rsid w:val="00C04950"/>
    <w:rsid w:val="00C05501"/>
    <w:rsid w:val="00C11488"/>
    <w:rsid w:val="00C25258"/>
    <w:rsid w:val="00C30F26"/>
    <w:rsid w:val="00C34832"/>
    <w:rsid w:val="00C36B85"/>
    <w:rsid w:val="00C3739F"/>
    <w:rsid w:val="00C40E43"/>
    <w:rsid w:val="00C41F47"/>
    <w:rsid w:val="00C42893"/>
    <w:rsid w:val="00C43918"/>
    <w:rsid w:val="00C456FF"/>
    <w:rsid w:val="00C47008"/>
    <w:rsid w:val="00C50204"/>
    <w:rsid w:val="00C52439"/>
    <w:rsid w:val="00C52673"/>
    <w:rsid w:val="00C54B2A"/>
    <w:rsid w:val="00C6006A"/>
    <w:rsid w:val="00C6245F"/>
    <w:rsid w:val="00C6416C"/>
    <w:rsid w:val="00C657D7"/>
    <w:rsid w:val="00C6795F"/>
    <w:rsid w:val="00C80552"/>
    <w:rsid w:val="00C80B73"/>
    <w:rsid w:val="00C81DD8"/>
    <w:rsid w:val="00C869AD"/>
    <w:rsid w:val="00C87D1C"/>
    <w:rsid w:val="00C9245D"/>
    <w:rsid w:val="00C9435D"/>
    <w:rsid w:val="00C94E31"/>
    <w:rsid w:val="00C95048"/>
    <w:rsid w:val="00C969ED"/>
    <w:rsid w:val="00CA0AD6"/>
    <w:rsid w:val="00CA3852"/>
    <w:rsid w:val="00CA547C"/>
    <w:rsid w:val="00CA56AC"/>
    <w:rsid w:val="00CA666D"/>
    <w:rsid w:val="00CA7565"/>
    <w:rsid w:val="00CB4369"/>
    <w:rsid w:val="00CB490D"/>
    <w:rsid w:val="00CB5786"/>
    <w:rsid w:val="00CB7303"/>
    <w:rsid w:val="00CC27C0"/>
    <w:rsid w:val="00CC3C65"/>
    <w:rsid w:val="00CC432B"/>
    <w:rsid w:val="00CC5D4E"/>
    <w:rsid w:val="00CD091C"/>
    <w:rsid w:val="00CD2856"/>
    <w:rsid w:val="00CD45D1"/>
    <w:rsid w:val="00CD6ABB"/>
    <w:rsid w:val="00CD6D39"/>
    <w:rsid w:val="00CE00F6"/>
    <w:rsid w:val="00CE1665"/>
    <w:rsid w:val="00CE4AD8"/>
    <w:rsid w:val="00CE5F9E"/>
    <w:rsid w:val="00CF2FA9"/>
    <w:rsid w:val="00D01A94"/>
    <w:rsid w:val="00D026B9"/>
    <w:rsid w:val="00D1274C"/>
    <w:rsid w:val="00D14A09"/>
    <w:rsid w:val="00D159EA"/>
    <w:rsid w:val="00D3296B"/>
    <w:rsid w:val="00D37FFB"/>
    <w:rsid w:val="00D41B0D"/>
    <w:rsid w:val="00D43551"/>
    <w:rsid w:val="00D43EA9"/>
    <w:rsid w:val="00D446C2"/>
    <w:rsid w:val="00D46420"/>
    <w:rsid w:val="00D46DC6"/>
    <w:rsid w:val="00D47395"/>
    <w:rsid w:val="00D530F3"/>
    <w:rsid w:val="00D539D4"/>
    <w:rsid w:val="00D60885"/>
    <w:rsid w:val="00D65753"/>
    <w:rsid w:val="00D65F52"/>
    <w:rsid w:val="00D731D4"/>
    <w:rsid w:val="00D7660A"/>
    <w:rsid w:val="00D90475"/>
    <w:rsid w:val="00D91E06"/>
    <w:rsid w:val="00D92F39"/>
    <w:rsid w:val="00D960C6"/>
    <w:rsid w:val="00DA19BD"/>
    <w:rsid w:val="00DA44B8"/>
    <w:rsid w:val="00DA4713"/>
    <w:rsid w:val="00DA5DA9"/>
    <w:rsid w:val="00DB1E24"/>
    <w:rsid w:val="00DB4A33"/>
    <w:rsid w:val="00DB616D"/>
    <w:rsid w:val="00DC10DE"/>
    <w:rsid w:val="00DC34E6"/>
    <w:rsid w:val="00DC445D"/>
    <w:rsid w:val="00DC58BA"/>
    <w:rsid w:val="00DD1DA2"/>
    <w:rsid w:val="00DD60DA"/>
    <w:rsid w:val="00DE34E9"/>
    <w:rsid w:val="00DF0E93"/>
    <w:rsid w:val="00DF2B0C"/>
    <w:rsid w:val="00E06B73"/>
    <w:rsid w:val="00E07D15"/>
    <w:rsid w:val="00E1150D"/>
    <w:rsid w:val="00E12437"/>
    <w:rsid w:val="00E12491"/>
    <w:rsid w:val="00E168C1"/>
    <w:rsid w:val="00E20762"/>
    <w:rsid w:val="00E20C42"/>
    <w:rsid w:val="00E312AE"/>
    <w:rsid w:val="00E34191"/>
    <w:rsid w:val="00E349FB"/>
    <w:rsid w:val="00E35C51"/>
    <w:rsid w:val="00E41BBD"/>
    <w:rsid w:val="00E44716"/>
    <w:rsid w:val="00E45585"/>
    <w:rsid w:val="00E52698"/>
    <w:rsid w:val="00E551C9"/>
    <w:rsid w:val="00E56506"/>
    <w:rsid w:val="00E56D5F"/>
    <w:rsid w:val="00E62C31"/>
    <w:rsid w:val="00E66A4B"/>
    <w:rsid w:val="00E7171B"/>
    <w:rsid w:val="00E743D6"/>
    <w:rsid w:val="00E767F4"/>
    <w:rsid w:val="00E76CE6"/>
    <w:rsid w:val="00E80481"/>
    <w:rsid w:val="00E80CFF"/>
    <w:rsid w:val="00E82BDD"/>
    <w:rsid w:val="00E8401D"/>
    <w:rsid w:val="00E85071"/>
    <w:rsid w:val="00E856A1"/>
    <w:rsid w:val="00E86A0D"/>
    <w:rsid w:val="00E973FD"/>
    <w:rsid w:val="00EA2046"/>
    <w:rsid w:val="00EB7CE7"/>
    <w:rsid w:val="00EC3037"/>
    <w:rsid w:val="00EC7294"/>
    <w:rsid w:val="00ED3772"/>
    <w:rsid w:val="00ED4DD7"/>
    <w:rsid w:val="00ED5F23"/>
    <w:rsid w:val="00ED5FBF"/>
    <w:rsid w:val="00EE2DA3"/>
    <w:rsid w:val="00EF0C22"/>
    <w:rsid w:val="00EF0D0E"/>
    <w:rsid w:val="00EF2CCD"/>
    <w:rsid w:val="00EF3FCA"/>
    <w:rsid w:val="00EF6203"/>
    <w:rsid w:val="00EF779F"/>
    <w:rsid w:val="00F032E6"/>
    <w:rsid w:val="00F040E1"/>
    <w:rsid w:val="00F04D1E"/>
    <w:rsid w:val="00F1516A"/>
    <w:rsid w:val="00F213ED"/>
    <w:rsid w:val="00F217CE"/>
    <w:rsid w:val="00F2741B"/>
    <w:rsid w:val="00F2751F"/>
    <w:rsid w:val="00F30B40"/>
    <w:rsid w:val="00F3425F"/>
    <w:rsid w:val="00F34F13"/>
    <w:rsid w:val="00F363F0"/>
    <w:rsid w:val="00F36A07"/>
    <w:rsid w:val="00F37587"/>
    <w:rsid w:val="00F40C1A"/>
    <w:rsid w:val="00F40C7A"/>
    <w:rsid w:val="00F42784"/>
    <w:rsid w:val="00F526EF"/>
    <w:rsid w:val="00F54387"/>
    <w:rsid w:val="00F56153"/>
    <w:rsid w:val="00F57C5D"/>
    <w:rsid w:val="00F61B51"/>
    <w:rsid w:val="00F64A55"/>
    <w:rsid w:val="00F71670"/>
    <w:rsid w:val="00F7368C"/>
    <w:rsid w:val="00F738C2"/>
    <w:rsid w:val="00F74411"/>
    <w:rsid w:val="00F753F9"/>
    <w:rsid w:val="00F77A4B"/>
    <w:rsid w:val="00F80203"/>
    <w:rsid w:val="00F84718"/>
    <w:rsid w:val="00F849C5"/>
    <w:rsid w:val="00F85555"/>
    <w:rsid w:val="00F91054"/>
    <w:rsid w:val="00F92132"/>
    <w:rsid w:val="00F947ED"/>
    <w:rsid w:val="00F94AE9"/>
    <w:rsid w:val="00F950E8"/>
    <w:rsid w:val="00F95BA8"/>
    <w:rsid w:val="00F9699A"/>
    <w:rsid w:val="00FA3A89"/>
    <w:rsid w:val="00FB1E6D"/>
    <w:rsid w:val="00FB64FB"/>
    <w:rsid w:val="00FC179E"/>
    <w:rsid w:val="00FC5CAA"/>
    <w:rsid w:val="00FC62AD"/>
    <w:rsid w:val="00FD10D7"/>
    <w:rsid w:val="00FD5B16"/>
    <w:rsid w:val="00FE3DF0"/>
    <w:rsid w:val="00FE46B6"/>
    <w:rsid w:val="00FE528F"/>
    <w:rsid w:val="00FE57A2"/>
    <w:rsid w:val="00FE6988"/>
    <w:rsid w:val="00FF40A4"/>
    <w:rsid w:val="01C16AC7"/>
    <w:rsid w:val="01FF5732"/>
    <w:rsid w:val="034620B2"/>
    <w:rsid w:val="068F24CE"/>
    <w:rsid w:val="06F14BB5"/>
    <w:rsid w:val="08024CA0"/>
    <w:rsid w:val="09706452"/>
    <w:rsid w:val="09AB4D7E"/>
    <w:rsid w:val="0B872A8F"/>
    <w:rsid w:val="0CE847A7"/>
    <w:rsid w:val="0DC91529"/>
    <w:rsid w:val="0DDE3227"/>
    <w:rsid w:val="10361C55"/>
    <w:rsid w:val="13975583"/>
    <w:rsid w:val="142A12C9"/>
    <w:rsid w:val="14312A93"/>
    <w:rsid w:val="15846233"/>
    <w:rsid w:val="17171557"/>
    <w:rsid w:val="180E64B6"/>
    <w:rsid w:val="19DE12C9"/>
    <w:rsid w:val="1A347904"/>
    <w:rsid w:val="1AB20016"/>
    <w:rsid w:val="1C7C152E"/>
    <w:rsid w:val="1CA00B2F"/>
    <w:rsid w:val="1CE210D9"/>
    <w:rsid w:val="1D3B34B4"/>
    <w:rsid w:val="1E911BEF"/>
    <w:rsid w:val="20F92EC0"/>
    <w:rsid w:val="22B6615A"/>
    <w:rsid w:val="232B2BE4"/>
    <w:rsid w:val="244161F1"/>
    <w:rsid w:val="27187004"/>
    <w:rsid w:val="279C2835"/>
    <w:rsid w:val="27A10014"/>
    <w:rsid w:val="27B31319"/>
    <w:rsid w:val="27E11DEE"/>
    <w:rsid w:val="299E3030"/>
    <w:rsid w:val="29E13016"/>
    <w:rsid w:val="2A397878"/>
    <w:rsid w:val="2ABE6B5E"/>
    <w:rsid w:val="2E93328A"/>
    <w:rsid w:val="2F1A178D"/>
    <w:rsid w:val="2F1E302B"/>
    <w:rsid w:val="2F723377"/>
    <w:rsid w:val="2FB804EE"/>
    <w:rsid w:val="315539B3"/>
    <w:rsid w:val="35116948"/>
    <w:rsid w:val="36FD4E24"/>
    <w:rsid w:val="392A565E"/>
    <w:rsid w:val="394447DE"/>
    <w:rsid w:val="3C4F4A16"/>
    <w:rsid w:val="3EF05D19"/>
    <w:rsid w:val="40F66994"/>
    <w:rsid w:val="437234EE"/>
    <w:rsid w:val="448B3A56"/>
    <w:rsid w:val="44F84702"/>
    <w:rsid w:val="45C204FB"/>
    <w:rsid w:val="45D5212E"/>
    <w:rsid w:val="45ED5F20"/>
    <w:rsid w:val="47BD7C8B"/>
    <w:rsid w:val="47E841DE"/>
    <w:rsid w:val="48044C45"/>
    <w:rsid w:val="48D25011"/>
    <w:rsid w:val="498271EB"/>
    <w:rsid w:val="4AB9034A"/>
    <w:rsid w:val="4D35189F"/>
    <w:rsid w:val="4F245D67"/>
    <w:rsid w:val="50E9378B"/>
    <w:rsid w:val="51891684"/>
    <w:rsid w:val="528F3857"/>
    <w:rsid w:val="5299285F"/>
    <w:rsid w:val="529C3E88"/>
    <w:rsid w:val="529E7CDB"/>
    <w:rsid w:val="57F1403B"/>
    <w:rsid w:val="5D296A20"/>
    <w:rsid w:val="62025663"/>
    <w:rsid w:val="62B81DE4"/>
    <w:rsid w:val="63F778CD"/>
    <w:rsid w:val="66466D76"/>
    <w:rsid w:val="66CD266D"/>
    <w:rsid w:val="68B9481F"/>
    <w:rsid w:val="68DD7F19"/>
    <w:rsid w:val="6A7C4ACE"/>
    <w:rsid w:val="6BBB3AB0"/>
    <w:rsid w:val="6C1D261C"/>
    <w:rsid w:val="6C280D14"/>
    <w:rsid w:val="6D453639"/>
    <w:rsid w:val="6D5C3A21"/>
    <w:rsid w:val="6DD730F0"/>
    <w:rsid w:val="6EAC044E"/>
    <w:rsid w:val="721076CA"/>
    <w:rsid w:val="73F9362E"/>
    <w:rsid w:val="74BD01BD"/>
    <w:rsid w:val="75D04F58"/>
    <w:rsid w:val="76CF1824"/>
    <w:rsid w:val="770C2D36"/>
    <w:rsid w:val="78E11CF7"/>
    <w:rsid w:val="79FD2E0A"/>
    <w:rsid w:val="7C576127"/>
    <w:rsid w:val="7CC47C65"/>
    <w:rsid w:val="7FF5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7090B962"/>
  <w15:docId w15:val="{EF42D9EE-8502-2D49-8C17-A380DCB80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/>
    <w:lsdException w:name="head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Theme="minorEastAsia" w:hAnsi="Calibri" w:cs="Calibri"/>
      <w:sz w:val="22"/>
      <w:szCs w:val="22"/>
      <w:lang w:val="en-GB" w:eastAsia="en-US"/>
    </w:rPr>
  </w:style>
  <w:style w:type="paragraph" w:styleId="1">
    <w:name w:val="heading 1"/>
    <w:basedOn w:val="a"/>
    <w:next w:val="a"/>
    <w:link w:val="10"/>
    <w:qFormat/>
    <w:locked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locked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pPr>
      <w:spacing w:after="0" w:line="240" w:lineRule="auto"/>
    </w:pPr>
    <w:rPr>
      <w:rFonts w:cs="Times New Roman"/>
      <w:sz w:val="20"/>
      <w:szCs w:val="20"/>
      <w:lang w:val="en-US" w:eastAsia="en-GB"/>
    </w:rPr>
  </w:style>
  <w:style w:type="paragraph" w:styleId="a5">
    <w:name w:val="Balloon Text"/>
    <w:basedOn w:val="a"/>
    <w:link w:val="a6"/>
    <w:uiPriority w:val="99"/>
    <w:semiHidden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a7">
    <w:name w:val="footer"/>
    <w:basedOn w:val="a"/>
    <w:link w:val="a8"/>
    <w:uiPriority w:val="99"/>
    <w:pPr>
      <w:tabs>
        <w:tab w:val="center" w:pos="4320"/>
        <w:tab w:val="right" w:pos="8640"/>
      </w:tabs>
    </w:pPr>
  </w:style>
  <w:style w:type="paragraph" w:styleId="a9">
    <w:name w:val="header"/>
    <w:basedOn w:val="a"/>
    <w:link w:val="aa"/>
    <w:uiPriority w:val="99"/>
    <w:unhideWhenUsed/>
    <w:pPr>
      <w:tabs>
        <w:tab w:val="center" w:pos="4513"/>
        <w:tab w:val="right" w:pos="9026"/>
      </w:tabs>
    </w:pPr>
  </w:style>
  <w:style w:type="paragraph" w:styleId="HTML">
    <w:name w:val="HTML Preformatted"/>
    <w:basedOn w:val="a"/>
    <w:link w:val="HTML0"/>
    <w:uiPriority w:val="99"/>
    <w:semiHidden/>
    <w:pPr>
      <w:spacing w:after="0" w:line="240" w:lineRule="auto"/>
    </w:pPr>
    <w:rPr>
      <w:rFonts w:ascii="Consolas" w:hAnsi="Consolas" w:cs="Consolas"/>
      <w:sz w:val="20"/>
      <w:szCs w:val="20"/>
      <w:lang w:val="en-US"/>
    </w:rPr>
  </w:style>
  <w:style w:type="paragraph" w:styleId="ab">
    <w:name w:val="annotation subject"/>
    <w:basedOn w:val="a3"/>
    <w:next w:val="a3"/>
    <w:link w:val="ac"/>
    <w:uiPriority w:val="99"/>
    <w:semiHidden/>
    <w:pPr>
      <w:spacing w:after="200"/>
    </w:pPr>
    <w:rPr>
      <w:rFonts w:cs="Calibri"/>
      <w:b/>
      <w:bCs/>
      <w:lang w:val="en-GB" w:eastAsia="en-US"/>
    </w:rPr>
  </w:style>
  <w:style w:type="table" w:styleId="ad">
    <w:name w:val="Table Grid"/>
    <w:basedOn w:val="a1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uiPriority w:val="99"/>
    <w:rPr>
      <w:rFonts w:cs="Times New Roman"/>
    </w:rPr>
  </w:style>
  <w:style w:type="character" w:styleId="af">
    <w:name w:val="Hyperlink"/>
    <w:uiPriority w:val="99"/>
    <w:rPr>
      <w:rFonts w:cs="Times New Roman"/>
      <w:color w:val="0000FF"/>
      <w:u w:val="single"/>
    </w:rPr>
  </w:style>
  <w:style w:type="character" w:styleId="af0">
    <w:name w:val="annotation reference"/>
    <w:uiPriority w:val="99"/>
    <w:semiHidden/>
    <w:rPr>
      <w:rFonts w:cs="Times New Roman"/>
      <w:sz w:val="16"/>
      <w:szCs w:val="16"/>
    </w:rPr>
  </w:style>
  <w:style w:type="paragraph" w:styleId="af1">
    <w:name w:val="List Paragraph"/>
    <w:basedOn w:val="a"/>
    <w:uiPriority w:val="99"/>
    <w:qFormat/>
    <w:pPr>
      <w:ind w:left="720"/>
    </w:pPr>
  </w:style>
  <w:style w:type="character" w:customStyle="1" w:styleId="notranslate">
    <w:name w:val="notranslate"/>
    <w:uiPriority w:val="99"/>
    <w:rPr>
      <w:rFonts w:cs="Times New Roman"/>
    </w:rPr>
  </w:style>
  <w:style w:type="character" w:customStyle="1" w:styleId="a4">
    <w:name w:val="批注文字 字符"/>
    <w:link w:val="a3"/>
    <w:uiPriority w:val="99"/>
    <w:locked/>
    <w:rPr>
      <w:rFonts w:ascii="Times New Roman" w:hAnsi="Times New Roman" w:cs="Times New Roman"/>
      <w:sz w:val="20"/>
      <w:szCs w:val="20"/>
      <w:lang w:eastAsia="en-GB"/>
    </w:rPr>
  </w:style>
  <w:style w:type="character" w:customStyle="1" w:styleId="a6">
    <w:name w:val="批注框文本 字符"/>
    <w:link w:val="a5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HTML0">
    <w:name w:val="HTML 预设格式 字符"/>
    <w:link w:val="HTML"/>
    <w:uiPriority w:val="99"/>
    <w:semiHidden/>
    <w:locked/>
    <w:rPr>
      <w:rFonts w:ascii="Consolas" w:hAnsi="Consolas" w:cs="Consolas"/>
      <w:sz w:val="20"/>
      <w:szCs w:val="20"/>
    </w:rPr>
  </w:style>
  <w:style w:type="character" w:customStyle="1" w:styleId="a8">
    <w:name w:val="页脚 字符"/>
    <w:link w:val="a7"/>
    <w:uiPriority w:val="99"/>
    <w:semiHidden/>
    <w:locked/>
    <w:rPr>
      <w:rFonts w:cs="Calibri"/>
      <w:lang w:val="en-GB"/>
    </w:rPr>
  </w:style>
  <w:style w:type="character" w:customStyle="1" w:styleId="ac">
    <w:name w:val="批注主题 字符"/>
    <w:link w:val="ab"/>
    <w:uiPriority w:val="99"/>
    <w:semiHidden/>
    <w:locked/>
    <w:rPr>
      <w:rFonts w:ascii="Times New Roman" w:hAnsi="Times New Roman" w:cs="Calibri"/>
      <w:b/>
      <w:bCs/>
      <w:sz w:val="20"/>
      <w:szCs w:val="20"/>
      <w:lang w:val="en-GB" w:eastAsia="en-GB"/>
    </w:rPr>
  </w:style>
  <w:style w:type="character" w:customStyle="1" w:styleId="aa">
    <w:name w:val="页眉 字符"/>
    <w:link w:val="a9"/>
    <w:uiPriority w:val="99"/>
    <w:rPr>
      <w:rFonts w:cs="Calibri"/>
      <w:sz w:val="22"/>
      <w:szCs w:val="22"/>
      <w:lang w:val="en-GB" w:eastAsia="en-US"/>
    </w:rPr>
  </w:style>
  <w:style w:type="character" w:customStyle="1" w:styleId="20">
    <w:name w:val="标题 2 字符"/>
    <w:basedOn w:val="a0"/>
    <w:link w:val="2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10">
    <w:name w:val="标题 1 字符"/>
    <w:basedOn w:val="a0"/>
    <w:link w:val="1"/>
    <w:rPr>
      <w:rFonts w:cs="Calibri"/>
      <w:b/>
      <w:bCs/>
      <w:kern w:val="44"/>
      <w:sz w:val="44"/>
      <w:szCs w:val="4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67ADBC-FDB7-4F1B-9A34-428694AD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6</Pages>
  <Words>1542</Words>
  <Characters>8796</Characters>
  <Application>Microsoft Office Word</Application>
  <DocSecurity>0</DocSecurity>
  <Lines>73</Lines>
  <Paragraphs>20</Paragraphs>
  <ScaleCrop>false</ScaleCrop>
  <Company>University College Cork</Company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Title: STOPP &amp; START criteria for potentially inappropriate prescribing in older people: Version 2</dc:title>
  <dc:creator>Dixons Travel</dc:creator>
  <cp:lastModifiedBy>kerr</cp:lastModifiedBy>
  <cp:revision>37</cp:revision>
  <cp:lastPrinted>2014-02-22T21:20:00Z</cp:lastPrinted>
  <dcterms:created xsi:type="dcterms:W3CDTF">2022-03-09T16:08:00Z</dcterms:created>
  <dcterms:modified xsi:type="dcterms:W3CDTF">2022-05-10T06:18:00Z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CE1522A8F78445DEA9770BCEE782DD90</vt:lpwstr>
  </property>
</Properties>
</file>