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bCs/>
          <w:sz w:val="28"/>
          <w:szCs w:val="28"/>
          <w:lang w:eastAsia="en-GB"/>
        </w:rPr>
      </w:pPr>
      <w:r>
        <w:rPr>
          <w:rFonts w:ascii="Times New Roman" w:hAnsi="Times New Roman" w:cs="Times New Roman"/>
          <w:b/>
          <w:bCs/>
          <w:sz w:val="28"/>
          <w:szCs w:val="28"/>
          <w:lang w:eastAsia="en-GB"/>
        </w:rPr>
        <w:t>Supplementary 2: STOPP Criteria items used in this study and prevalence rates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5"/>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en-IE" w:eastAsia="en-GB"/>
              </w:rPr>
            </w:pPr>
            <w:r>
              <w:rPr>
                <w:rFonts w:ascii="Times New Roman" w:hAnsi="Times New Roman" w:cs="Times New Roman"/>
                <w:b/>
                <w:bCs/>
                <w:sz w:val="24"/>
                <w:szCs w:val="24"/>
                <w:lang w:eastAsia="en-GB"/>
              </w:rPr>
              <w:t>STOPP Criteria items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GB"/>
              </w:rPr>
            </w:pPr>
            <w:r>
              <w:rPr>
                <w:rFonts w:hint="eastAsia" w:ascii="Times New Roman" w:hAnsi="Times New Roman" w:cs="Times New Roman"/>
                <w:b/>
                <w:bCs/>
                <w:sz w:val="24"/>
                <w:szCs w:val="24"/>
                <w:lang w:eastAsia="en-GB"/>
              </w:rPr>
              <w:t>P</w:t>
            </w:r>
            <w:r>
              <w:rPr>
                <w:rFonts w:ascii="Times New Roman" w:hAnsi="Times New Roman" w:cs="Times New Roman"/>
                <w:b/>
                <w:bCs/>
                <w:sz w:val="24"/>
                <w:szCs w:val="24"/>
                <w:lang w:eastAsia="en-GB"/>
              </w:rPr>
              <w:t>revalence rates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A: Indication of medication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en-IE" w:eastAsia="en-GB"/>
              </w:rPr>
            </w:pPr>
            <w:r>
              <w:rPr>
                <w:rFonts w:hint="eastAsia" w:ascii="Times New Roman" w:hAnsi="Times New Roman" w:cs="Times New Roman"/>
                <w:lang w:val="en-IE" w:eastAsia="en-GB"/>
              </w:rPr>
              <w:t>A</w:t>
            </w:r>
            <w:r>
              <w:rPr>
                <w:rFonts w:ascii="Times New Roman" w:hAnsi="Times New Roman" w:cs="Times New Roman"/>
                <w:lang w:val="en-IE" w:eastAsia="en-GB"/>
              </w:rPr>
              <w:t>1:</w:t>
            </w:r>
            <w:r>
              <w:rPr>
                <w:rFonts w:ascii="Times New Roman" w:hAnsi="Times New Roman" w:cs="Times New Roman"/>
                <w:sz w:val="24"/>
                <w:szCs w:val="24"/>
              </w:rPr>
              <w:t xml:space="preserve"> Any drug prescribed without an evidence-based clinical indication.</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IE" w:eastAsia="en-GB"/>
              </w:rPr>
              <w:t>1</w:t>
            </w:r>
            <w:r>
              <w:rPr>
                <w:rFonts w:ascii="Times New Roman" w:hAnsi="Times New Roman" w:cs="Times New Roman"/>
                <w:lang w:val="en-IE" w:eastAsia="en-GB"/>
              </w:rPr>
              <w:t>0.3</w:t>
            </w:r>
            <w:r>
              <w:rPr>
                <w:rFonts w:hint="eastAsia" w:ascii="Times New Roman" w:hAnsi="Times New Roman" w:cs="Times New Roman"/>
                <w:lang w:val="en-US" w:eastAsia="zh-CN"/>
              </w:rPr>
              <w:t xml:space="preserve"> (88/852)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A</w:t>
            </w:r>
            <w:r>
              <w:rPr>
                <w:rFonts w:ascii="Times New Roman" w:hAnsi="Times New Roman" w:cs="Times New Roman"/>
                <w:lang w:val="en-IE" w:eastAsia="en-GB"/>
              </w:rPr>
              <w:t xml:space="preserve">2: </w:t>
            </w:r>
            <w:r>
              <w:rPr>
                <w:rFonts w:ascii="Times New Roman" w:hAnsi="Times New Roman" w:cs="Times New Roman"/>
                <w:sz w:val="24"/>
                <w:szCs w:val="24"/>
              </w:rPr>
              <w:t>Any drug prescribed beyond the recommended duration, where treatment duration is well defined.</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IE" w:eastAsia="en-GB"/>
              </w:rPr>
              <w:t>0</w:t>
            </w:r>
            <w:r>
              <w:rPr>
                <w:rFonts w:ascii="Times New Roman" w:hAnsi="Times New Roman" w:cs="Times New Roman"/>
                <w:lang w:val="en-IE" w:eastAsia="en-GB"/>
              </w:rPr>
              <w:t>.4</w:t>
            </w:r>
            <w:r>
              <w:rPr>
                <w:rFonts w:hint="eastAsia" w:ascii="Times New Roman" w:hAnsi="Times New Roman" w:cs="Times New Roman"/>
                <w:lang w:val="en-US" w:eastAsia="zh-CN"/>
              </w:rPr>
              <w:t xml:space="preserve"> (3/852)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A</w:t>
            </w:r>
            <w:r>
              <w:rPr>
                <w:rFonts w:ascii="Times New Roman" w:hAnsi="Times New Roman" w:cs="Times New Roman"/>
                <w:lang w:val="en-IE" w:eastAsia="en-GB"/>
              </w:rPr>
              <w:t xml:space="preserve">3: </w:t>
            </w:r>
            <w:r>
              <w:rPr>
                <w:rFonts w:ascii="Times New Roman" w:hAnsi="Times New Roman" w:cs="Times New Roman"/>
                <w:sz w:val="24"/>
                <w:szCs w:val="24"/>
              </w:rPr>
              <w:t>Any duplicate drug class prescription e.g. two concurrent NSAIDs, SSRIs, loop diuretics, ACE inhibitors, anticoagulants (optimisation of monotherapy within a single drug class should be observed prior to considering a new agent).</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1.9 (16/852)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B: Cardiovascular System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B</w:t>
            </w:r>
            <w:r>
              <w:rPr>
                <w:rFonts w:ascii="Times New Roman" w:hAnsi="Times New Roman" w:cs="Times New Roman"/>
                <w:lang w:val="en-IE" w:eastAsia="en-GB"/>
              </w:rPr>
              <w:t>1:</w:t>
            </w:r>
            <w:r>
              <w:rPr>
                <w:rFonts w:ascii="Times New Roman" w:hAnsi="Times New Roman" w:cs="Times New Roman"/>
                <w:sz w:val="24"/>
                <w:szCs w:val="24"/>
              </w:rPr>
              <w:t xml:space="preserve"> Beta-blocker in combination with verapamil or diltiazem (risk of heart block).</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1.8 (15/852)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B</w:t>
            </w:r>
            <w:r>
              <w:rPr>
                <w:rFonts w:ascii="Times New Roman" w:hAnsi="Times New Roman" w:cs="Times New Roman"/>
                <w:lang w:val="en-IE" w:eastAsia="en-GB"/>
              </w:rPr>
              <w:t xml:space="preserve">2: </w:t>
            </w:r>
            <w:r>
              <w:rPr>
                <w:rFonts w:ascii="Times New Roman" w:hAnsi="Times New Roman" w:cs="Times New Roman"/>
                <w:sz w:val="24"/>
                <w:szCs w:val="24"/>
              </w:rPr>
              <w:t>Beta blocker with bradycardia (&lt; 50/min), type II heart block or complete heart block (risk of complete heart block, asystole).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0.9 (8/852)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B</w:t>
            </w:r>
            <w:r>
              <w:rPr>
                <w:rFonts w:ascii="Times New Roman" w:hAnsi="Times New Roman" w:cs="Times New Roman"/>
                <w:lang w:val="en-IE" w:eastAsia="en-GB"/>
              </w:rPr>
              <w:t xml:space="preserve">3: </w:t>
            </w:r>
            <w:r>
              <w:rPr>
                <w:rFonts w:ascii="Times New Roman" w:hAnsi="Times New Roman" w:cs="Times New Roman"/>
                <w:sz w:val="24"/>
                <w:szCs w:val="24"/>
              </w:rPr>
              <w:t>Loop diuretic for dependent ankle oedema without clinical, biochemical evidence or radiological evidence of heart failure, liver failure, nephrotic syndrome or renal failure (leg elevation and /or compression hosiery usually more appropriate).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1.1 (9/852)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B</w:t>
            </w:r>
            <w:r>
              <w:rPr>
                <w:rFonts w:ascii="Times New Roman" w:hAnsi="Times New Roman" w:cs="Times New Roman"/>
                <w:lang w:val="en-IE" w:eastAsia="en-GB"/>
              </w:rPr>
              <w:t xml:space="preserve">4: </w:t>
            </w:r>
            <w:r>
              <w:rPr>
                <w:rFonts w:ascii="Times New Roman" w:hAnsi="Times New Roman" w:cs="Times New Roman"/>
                <w:sz w:val="24"/>
                <w:szCs w:val="24"/>
              </w:rPr>
              <w:t>Thiazide diuretic with current significant hypokalaemia (i.e. serum K+ &lt; 3.0 mmol/l), hyponatraemia (i.e. serum Na+ &lt; 130 mmol/l) hypercalcaemia (i.e. corrected serum calcium &gt; 2.65 mmol/l) or with a history of gout (hypokalaemia, hyponatraemia, hypercalcaemia and gout can be precipitated by thiazide diuretic).</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1.1 (9/852)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B</w:t>
            </w:r>
            <w:r>
              <w:rPr>
                <w:rFonts w:ascii="Times New Roman" w:hAnsi="Times New Roman" w:cs="Times New Roman"/>
                <w:lang w:val="en-IE" w:eastAsia="en-GB"/>
              </w:rPr>
              <w:t xml:space="preserve">5: </w:t>
            </w:r>
            <w:r>
              <w:rPr>
                <w:rFonts w:ascii="Times New Roman" w:hAnsi="Times New Roman" w:cs="Times New Roman"/>
                <w:sz w:val="24"/>
                <w:szCs w:val="24"/>
              </w:rPr>
              <w:t>ACE inhibitors or Angiotensin Receptor Blockers in patients with hyperkalaemia.</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0.5 (4/852)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B</w:t>
            </w:r>
            <w:r>
              <w:rPr>
                <w:rFonts w:ascii="Times New Roman" w:hAnsi="Times New Roman" w:cs="Times New Roman"/>
                <w:lang w:val="en-IE" w:eastAsia="en-GB"/>
              </w:rPr>
              <w:t xml:space="preserve">6: </w:t>
            </w:r>
            <w:r>
              <w:rPr>
                <w:rFonts w:ascii="Times New Roman" w:hAnsi="Times New Roman" w:cs="Times New Roman"/>
                <w:sz w:val="24"/>
                <w:szCs w:val="24"/>
              </w:rPr>
              <w:t>Aldosterone antagonists (e.g. spironolactone, eplerenone) with concurrent potassium-conserving  drugs (e.g. ACEI’s, ARB’s, amiloride, triamterene) without monitoring of serum potassium (risk of dangerous hyperkalaemia i.e. &gt; 6.0 mmol/l – serum K should be monitored regularly, i.e. at least every 6 months).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0.4 (3/852)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C: Antiplatelet/Anticoagulant Drugs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 xml:space="preserve">1: </w:t>
            </w:r>
            <w:r>
              <w:rPr>
                <w:rFonts w:ascii="Times New Roman" w:hAnsi="Times New Roman" w:cs="Times New Roman"/>
                <w:sz w:val="24"/>
                <w:szCs w:val="24"/>
              </w:rPr>
              <w:t>Aspirin with a past history of peptic ulcer disease without concomitant PPI (risk of recurrent peptic ulcer ).</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0.9 (8/852)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ascii="Times New Roman" w:hAnsi="Times New Roman" w:cs="Times New Roman"/>
                <w:lang w:val="en-IE" w:eastAsia="en-GB"/>
              </w:rPr>
              <w:t xml:space="preserve">C2: </w:t>
            </w:r>
            <w:r>
              <w:rPr>
                <w:rFonts w:ascii="Times New Roman" w:hAnsi="Times New Roman" w:cs="Times New Roman"/>
                <w:sz w:val="24"/>
                <w:szCs w:val="24"/>
              </w:rPr>
              <w:t>Aspirin, clopidogrel, dipyridamole, vitamin K antagonists, direct thrombin inhibitors or factor Xa inhibitors with concurrent significant  bleeding risk, i.e. uncontrolled severe hypertension, bleeding diathesis, recent non-trivial spontaneous bleeding) (high risk of bleeding).</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2.2 (19/852)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 xml:space="preserve">3: </w:t>
            </w:r>
            <w:r>
              <w:rPr>
                <w:rFonts w:ascii="Times New Roman" w:hAnsi="Times New Roman" w:cs="Times New Roman"/>
                <w:sz w:val="24"/>
                <w:szCs w:val="24"/>
              </w:rPr>
              <w:t>Aspirin plus clopidogrel as secondary stroke prevention, unless the patient has a coronary stent(s) inserted in the previous 12 months or concurrent acute coronary syndrome or has a high grade symptomatic carotid arterial stenosis (no evidence of added benefit over clopidogrel monotherapy).</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10.0 (85/852)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4:</w:t>
            </w:r>
            <w:r>
              <w:rPr>
                <w:rFonts w:ascii="Times New Roman" w:hAnsi="Times New Roman" w:cs="Times New Roman"/>
                <w:sz w:val="24"/>
                <w:szCs w:val="24"/>
              </w:rPr>
              <w:t xml:space="preserve"> Aspirin in combination with vitamin K antagonist, direct thrombin inhibitor or factor Xa inhibitors in patients with chronic atrial fibrillation (no added benefit from aspirin).</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1.9 (16/852)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5:</w:t>
            </w:r>
            <w:r>
              <w:rPr>
                <w:rFonts w:ascii="Times New Roman" w:hAnsi="Times New Roman" w:cs="Times New Roman"/>
                <w:sz w:val="24"/>
                <w:szCs w:val="24"/>
              </w:rPr>
              <w:t xml:space="preserve"> Antiplatelet agents with vitamin K antagonist, direct thrombin inhibitor or factor Xa inhibitors in patients with stable coronary, cerebrovascular or peripheral arterial disease (No added benefit from dual therapy).</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4.6 (39/852)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6:</w:t>
            </w:r>
            <w:r>
              <w:rPr>
                <w:rFonts w:ascii="Times New Roman" w:hAnsi="Times New Roman" w:cs="Times New Roman"/>
                <w:sz w:val="24"/>
                <w:szCs w:val="24"/>
              </w:rPr>
              <w:t xml:space="preserve"> Ticlopidine in any circumstances (clopidogrel and prasugrel have similar efficacy, stronger evidence and fewer side-effects).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 xml:space="preserve">7: </w:t>
            </w:r>
            <w:r>
              <w:rPr>
                <w:rFonts w:ascii="Times New Roman" w:hAnsi="Times New Roman" w:cs="Times New Roman"/>
                <w:sz w:val="24"/>
                <w:szCs w:val="24"/>
              </w:rPr>
              <w:t>NSAID and vitamin K antagonist, direct thrombin inhibitor or factor Xa inhibitors in combination (risk of major gastrointestinal bleeding).</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2.6 (22/852)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C</w:t>
            </w:r>
            <w:r>
              <w:rPr>
                <w:rFonts w:ascii="Times New Roman" w:hAnsi="Times New Roman" w:cs="Times New Roman"/>
                <w:lang w:val="en-IE" w:eastAsia="en-GB"/>
              </w:rPr>
              <w:t xml:space="preserve">8: </w:t>
            </w:r>
            <w:r>
              <w:rPr>
                <w:rFonts w:ascii="Times New Roman" w:hAnsi="Times New Roman" w:cs="Times New Roman"/>
                <w:sz w:val="24"/>
                <w:szCs w:val="24"/>
              </w:rPr>
              <w:t>NSAID with concurrent antiplatelet agent(s) without PPI prophylaxis (increased risk of peptic ulcer disease).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21.7 (185/852)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D: Central Nervous System and Psychotropic Drugs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ascii="Times New Roman" w:hAnsi="Times New Roman" w:cs="Times New Roman"/>
                <w:lang w:val="en-IE" w:eastAsia="en-GB"/>
              </w:rPr>
              <w:t>D1:</w:t>
            </w:r>
            <w:r>
              <w:rPr>
                <w:rFonts w:ascii="Times New Roman" w:hAnsi="Times New Roman" w:cs="Times New Roman"/>
                <w:sz w:val="24"/>
                <w:szCs w:val="24"/>
              </w:rPr>
              <w:t xml:space="preserve"> Neuroleptics with moderate-marked antimuscarinic/anticholinergic effects (chlorpromazine, clozapine, flupenthixol, fluphenzine, pipothiazine, promazine, zuclopenthixol) with a history of prostatism or previous urinary retention (high risk of urinary retention).</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D</w:t>
            </w:r>
            <w:r>
              <w:rPr>
                <w:rFonts w:ascii="Times New Roman" w:hAnsi="Times New Roman" w:cs="Times New Roman"/>
                <w:lang w:val="en-IE" w:eastAsia="en-GB"/>
              </w:rPr>
              <w:t xml:space="preserve">2: </w:t>
            </w:r>
            <w:r>
              <w:rPr>
                <w:rFonts w:ascii="Times New Roman" w:hAnsi="Times New Roman" w:cs="Times New Roman"/>
                <w:sz w:val="24"/>
                <w:szCs w:val="24"/>
              </w:rPr>
              <w:t>Selective serotonin re-uptake inhibitors (SSRI’s) with current or recent significant hyponatraemia i.e. serum Na+ &lt; 130 mmol/l (risk of exacerbating or precipitating hyponatraemia).</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0.1 (1/852)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ascii="Times New Roman" w:hAnsi="Times New Roman" w:cs="Times New Roman"/>
                <w:lang w:val="en-IE" w:eastAsia="en-GB"/>
              </w:rPr>
              <w:t xml:space="preserve">D3: </w:t>
            </w:r>
            <w:r>
              <w:rPr>
                <w:rFonts w:ascii="Times New Roman" w:hAnsi="Times New Roman" w:cs="Times New Roman"/>
                <w:sz w:val="24"/>
                <w:szCs w:val="24"/>
              </w:rPr>
              <w:t>Antipsychotics (i.e. other than quetiapine or clozapine) in those with parkinsonism or Lewy Body Disease (risk of severe extra-pyramidal symptoms).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0.2 (2/852)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en-IE" w:eastAsia="en-GB"/>
              </w:rPr>
            </w:pPr>
            <w:r>
              <w:rPr>
                <w:rFonts w:hint="eastAsia" w:ascii="Times New Roman" w:hAnsi="Times New Roman" w:cs="Times New Roman"/>
                <w:lang w:val="en-IE" w:eastAsia="en-GB"/>
              </w:rPr>
              <w:t>D</w:t>
            </w:r>
            <w:r>
              <w:rPr>
                <w:rFonts w:ascii="Times New Roman" w:hAnsi="Times New Roman" w:cs="Times New Roman"/>
                <w:lang w:val="en-IE" w:eastAsia="en-GB"/>
              </w:rPr>
              <w:t xml:space="preserve">4: </w:t>
            </w:r>
            <w:r>
              <w:rPr>
                <w:rFonts w:ascii="Times New Roman" w:hAnsi="Times New Roman" w:cs="Times New Roman"/>
                <w:sz w:val="24"/>
                <w:szCs w:val="24"/>
              </w:rPr>
              <w:t>Anticholinergics/antimuscarinics to treat extra-pyramidal side-effects of neuroleptic medications (risk of anticholinergic toxicity).</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D</w:t>
            </w:r>
            <w:r>
              <w:rPr>
                <w:rFonts w:ascii="Times New Roman" w:hAnsi="Times New Roman" w:cs="Times New Roman"/>
                <w:lang w:val="en-IE" w:eastAsia="en-GB"/>
              </w:rPr>
              <w:t xml:space="preserve">5: </w:t>
            </w:r>
            <w:r>
              <w:rPr>
                <w:rFonts w:ascii="Times New Roman" w:hAnsi="Times New Roman" w:cs="Times New Roman"/>
                <w:sz w:val="24"/>
                <w:szCs w:val="24"/>
              </w:rPr>
              <w:t>Anticholinergics/antimuscarinics in patients with delirium or dementia (risk of exacerbation of cognitive impairment).</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0.4 (3/852)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D</w:t>
            </w:r>
            <w:r>
              <w:rPr>
                <w:rFonts w:ascii="Times New Roman" w:hAnsi="Times New Roman" w:cs="Times New Roman"/>
                <w:lang w:val="en-IE" w:eastAsia="en-GB"/>
              </w:rPr>
              <w:t xml:space="preserve">6: </w:t>
            </w:r>
            <w:r>
              <w:rPr>
                <w:rFonts w:ascii="Times New Roman" w:hAnsi="Times New Roman" w:cs="Times New Roman"/>
                <w:sz w:val="24"/>
                <w:szCs w:val="24"/>
              </w:rPr>
              <w:t>Neuroleptics as hypnotics, unless sleep disorder is due to psychosis  or dementia (risk of confusion, hypotension, extra-pyramidal side effects, falls).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0.1 (1/852)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D</w:t>
            </w:r>
            <w:r>
              <w:rPr>
                <w:rFonts w:ascii="Times New Roman" w:hAnsi="Times New Roman" w:cs="Times New Roman"/>
                <w:lang w:val="en-IE" w:eastAsia="en-GB"/>
              </w:rPr>
              <w:t xml:space="preserve">7: </w:t>
            </w:r>
            <w:r>
              <w:rPr>
                <w:rFonts w:ascii="Times New Roman" w:hAnsi="Times New Roman" w:cs="Times New Roman"/>
                <w:sz w:val="24"/>
                <w:szCs w:val="24"/>
              </w:rPr>
              <w:t>Levodopa or dopamine agonists for benign essential tremor (no evidence of efficacy).</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0.6 (5/852)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D</w:t>
            </w:r>
            <w:r>
              <w:rPr>
                <w:rFonts w:ascii="Times New Roman" w:hAnsi="Times New Roman" w:cs="Times New Roman"/>
                <w:lang w:val="en-IE" w:eastAsia="en-GB"/>
              </w:rPr>
              <w:t xml:space="preserve">8: </w:t>
            </w:r>
            <w:r>
              <w:rPr>
                <w:rFonts w:ascii="Times New Roman" w:hAnsi="Times New Roman" w:cs="Times New Roman"/>
                <w:sz w:val="24"/>
                <w:szCs w:val="24"/>
              </w:rPr>
              <w:t>First-generation antihistamines (safer, less toxic antihistamines now widely available).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0.5 (4/852)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E: Renal System. The following drugs are potentially inappropriate in older people with acute or chronic kidney disease with renal function below particular levels of eGFR (refer to summary of product characteristics datasheets and local formulary guidelines)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E</w:t>
            </w:r>
            <w:r>
              <w:rPr>
                <w:rFonts w:ascii="Times New Roman" w:hAnsi="Times New Roman" w:cs="Times New Roman"/>
                <w:lang w:val="en-IE" w:eastAsia="en-GB"/>
              </w:rPr>
              <w:t xml:space="preserve">1: </w:t>
            </w:r>
            <w:r>
              <w:rPr>
                <w:rFonts w:ascii="Times New Roman" w:hAnsi="Times New Roman" w:cs="Times New Roman"/>
                <w:sz w:val="24"/>
                <w:szCs w:val="24"/>
              </w:rPr>
              <w:t>Direct thrombin inhibitors (e.g. dabigatran)  if eGFR &lt; 30 ml/min/1.73m2 (risk of bleeding).</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E</w:t>
            </w:r>
            <w:r>
              <w:rPr>
                <w:rFonts w:ascii="Times New Roman" w:hAnsi="Times New Roman" w:cs="Times New Roman"/>
                <w:lang w:val="en-IE" w:eastAsia="en-GB"/>
              </w:rPr>
              <w:t xml:space="preserve">2: </w:t>
            </w:r>
            <w:r>
              <w:rPr>
                <w:rFonts w:ascii="Times New Roman" w:hAnsi="Times New Roman" w:cs="Times New Roman"/>
                <w:sz w:val="24"/>
                <w:szCs w:val="24"/>
              </w:rPr>
              <w:t>Factor Xa inhibitors (e.g. rivaroxaban, apixaban) if eGFR &lt; 15 ml/min/1.73m2 (risk of bleeding).</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E</w:t>
            </w:r>
            <w:r>
              <w:rPr>
                <w:rFonts w:ascii="Times New Roman" w:hAnsi="Times New Roman" w:cs="Times New Roman"/>
                <w:lang w:val="en-IE" w:eastAsia="en-GB"/>
              </w:rPr>
              <w:t xml:space="preserve">3: </w:t>
            </w:r>
            <w:r>
              <w:rPr>
                <w:rFonts w:ascii="Times New Roman" w:hAnsi="Times New Roman" w:cs="Times New Roman"/>
                <w:sz w:val="24"/>
                <w:szCs w:val="24"/>
              </w:rPr>
              <w:t>NSAID’s if eGFR &lt; 50 ml/min/1.73m2  (risk of deterioration in renal function).</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7.5 (64/852)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E</w:t>
            </w:r>
            <w:r>
              <w:rPr>
                <w:rFonts w:ascii="Times New Roman" w:hAnsi="Times New Roman" w:cs="Times New Roman"/>
                <w:lang w:val="en-IE" w:eastAsia="en-GB"/>
              </w:rPr>
              <w:t xml:space="preserve">4: </w:t>
            </w:r>
            <w:r>
              <w:rPr>
                <w:rFonts w:ascii="Times New Roman" w:hAnsi="Times New Roman" w:cs="Times New Roman"/>
                <w:sz w:val="24"/>
                <w:szCs w:val="24"/>
              </w:rPr>
              <w:t>Colchicine if eGFR &lt; 10 ml/min/1.73m2 (risk of colchicine toxicity).</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E</w:t>
            </w:r>
            <w:r>
              <w:rPr>
                <w:rFonts w:ascii="Times New Roman" w:hAnsi="Times New Roman" w:cs="Times New Roman"/>
                <w:lang w:val="en-IE" w:eastAsia="en-GB"/>
              </w:rPr>
              <w:t xml:space="preserve">5: </w:t>
            </w:r>
            <w:r>
              <w:rPr>
                <w:rFonts w:ascii="Times New Roman" w:hAnsi="Times New Roman" w:cs="Times New Roman"/>
                <w:sz w:val="24"/>
                <w:szCs w:val="24"/>
              </w:rPr>
              <w:t>Metformin if eGFR &lt; 30 ml/min/1.73m2 (risk of lactic acidosis).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0.2 (2/852)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F: Gastrointestinal System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F</w:t>
            </w:r>
            <w:r>
              <w:rPr>
                <w:rFonts w:ascii="Times New Roman" w:hAnsi="Times New Roman" w:cs="Times New Roman"/>
                <w:lang w:val="en-IE" w:eastAsia="en-GB"/>
              </w:rPr>
              <w:t xml:space="preserve">1: </w:t>
            </w:r>
            <w:r>
              <w:rPr>
                <w:rFonts w:ascii="Times New Roman" w:hAnsi="Times New Roman" w:cs="Times New Roman"/>
                <w:sz w:val="24"/>
                <w:szCs w:val="24"/>
              </w:rPr>
              <w:t>Prochlorperazine or metoclopramide with Parkinsonism (risk of exacerbating Parkinsonian symptoms).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G: Respiratory System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G</w:t>
            </w:r>
            <w:r>
              <w:rPr>
                <w:rFonts w:ascii="Times New Roman" w:hAnsi="Times New Roman" w:cs="Times New Roman"/>
                <w:lang w:val="en-IE" w:eastAsia="en-GB"/>
              </w:rPr>
              <w:t xml:space="preserve">1: </w:t>
            </w:r>
            <w:r>
              <w:rPr>
                <w:rFonts w:ascii="Times New Roman" w:hAnsi="Times New Roman" w:cs="Times New Roman"/>
                <w:sz w:val="24"/>
                <w:szCs w:val="24"/>
              </w:rPr>
              <w:t>Theophylline as monotherapy for COPD (safer, more effective alternative; risk of adverse effects due to narrow therapeutic index).</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0.2 (2/852)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G</w:t>
            </w:r>
            <w:r>
              <w:rPr>
                <w:rFonts w:ascii="Times New Roman" w:hAnsi="Times New Roman" w:cs="Times New Roman"/>
                <w:lang w:val="en-IE" w:eastAsia="en-GB"/>
              </w:rPr>
              <w:t xml:space="preserve">2: </w:t>
            </w:r>
            <w:r>
              <w:rPr>
                <w:rFonts w:ascii="Times New Roman" w:hAnsi="Times New Roman" w:cs="Times New Roman"/>
                <w:sz w:val="24"/>
                <w:szCs w:val="24"/>
              </w:rPr>
              <w:t>Non-selective beta-blocker (whether oral or topical for glaucoma) with a history of asthma requiring treatment (risk of increased bronchospasm).</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0.1 (1/852)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H: Musculoskeletal System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H</w:t>
            </w:r>
            <w:r>
              <w:rPr>
                <w:rFonts w:ascii="Times New Roman" w:hAnsi="Times New Roman" w:cs="Times New Roman"/>
                <w:lang w:val="en-IE" w:eastAsia="en-GB"/>
              </w:rPr>
              <w:t xml:space="preserve">1: </w:t>
            </w:r>
            <w:r>
              <w:rPr>
                <w:rFonts w:ascii="Times New Roman" w:hAnsi="Times New Roman" w:cs="Times New Roman"/>
                <w:sz w:val="24"/>
                <w:szCs w:val="24"/>
              </w:rPr>
              <w:t>Non-steroidal anti-inflammatory drug (NSAID) other than COX-2 selective agents with history of peptic ulcer disease or gastrointestinal bleeding, unless with concurrent PPI or H2 antagonist (risk of peptic ulcer relapse).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0.5 (4/852)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H</w:t>
            </w:r>
            <w:r>
              <w:rPr>
                <w:rFonts w:ascii="Times New Roman" w:hAnsi="Times New Roman" w:cs="Times New Roman"/>
                <w:lang w:val="en-IE" w:eastAsia="en-GB"/>
              </w:rPr>
              <w:t xml:space="preserve">2: </w:t>
            </w:r>
            <w:r>
              <w:rPr>
                <w:rFonts w:ascii="Times New Roman" w:hAnsi="Times New Roman" w:cs="Times New Roman"/>
                <w:sz w:val="24"/>
                <w:szCs w:val="24"/>
              </w:rPr>
              <w:t>Corticosteroids (other than periodic intra-articular injections for mono-articular pain) for osteoarthritis (risk of systemic corticosteroid side-effects).</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0.1 (1/852)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H</w:t>
            </w:r>
            <w:r>
              <w:rPr>
                <w:rFonts w:ascii="Times New Roman" w:hAnsi="Times New Roman" w:cs="Times New Roman"/>
                <w:lang w:val="en-IE" w:eastAsia="en-GB"/>
              </w:rPr>
              <w:t xml:space="preserve">3: </w:t>
            </w:r>
            <w:r>
              <w:rPr>
                <w:rFonts w:ascii="Times New Roman" w:hAnsi="Times New Roman" w:cs="Times New Roman"/>
                <w:sz w:val="24"/>
                <w:szCs w:val="24"/>
              </w:rPr>
              <w:t>NSAID with concurrent corticosteroids without PPI prophylaxis (increased risk of peptic ulcer disease).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0.4 (3/852)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J. Endocrine System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J</w:t>
            </w:r>
            <w:r>
              <w:rPr>
                <w:rFonts w:ascii="Times New Roman" w:hAnsi="Times New Roman" w:cs="Times New Roman"/>
                <w:lang w:val="en-IE" w:eastAsia="en-GB"/>
              </w:rPr>
              <w:t xml:space="preserve">1: </w:t>
            </w:r>
            <w:r>
              <w:rPr>
                <w:rFonts w:ascii="Times New Roman" w:hAnsi="Times New Roman" w:cs="Times New Roman"/>
                <w:sz w:val="24"/>
                <w:szCs w:val="24"/>
              </w:rPr>
              <w:t>Sulphonylureas with a long duration of action (e.g. glibenclamide, chlorpropamide, glimepiride) with type 2 diabetes mellitus (risk of prolonged hypoglycaemia).</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4.6 (39/852)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ascii="Times New Roman" w:hAnsi="Times New Roman" w:cs="Times New Roman"/>
                <w:lang w:val="en-IE" w:eastAsia="en-GB"/>
              </w:rPr>
              <w:t xml:space="preserve">J2: </w:t>
            </w:r>
            <w:r>
              <w:rPr>
                <w:rFonts w:ascii="Times New Roman" w:hAnsi="Times New Roman" w:cs="Times New Roman"/>
                <w:sz w:val="24"/>
                <w:szCs w:val="24"/>
              </w:rPr>
              <w:t>Thiazolidenediones (e.g. rosiglitazone, pioglitazone) in patients with heart failure (risk of exacerbation of heart failure).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0.1 (1/852)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J</w:t>
            </w:r>
            <w:r>
              <w:rPr>
                <w:rFonts w:ascii="Times New Roman" w:hAnsi="Times New Roman" w:cs="Times New Roman"/>
                <w:lang w:val="en-IE" w:eastAsia="en-GB"/>
              </w:rPr>
              <w:t xml:space="preserve">3: </w:t>
            </w:r>
            <w:r>
              <w:rPr>
                <w:rFonts w:ascii="Times New Roman" w:hAnsi="Times New Roman" w:cs="Times New Roman"/>
                <w:sz w:val="24"/>
                <w:szCs w:val="24"/>
              </w:rPr>
              <w:t>Oestrogens with a history of breast cancer or venous thromboembolism (increased risk of recurrence).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K: Drugs that predictably increase the risk of falls in older people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ascii="Times New Roman" w:hAnsi="Times New Roman" w:cs="Times New Roman"/>
                <w:lang w:val="en-IE" w:eastAsia="en-GB"/>
              </w:rPr>
              <w:t xml:space="preserve">K1: </w:t>
            </w:r>
            <w:r>
              <w:rPr>
                <w:rFonts w:ascii="Times New Roman" w:hAnsi="Times New Roman" w:cs="Times New Roman"/>
                <w:color w:val="333333"/>
                <w:sz w:val="24"/>
                <w:szCs w:val="24"/>
                <w:lang w:eastAsia="en-GB"/>
              </w:rPr>
              <w:t>Benzodiazepines (sedative, may cause reduced sensorium, impair balance).</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8.2 (70/852)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hint="eastAsia" w:ascii="Times New Roman" w:hAnsi="Times New Roman" w:cs="Times New Roman"/>
                <w:lang w:val="en-IE" w:eastAsia="en-GB"/>
              </w:rPr>
              <w:t>K</w:t>
            </w:r>
            <w:r>
              <w:rPr>
                <w:rFonts w:ascii="Times New Roman" w:hAnsi="Times New Roman" w:cs="Times New Roman"/>
                <w:lang w:val="en-IE" w:eastAsia="en-GB"/>
              </w:rPr>
              <w:t xml:space="preserve">2: </w:t>
            </w:r>
            <w:r>
              <w:rPr>
                <w:rFonts w:ascii="Times New Roman" w:hAnsi="Times New Roman" w:cs="Times New Roman"/>
                <w:color w:val="333333"/>
                <w:sz w:val="24"/>
                <w:szCs w:val="24"/>
                <w:lang w:eastAsia="en-GB"/>
              </w:rPr>
              <w:t>Neuroleptic drugs (may cause gait dyspraxia, Parkinsonism).</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2.2 (19/852)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hint="eastAsia" w:ascii="Times New Roman" w:hAnsi="Times New Roman" w:cs="Times New Roman"/>
                <w:lang w:val="en-IE" w:eastAsia="en-GB"/>
              </w:rPr>
            </w:pPr>
            <w:r>
              <w:rPr>
                <w:rFonts w:ascii="Times New Roman" w:hAnsi="Times New Roman" w:cs="Times New Roman"/>
                <w:lang w:val="en-IE" w:eastAsia="en-GB"/>
              </w:rPr>
              <w:t xml:space="preserve">K3: </w:t>
            </w:r>
            <w:r>
              <w:rPr>
                <w:rFonts w:ascii="Times New Roman" w:hAnsi="Times New Roman" w:cs="Times New Roman"/>
                <w:color w:val="333333"/>
                <w:sz w:val="24"/>
                <w:szCs w:val="24"/>
                <w:lang w:eastAsia="en-GB"/>
              </w:rPr>
              <w:t>Hypnotic Z-drugs e.g. zopiclone, zolpidem, zaleplon (may cause protracted daytime sedation, ataxia).</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2.7 (23/852)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en-IE" w:eastAsia="en-GB"/>
              </w:rPr>
            </w:pPr>
            <w:r>
              <w:rPr>
                <w:rFonts w:ascii="Times New Roman" w:hAnsi="Times New Roman" w:cs="Times New Roman"/>
                <w:b/>
                <w:bCs/>
                <w:color w:val="333333"/>
                <w:sz w:val="24"/>
                <w:szCs w:val="24"/>
                <w:lang w:eastAsia="en-GB"/>
              </w:rPr>
              <w:t>Section N: Antimuscarinic/Anticholinergic Drug Burden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en-IE" w:eastAsia="en-GB"/>
              </w:rPr>
            </w:pPr>
            <w:r>
              <w:rPr>
                <w:rFonts w:hint="eastAsia" w:ascii="Times New Roman" w:hAnsi="Times New Roman" w:cs="Times New Roman"/>
                <w:lang w:val="en-IE" w:eastAsia="en-GB"/>
              </w:rPr>
              <w:t>N</w:t>
            </w:r>
            <w:r>
              <w:rPr>
                <w:rFonts w:ascii="Times New Roman" w:hAnsi="Times New Roman" w:cs="Times New Roman"/>
                <w:lang w:val="en-IE" w:eastAsia="en-GB"/>
              </w:rPr>
              <w:t xml:space="preserve">1: </w:t>
            </w:r>
            <w:r>
              <w:rPr>
                <w:rFonts w:ascii="Times New Roman" w:hAnsi="Times New Roman" w:cs="Times New Roman"/>
                <w:color w:val="333333"/>
                <w:sz w:val="24"/>
                <w:szCs w:val="24"/>
                <w:lang w:eastAsia="en-GB"/>
              </w:rPr>
              <w:t>Concomitant use of two or more drugs with antimuscarinic/anticholinergic properties (e.g. bladder antispasmodics, intestinal antispasmodics, tricyclic antidepressants, first generation antihistamines) (risk of increased antimuscarinic/anticholinergic toxicity).</w:t>
            </w:r>
          </w:p>
        </w:tc>
        <w:tc>
          <w:tcPr>
            <w:tcW w:w="17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10.6 (90/852)</w:t>
            </w:r>
            <w:bookmarkStart w:id="0" w:name="_GoBack"/>
            <w:bookmarkEnd w:id="0"/>
          </w:p>
        </w:tc>
      </w:tr>
    </w:tbl>
    <w:p>
      <w:pPr>
        <w:rPr>
          <w:rFonts w:ascii="Times New Roman" w:hAnsi="Times New Roman" w:cs="Times New Roman"/>
          <w:lang w:val="en-IE" w:eastAsia="en-GB"/>
        </w:rPr>
      </w:pPr>
      <w:r>
        <w:rPr>
          <w:rFonts w:ascii="Times New Roman" w:hAnsi="Times New Roman" w:cs="Times New Roman"/>
          <w:lang w:val="en-IE" w:eastAsia="en-GB"/>
        </w:rPr>
        <w:t xml:space="preserve"> </w:t>
      </w:r>
    </w:p>
    <w:sectPr>
      <w:foot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uto" w:vAnchor="text" w:hAnchor="margin" w:xAlign="right" w:y="1"/>
      <w:rPr>
        <w:rStyle w:val="13"/>
        <w:rFonts w:cs="Calibri"/>
      </w:rPr>
    </w:pPr>
    <w:r>
      <w:rPr>
        <w:rStyle w:val="13"/>
        <w:rFonts w:cs="Calibri"/>
      </w:rPr>
      <w:fldChar w:fldCharType="begin"/>
    </w:r>
    <w:r>
      <w:rPr>
        <w:rStyle w:val="13"/>
        <w:rFonts w:cs="Calibri"/>
      </w:rPr>
      <w:instrText xml:space="preserve">PAGE  </w:instrText>
    </w:r>
    <w:r>
      <w:rPr>
        <w:rStyle w:val="13"/>
        <w:rFonts w:cs="Calibri"/>
      </w:rPr>
      <w:fldChar w:fldCharType="separate"/>
    </w:r>
    <w:r>
      <w:rPr>
        <w:rStyle w:val="13"/>
        <w:rFonts w:cs="Calibri"/>
      </w:rPr>
      <w:t>42</w:t>
    </w:r>
    <w:r>
      <w:rPr>
        <w:rStyle w:val="13"/>
        <w:rFonts w:cs="Calibri"/>
      </w:rPr>
      <w:fldChar w:fldCharType="end"/>
    </w:r>
  </w:p>
  <w:p>
    <w:pPr>
      <w:pStyle w:val="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720"/>
  <w:doNotHyphenateCaps/>
  <w:characterSpacingControl w:val="doNotCompress"/>
  <w:doNotValidateAgainstSchema/>
  <w:doNotDemarcateInvalidXml/>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0F3CEDD2-4788-4F96-98BB-E7EBFB68B898}"/>
  </w:docVars>
  <w:rsids>
    <w:rsidRoot w:val="00B50ABD"/>
    <w:rsid w:val="000040C1"/>
    <w:rsid w:val="00004C47"/>
    <w:rsid w:val="00007CCB"/>
    <w:rsid w:val="00012E77"/>
    <w:rsid w:val="00017325"/>
    <w:rsid w:val="000200E1"/>
    <w:rsid w:val="0002191C"/>
    <w:rsid w:val="00021AF1"/>
    <w:rsid w:val="00023D6D"/>
    <w:rsid w:val="00023E2D"/>
    <w:rsid w:val="00024C94"/>
    <w:rsid w:val="000274C8"/>
    <w:rsid w:val="0002790F"/>
    <w:rsid w:val="00043AFF"/>
    <w:rsid w:val="00045EE6"/>
    <w:rsid w:val="00046D77"/>
    <w:rsid w:val="00047BF5"/>
    <w:rsid w:val="00054CEB"/>
    <w:rsid w:val="00057506"/>
    <w:rsid w:val="000609EE"/>
    <w:rsid w:val="0006182C"/>
    <w:rsid w:val="00061ED4"/>
    <w:rsid w:val="00062D70"/>
    <w:rsid w:val="00064A48"/>
    <w:rsid w:val="00071E21"/>
    <w:rsid w:val="0007505B"/>
    <w:rsid w:val="000802C2"/>
    <w:rsid w:val="0008091C"/>
    <w:rsid w:val="000877BA"/>
    <w:rsid w:val="0009008A"/>
    <w:rsid w:val="0009152B"/>
    <w:rsid w:val="00095BBA"/>
    <w:rsid w:val="00095E34"/>
    <w:rsid w:val="0009627B"/>
    <w:rsid w:val="000968E2"/>
    <w:rsid w:val="000A0D11"/>
    <w:rsid w:val="000A1D27"/>
    <w:rsid w:val="000A2C42"/>
    <w:rsid w:val="000A3477"/>
    <w:rsid w:val="000A4031"/>
    <w:rsid w:val="000A796B"/>
    <w:rsid w:val="000A7B9C"/>
    <w:rsid w:val="000B289B"/>
    <w:rsid w:val="000B2B5D"/>
    <w:rsid w:val="000B3331"/>
    <w:rsid w:val="000B499B"/>
    <w:rsid w:val="000B66CC"/>
    <w:rsid w:val="000B76BD"/>
    <w:rsid w:val="000C72EE"/>
    <w:rsid w:val="000D499D"/>
    <w:rsid w:val="000D6147"/>
    <w:rsid w:val="000D6213"/>
    <w:rsid w:val="000D7A34"/>
    <w:rsid w:val="000E2922"/>
    <w:rsid w:val="000E3AF0"/>
    <w:rsid w:val="000E4B6B"/>
    <w:rsid w:val="000E60E9"/>
    <w:rsid w:val="000F0340"/>
    <w:rsid w:val="000F3916"/>
    <w:rsid w:val="000F7718"/>
    <w:rsid w:val="001251E7"/>
    <w:rsid w:val="00127C71"/>
    <w:rsid w:val="0014331D"/>
    <w:rsid w:val="00154DCE"/>
    <w:rsid w:val="001557D8"/>
    <w:rsid w:val="00156069"/>
    <w:rsid w:val="00156993"/>
    <w:rsid w:val="00161679"/>
    <w:rsid w:val="00165475"/>
    <w:rsid w:val="0016784A"/>
    <w:rsid w:val="00167C60"/>
    <w:rsid w:val="00170FB8"/>
    <w:rsid w:val="00171658"/>
    <w:rsid w:val="0017677A"/>
    <w:rsid w:val="00176C65"/>
    <w:rsid w:val="00180F2A"/>
    <w:rsid w:val="00185125"/>
    <w:rsid w:val="0018723F"/>
    <w:rsid w:val="0019069D"/>
    <w:rsid w:val="001952E9"/>
    <w:rsid w:val="001A00C3"/>
    <w:rsid w:val="001A4B3E"/>
    <w:rsid w:val="001A6668"/>
    <w:rsid w:val="001A72C6"/>
    <w:rsid w:val="001B18EB"/>
    <w:rsid w:val="001B2407"/>
    <w:rsid w:val="001B33C0"/>
    <w:rsid w:val="001B4715"/>
    <w:rsid w:val="001B7855"/>
    <w:rsid w:val="001C15BB"/>
    <w:rsid w:val="001C2010"/>
    <w:rsid w:val="001C67D0"/>
    <w:rsid w:val="001D013C"/>
    <w:rsid w:val="001D2036"/>
    <w:rsid w:val="001D4AE3"/>
    <w:rsid w:val="001D5BF6"/>
    <w:rsid w:val="001D6418"/>
    <w:rsid w:val="001E0155"/>
    <w:rsid w:val="001E1753"/>
    <w:rsid w:val="001E551F"/>
    <w:rsid w:val="001E570F"/>
    <w:rsid w:val="001E7B1E"/>
    <w:rsid w:val="001F36B7"/>
    <w:rsid w:val="001F4B34"/>
    <w:rsid w:val="002017E7"/>
    <w:rsid w:val="00206E74"/>
    <w:rsid w:val="0021043B"/>
    <w:rsid w:val="0021138D"/>
    <w:rsid w:val="00213746"/>
    <w:rsid w:val="0021376A"/>
    <w:rsid w:val="00213A9D"/>
    <w:rsid w:val="0021531B"/>
    <w:rsid w:val="00215A7A"/>
    <w:rsid w:val="00215F46"/>
    <w:rsid w:val="0021651F"/>
    <w:rsid w:val="0022754E"/>
    <w:rsid w:val="00231041"/>
    <w:rsid w:val="0023173D"/>
    <w:rsid w:val="00245311"/>
    <w:rsid w:val="002454BC"/>
    <w:rsid w:val="00246CC3"/>
    <w:rsid w:val="00247C46"/>
    <w:rsid w:val="002506F2"/>
    <w:rsid w:val="00252B55"/>
    <w:rsid w:val="002643EC"/>
    <w:rsid w:val="00264859"/>
    <w:rsid w:val="00271F45"/>
    <w:rsid w:val="0028296B"/>
    <w:rsid w:val="002868B4"/>
    <w:rsid w:val="002A1CC3"/>
    <w:rsid w:val="002A7305"/>
    <w:rsid w:val="002B0403"/>
    <w:rsid w:val="002B27AF"/>
    <w:rsid w:val="002B3825"/>
    <w:rsid w:val="002C0E2A"/>
    <w:rsid w:val="002C2420"/>
    <w:rsid w:val="002C2476"/>
    <w:rsid w:val="002C3876"/>
    <w:rsid w:val="002C3AFF"/>
    <w:rsid w:val="002C6B08"/>
    <w:rsid w:val="002D1691"/>
    <w:rsid w:val="002D19A6"/>
    <w:rsid w:val="002D21ED"/>
    <w:rsid w:val="002D3E3F"/>
    <w:rsid w:val="002D54F4"/>
    <w:rsid w:val="002D660F"/>
    <w:rsid w:val="002D76DC"/>
    <w:rsid w:val="002E177B"/>
    <w:rsid w:val="002E791C"/>
    <w:rsid w:val="002E7D7D"/>
    <w:rsid w:val="002F4415"/>
    <w:rsid w:val="002F75C2"/>
    <w:rsid w:val="00300729"/>
    <w:rsid w:val="00306CA5"/>
    <w:rsid w:val="00311BD4"/>
    <w:rsid w:val="0031768B"/>
    <w:rsid w:val="003212CE"/>
    <w:rsid w:val="003215CE"/>
    <w:rsid w:val="00337558"/>
    <w:rsid w:val="003378C4"/>
    <w:rsid w:val="00337AA4"/>
    <w:rsid w:val="00337E92"/>
    <w:rsid w:val="00343714"/>
    <w:rsid w:val="00344244"/>
    <w:rsid w:val="0035335A"/>
    <w:rsid w:val="00353D08"/>
    <w:rsid w:val="00354DCF"/>
    <w:rsid w:val="00356F1D"/>
    <w:rsid w:val="00357F30"/>
    <w:rsid w:val="003624FA"/>
    <w:rsid w:val="003674A8"/>
    <w:rsid w:val="00370B86"/>
    <w:rsid w:val="00375D1F"/>
    <w:rsid w:val="0037784D"/>
    <w:rsid w:val="00381549"/>
    <w:rsid w:val="003833F8"/>
    <w:rsid w:val="00383E5B"/>
    <w:rsid w:val="00384053"/>
    <w:rsid w:val="003954F9"/>
    <w:rsid w:val="00396CFF"/>
    <w:rsid w:val="003B1A82"/>
    <w:rsid w:val="003B41F3"/>
    <w:rsid w:val="003B6C14"/>
    <w:rsid w:val="003C03F2"/>
    <w:rsid w:val="003C0A9C"/>
    <w:rsid w:val="003C4F25"/>
    <w:rsid w:val="003D0791"/>
    <w:rsid w:val="003D1C11"/>
    <w:rsid w:val="003D516F"/>
    <w:rsid w:val="003D7502"/>
    <w:rsid w:val="003E1DA6"/>
    <w:rsid w:val="003E5993"/>
    <w:rsid w:val="003E734A"/>
    <w:rsid w:val="003E75C2"/>
    <w:rsid w:val="003F5D17"/>
    <w:rsid w:val="003F75B4"/>
    <w:rsid w:val="004009FA"/>
    <w:rsid w:val="00405802"/>
    <w:rsid w:val="00405D8F"/>
    <w:rsid w:val="004172E1"/>
    <w:rsid w:val="00420345"/>
    <w:rsid w:val="00421BD3"/>
    <w:rsid w:val="00422013"/>
    <w:rsid w:val="00424001"/>
    <w:rsid w:val="004307EF"/>
    <w:rsid w:val="00430B01"/>
    <w:rsid w:val="004313EA"/>
    <w:rsid w:val="0043254B"/>
    <w:rsid w:val="00436114"/>
    <w:rsid w:val="00444EE9"/>
    <w:rsid w:val="00461ADE"/>
    <w:rsid w:val="004662F5"/>
    <w:rsid w:val="00467BC2"/>
    <w:rsid w:val="00470182"/>
    <w:rsid w:val="004764E0"/>
    <w:rsid w:val="00477971"/>
    <w:rsid w:val="0048045D"/>
    <w:rsid w:val="004804A9"/>
    <w:rsid w:val="0048145C"/>
    <w:rsid w:val="004844A7"/>
    <w:rsid w:val="00486A1F"/>
    <w:rsid w:val="00496643"/>
    <w:rsid w:val="004A05B2"/>
    <w:rsid w:val="004A3D30"/>
    <w:rsid w:val="004A539B"/>
    <w:rsid w:val="004A6989"/>
    <w:rsid w:val="004B66A5"/>
    <w:rsid w:val="004C419D"/>
    <w:rsid w:val="004D1E9C"/>
    <w:rsid w:val="004D46A4"/>
    <w:rsid w:val="004D4AF4"/>
    <w:rsid w:val="004E44DD"/>
    <w:rsid w:val="004E7477"/>
    <w:rsid w:val="004F0817"/>
    <w:rsid w:val="004F21A1"/>
    <w:rsid w:val="004F2B2B"/>
    <w:rsid w:val="00501C75"/>
    <w:rsid w:val="00502FDF"/>
    <w:rsid w:val="00503319"/>
    <w:rsid w:val="0050475A"/>
    <w:rsid w:val="005047F3"/>
    <w:rsid w:val="00504ED6"/>
    <w:rsid w:val="00506105"/>
    <w:rsid w:val="00510970"/>
    <w:rsid w:val="00511652"/>
    <w:rsid w:val="005120CC"/>
    <w:rsid w:val="0051389E"/>
    <w:rsid w:val="00516E39"/>
    <w:rsid w:val="00517353"/>
    <w:rsid w:val="005209AC"/>
    <w:rsid w:val="005242D9"/>
    <w:rsid w:val="00524599"/>
    <w:rsid w:val="00526B9F"/>
    <w:rsid w:val="0052795D"/>
    <w:rsid w:val="005464E9"/>
    <w:rsid w:val="005508E4"/>
    <w:rsid w:val="00552414"/>
    <w:rsid w:val="005627A3"/>
    <w:rsid w:val="005679A4"/>
    <w:rsid w:val="005710B6"/>
    <w:rsid w:val="005715BB"/>
    <w:rsid w:val="00572C38"/>
    <w:rsid w:val="00572E3C"/>
    <w:rsid w:val="00575C1A"/>
    <w:rsid w:val="0057765B"/>
    <w:rsid w:val="005828E4"/>
    <w:rsid w:val="00585249"/>
    <w:rsid w:val="0059396C"/>
    <w:rsid w:val="005A27A0"/>
    <w:rsid w:val="005A2888"/>
    <w:rsid w:val="005A493F"/>
    <w:rsid w:val="005A4BAC"/>
    <w:rsid w:val="005B2D41"/>
    <w:rsid w:val="005B38FE"/>
    <w:rsid w:val="005C201C"/>
    <w:rsid w:val="005C6A10"/>
    <w:rsid w:val="005D2AEB"/>
    <w:rsid w:val="005D3622"/>
    <w:rsid w:val="005D3CBC"/>
    <w:rsid w:val="005E04C7"/>
    <w:rsid w:val="005E1E9D"/>
    <w:rsid w:val="005F0293"/>
    <w:rsid w:val="005F31B5"/>
    <w:rsid w:val="006022B4"/>
    <w:rsid w:val="00602FB6"/>
    <w:rsid w:val="00605A35"/>
    <w:rsid w:val="006078F6"/>
    <w:rsid w:val="0061364B"/>
    <w:rsid w:val="00617672"/>
    <w:rsid w:val="00621C61"/>
    <w:rsid w:val="0062220E"/>
    <w:rsid w:val="006265B9"/>
    <w:rsid w:val="00627DB7"/>
    <w:rsid w:val="006309B8"/>
    <w:rsid w:val="00630F21"/>
    <w:rsid w:val="00632A0F"/>
    <w:rsid w:val="00636DE9"/>
    <w:rsid w:val="00640673"/>
    <w:rsid w:val="00641440"/>
    <w:rsid w:val="0064378A"/>
    <w:rsid w:val="00645481"/>
    <w:rsid w:val="006458E8"/>
    <w:rsid w:val="00646FBF"/>
    <w:rsid w:val="006501D1"/>
    <w:rsid w:val="006502A4"/>
    <w:rsid w:val="00675C5F"/>
    <w:rsid w:val="00676E4D"/>
    <w:rsid w:val="0067786A"/>
    <w:rsid w:val="006806D6"/>
    <w:rsid w:val="00686FD6"/>
    <w:rsid w:val="0069108A"/>
    <w:rsid w:val="00693D25"/>
    <w:rsid w:val="00694B6C"/>
    <w:rsid w:val="00695B75"/>
    <w:rsid w:val="006A09F2"/>
    <w:rsid w:val="006A0D0D"/>
    <w:rsid w:val="006A2120"/>
    <w:rsid w:val="006A5EDB"/>
    <w:rsid w:val="006B060E"/>
    <w:rsid w:val="006B30A9"/>
    <w:rsid w:val="006B479D"/>
    <w:rsid w:val="006C2A21"/>
    <w:rsid w:val="006C6289"/>
    <w:rsid w:val="006C67FD"/>
    <w:rsid w:val="006D3EB0"/>
    <w:rsid w:val="006E2C34"/>
    <w:rsid w:val="006E3F50"/>
    <w:rsid w:val="006F1CA1"/>
    <w:rsid w:val="006F44AE"/>
    <w:rsid w:val="00700F02"/>
    <w:rsid w:val="00702F49"/>
    <w:rsid w:val="007043EB"/>
    <w:rsid w:val="007056DB"/>
    <w:rsid w:val="00706CB5"/>
    <w:rsid w:val="0071490F"/>
    <w:rsid w:val="0071702F"/>
    <w:rsid w:val="0072079E"/>
    <w:rsid w:val="0072401A"/>
    <w:rsid w:val="007268F3"/>
    <w:rsid w:val="007315C2"/>
    <w:rsid w:val="00734469"/>
    <w:rsid w:val="0074516F"/>
    <w:rsid w:val="00746EDF"/>
    <w:rsid w:val="00747E69"/>
    <w:rsid w:val="00752622"/>
    <w:rsid w:val="00756BA3"/>
    <w:rsid w:val="00770E3E"/>
    <w:rsid w:val="007800B3"/>
    <w:rsid w:val="00782626"/>
    <w:rsid w:val="00783133"/>
    <w:rsid w:val="007863C7"/>
    <w:rsid w:val="00792611"/>
    <w:rsid w:val="00795334"/>
    <w:rsid w:val="00795F97"/>
    <w:rsid w:val="00797D3F"/>
    <w:rsid w:val="007A1C13"/>
    <w:rsid w:val="007A46E9"/>
    <w:rsid w:val="007B0A59"/>
    <w:rsid w:val="007B19FC"/>
    <w:rsid w:val="007C178A"/>
    <w:rsid w:val="007C7F03"/>
    <w:rsid w:val="007D1E7F"/>
    <w:rsid w:val="007D39C9"/>
    <w:rsid w:val="007D5B6A"/>
    <w:rsid w:val="007E0EAE"/>
    <w:rsid w:val="007E1682"/>
    <w:rsid w:val="007E7CD6"/>
    <w:rsid w:val="007F2286"/>
    <w:rsid w:val="007F3C34"/>
    <w:rsid w:val="007F5D49"/>
    <w:rsid w:val="007F7538"/>
    <w:rsid w:val="00805BBB"/>
    <w:rsid w:val="008151AF"/>
    <w:rsid w:val="00815441"/>
    <w:rsid w:val="00816B13"/>
    <w:rsid w:val="0082556C"/>
    <w:rsid w:val="008268AF"/>
    <w:rsid w:val="008272BD"/>
    <w:rsid w:val="008400D2"/>
    <w:rsid w:val="00846547"/>
    <w:rsid w:val="00851DC2"/>
    <w:rsid w:val="00857EAE"/>
    <w:rsid w:val="00861DF6"/>
    <w:rsid w:val="0086504E"/>
    <w:rsid w:val="008656D1"/>
    <w:rsid w:val="0087565C"/>
    <w:rsid w:val="0088621A"/>
    <w:rsid w:val="00887C82"/>
    <w:rsid w:val="008918B5"/>
    <w:rsid w:val="00892531"/>
    <w:rsid w:val="00894259"/>
    <w:rsid w:val="00896C57"/>
    <w:rsid w:val="008A466C"/>
    <w:rsid w:val="008B6111"/>
    <w:rsid w:val="008C07F4"/>
    <w:rsid w:val="008C4E49"/>
    <w:rsid w:val="008C6A0A"/>
    <w:rsid w:val="008C7C5B"/>
    <w:rsid w:val="008D1B5A"/>
    <w:rsid w:val="008D2300"/>
    <w:rsid w:val="008E23AA"/>
    <w:rsid w:val="008E49FA"/>
    <w:rsid w:val="008E7FBF"/>
    <w:rsid w:val="008F0558"/>
    <w:rsid w:val="008F214C"/>
    <w:rsid w:val="008F2520"/>
    <w:rsid w:val="008F582B"/>
    <w:rsid w:val="008F75C6"/>
    <w:rsid w:val="008F7669"/>
    <w:rsid w:val="00901FC2"/>
    <w:rsid w:val="00904BD3"/>
    <w:rsid w:val="009056D5"/>
    <w:rsid w:val="0090705E"/>
    <w:rsid w:val="00911D9A"/>
    <w:rsid w:val="0091219A"/>
    <w:rsid w:val="00913155"/>
    <w:rsid w:val="00916D61"/>
    <w:rsid w:val="00925482"/>
    <w:rsid w:val="009277E3"/>
    <w:rsid w:val="00930DC6"/>
    <w:rsid w:val="00931290"/>
    <w:rsid w:val="0093143F"/>
    <w:rsid w:val="00936054"/>
    <w:rsid w:val="009364AA"/>
    <w:rsid w:val="009377FA"/>
    <w:rsid w:val="0094229D"/>
    <w:rsid w:val="00946FA1"/>
    <w:rsid w:val="00952478"/>
    <w:rsid w:val="00960572"/>
    <w:rsid w:val="00965209"/>
    <w:rsid w:val="0096767D"/>
    <w:rsid w:val="0097103E"/>
    <w:rsid w:val="00975286"/>
    <w:rsid w:val="00976F4B"/>
    <w:rsid w:val="009771F0"/>
    <w:rsid w:val="0099048E"/>
    <w:rsid w:val="00996A26"/>
    <w:rsid w:val="009A245F"/>
    <w:rsid w:val="009B0DC0"/>
    <w:rsid w:val="009B40A5"/>
    <w:rsid w:val="009C32CF"/>
    <w:rsid w:val="009C3B64"/>
    <w:rsid w:val="009D0210"/>
    <w:rsid w:val="009D2B83"/>
    <w:rsid w:val="009D3D1E"/>
    <w:rsid w:val="009D76DE"/>
    <w:rsid w:val="009E16FA"/>
    <w:rsid w:val="009E7737"/>
    <w:rsid w:val="009F3D5C"/>
    <w:rsid w:val="009F5480"/>
    <w:rsid w:val="00A07ABF"/>
    <w:rsid w:val="00A13505"/>
    <w:rsid w:val="00A1672F"/>
    <w:rsid w:val="00A1691D"/>
    <w:rsid w:val="00A1762A"/>
    <w:rsid w:val="00A23081"/>
    <w:rsid w:val="00A32287"/>
    <w:rsid w:val="00A336FA"/>
    <w:rsid w:val="00A4144D"/>
    <w:rsid w:val="00A45395"/>
    <w:rsid w:val="00A5223D"/>
    <w:rsid w:val="00A52241"/>
    <w:rsid w:val="00A57181"/>
    <w:rsid w:val="00A60256"/>
    <w:rsid w:val="00A649C5"/>
    <w:rsid w:val="00A705C4"/>
    <w:rsid w:val="00A713FD"/>
    <w:rsid w:val="00A74CDB"/>
    <w:rsid w:val="00A76E96"/>
    <w:rsid w:val="00A831E1"/>
    <w:rsid w:val="00A95AD9"/>
    <w:rsid w:val="00A96267"/>
    <w:rsid w:val="00A96CDA"/>
    <w:rsid w:val="00A96D43"/>
    <w:rsid w:val="00AA0D7F"/>
    <w:rsid w:val="00AA3437"/>
    <w:rsid w:val="00AA355C"/>
    <w:rsid w:val="00AB244B"/>
    <w:rsid w:val="00AB47EA"/>
    <w:rsid w:val="00AB4DE9"/>
    <w:rsid w:val="00AC0871"/>
    <w:rsid w:val="00AC260F"/>
    <w:rsid w:val="00AC472F"/>
    <w:rsid w:val="00AC5053"/>
    <w:rsid w:val="00AC7256"/>
    <w:rsid w:val="00AD1AFD"/>
    <w:rsid w:val="00AD433E"/>
    <w:rsid w:val="00AD635A"/>
    <w:rsid w:val="00AE07B3"/>
    <w:rsid w:val="00AE1E45"/>
    <w:rsid w:val="00AE2812"/>
    <w:rsid w:val="00AE28AC"/>
    <w:rsid w:val="00AF45CE"/>
    <w:rsid w:val="00AF55C7"/>
    <w:rsid w:val="00AF6CC6"/>
    <w:rsid w:val="00B027CA"/>
    <w:rsid w:val="00B060A5"/>
    <w:rsid w:val="00B07D65"/>
    <w:rsid w:val="00B100D4"/>
    <w:rsid w:val="00B10687"/>
    <w:rsid w:val="00B16D61"/>
    <w:rsid w:val="00B2377A"/>
    <w:rsid w:val="00B30692"/>
    <w:rsid w:val="00B307F3"/>
    <w:rsid w:val="00B30A3B"/>
    <w:rsid w:val="00B31843"/>
    <w:rsid w:val="00B34498"/>
    <w:rsid w:val="00B36B50"/>
    <w:rsid w:val="00B37AE0"/>
    <w:rsid w:val="00B37CE5"/>
    <w:rsid w:val="00B412AC"/>
    <w:rsid w:val="00B45AC5"/>
    <w:rsid w:val="00B5064A"/>
    <w:rsid w:val="00B50ABD"/>
    <w:rsid w:val="00B51D35"/>
    <w:rsid w:val="00B52E98"/>
    <w:rsid w:val="00B5334C"/>
    <w:rsid w:val="00B556E7"/>
    <w:rsid w:val="00B66FCB"/>
    <w:rsid w:val="00B671BB"/>
    <w:rsid w:val="00B73AE6"/>
    <w:rsid w:val="00B76CEC"/>
    <w:rsid w:val="00B76F84"/>
    <w:rsid w:val="00B84B90"/>
    <w:rsid w:val="00B852C9"/>
    <w:rsid w:val="00B85787"/>
    <w:rsid w:val="00B953E4"/>
    <w:rsid w:val="00B9779C"/>
    <w:rsid w:val="00B97C45"/>
    <w:rsid w:val="00BA3AB3"/>
    <w:rsid w:val="00BA5FB2"/>
    <w:rsid w:val="00BA6827"/>
    <w:rsid w:val="00BB088E"/>
    <w:rsid w:val="00BB4B25"/>
    <w:rsid w:val="00BB4EEB"/>
    <w:rsid w:val="00BB597B"/>
    <w:rsid w:val="00BC5A3D"/>
    <w:rsid w:val="00BD0126"/>
    <w:rsid w:val="00BD04B1"/>
    <w:rsid w:val="00BD48E7"/>
    <w:rsid w:val="00BE5858"/>
    <w:rsid w:val="00C04950"/>
    <w:rsid w:val="00C05501"/>
    <w:rsid w:val="00C11488"/>
    <w:rsid w:val="00C25258"/>
    <w:rsid w:val="00C30F26"/>
    <w:rsid w:val="00C34832"/>
    <w:rsid w:val="00C36B85"/>
    <w:rsid w:val="00C3739F"/>
    <w:rsid w:val="00C40E43"/>
    <w:rsid w:val="00C41F47"/>
    <w:rsid w:val="00C42893"/>
    <w:rsid w:val="00C43918"/>
    <w:rsid w:val="00C456FF"/>
    <w:rsid w:val="00C47008"/>
    <w:rsid w:val="00C50204"/>
    <w:rsid w:val="00C52439"/>
    <w:rsid w:val="00C52673"/>
    <w:rsid w:val="00C54B2A"/>
    <w:rsid w:val="00C6006A"/>
    <w:rsid w:val="00C6245F"/>
    <w:rsid w:val="00C6416C"/>
    <w:rsid w:val="00C657D7"/>
    <w:rsid w:val="00C6795F"/>
    <w:rsid w:val="00C80552"/>
    <w:rsid w:val="00C80B73"/>
    <w:rsid w:val="00C81DD8"/>
    <w:rsid w:val="00C869AD"/>
    <w:rsid w:val="00C87D1C"/>
    <w:rsid w:val="00C9245D"/>
    <w:rsid w:val="00C9435D"/>
    <w:rsid w:val="00C94E31"/>
    <w:rsid w:val="00C95048"/>
    <w:rsid w:val="00C969ED"/>
    <w:rsid w:val="00CA0AD6"/>
    <w:rsid w:val="00CA3852"/>
    <w:rsid w:val="00CA547C"/>
    <w:rsid w:val="00CA56AC"/>
    <w:rsid w:val="00CA666D"/>
    <w:rsid w:val="00CA7565"/>
    <w:rsid w:val="00CB4369"/>
    <w:rsid w:val="00CB490D"/>
    <w:rsid w:val="00CB5786"/>
    <w:rsid w:val="00CB7303"/>
    <w:rsid w:val="00CC27C0"/>
    <w:rsid w:val="00CC3C65"/>
    <w:rsid w:val="00CC432B"/>
    <w:rsid w:val="00CC5D4E"/>
    <w:rsid w:val="00CD091C"/>
    <w:rsid w:val="00CD2856"/>
    <w:rsid w:val="00CD45D1"/>
    <w:rsid w:val="00CD6ABB"/>
    <w:rsid w:val="00CD6D39"/>
    <w:rsid w:val="00CE00F6"/>
    <w:rsid w:val="00CE1665"/>
    <w:rsid w:val="00CE4AD8"/>
    <w:rsid w:val="00CE5F9E"/>
    <w:rsid w:val="00CF2FA9"/>
    <w:rsid w:val="00D01A94"/>
    <w:rsid w:val="00D026B9"/>
    <w:rsid w:val="00D1274C"/>
    <w:rsid w:val="00D14A09"/>
    <w:rsid w:val="00D159EA"/>
    <w:rsid w:val="00D3296B"/>
    <w:rsid w:val="00D37FFB"/>
    <w:rsid w:val="00D41B0D"/>
    <w:rsid w:val="00D43551"/>
    <w:rsid w:val="00D43EA9"/>
    <w:rsid w:val="00D446C2"/>
    <w:rsid w:val="00D46420"/>
    <w:rsid w:val="00D46DC6"/>
    <w:rsid w:val="00D47395"/>
    <w:rsid w:val="00D530F3"/>
    <w:rsid w:val="00D539D4"/>
    <w:rsid w:val="00D60885"/>
    <w:rsid w:val="00D65753"/>
    <w:rsid w:val="00D65F52"/>
    <w:rsid w:val="00D731D4"/>
    <w:rsid w:val="00D7660A"/>
    <w:rsid w:val="00D90475"/>
    <w:rsid w:val="00D91E06"/>
    <w:rsid w:val="00D92F39"/>
    <w:rsid w:val="00D960C6"/>
    <w:rsid w:val="00DA19BD"/>
    <w:rsid w:val="00DA44B8"/>
    <w:rsid w:val="00DA4713"/>
    <w:rsid w:val="00DA5DA9"/>
    <w:rsid w:val="00DB1E24"/>
    <w:rsid w:val="00DB4A33"/>
    <w:rsid w:val="00DB616D"/>
    <w:rsid w:val="00DC10DE"/>
    <w:rsid w:val="00DC34E6"/>
    <w:rsid w:val="00DC445D"/>
    <w:rsid w:val="00DC58BA"/>
    <w:rsid w:val="00DD1DA2"/>
    <w:rsid w:val="00DD60DA"/>
    <w:rsid w:val="00DE34E9"/>
    <w:rsid w:val="00DF0E93"/>
    <w:rsid w:val="00DF2B0C"/>
    <w:rsid w:val="00E06B73"/>
    <w:rsid w:val="00E07D15"/>
    <w:rsid w:val="00E1150D"/>
    <w:rsid w:val="00E12437"/>
    <w:rsid w:val="00E12491"/>
    <w:rsid w:val="00E168C1"/>
    <w:rsid w:val="00E20762"/>
    <w:rsid w:val="00E20C42"/>
    <w:rsid w:val="00E312AE"/>
    <w:rsid w:val="00E34191"/>
    <w:rsid w:val="00E349FB"/>
    <w:rsid w:val="00E35C51"/>
    <w:rsid w:val="00E41BBD"/>
    <w:rsid w:val="00E44716"/>
    <w:rsid w:val="00E45585"/>
    <w:rsid w:val="00E52698"/>
    <w:rsid w:val="00E551C9"/>
    <w:rsid w:val="00E56506"/>
    <w:rsid w:val="00E56D5F"/>
    <w:rsid w:val="00E62C31"/>
    <w:rsid w:val="00E66A4B"/>
    <w:rsid w:val="00E7171B"/>
    <w:rsid w:val="00E743D6"/>
    <w:rsid w:val="00E767F4"/>
    <w:rsid w:val="00E76CE6"/>
    <w:rsid w:val="00E80481"/>
    <w:rsid w:val="00E80CFF"/>
    <w:rsid w:val="00E82BDD"/>
    <w:rsid w:val="00E8401D"/>
    <w:rsid w:val="00E85071"/>
    <w:rsid w:val="00E856A1"/>
    <w:rsid w:val="00E86A0D"/>
    <w:rsid w:val="00E973FD"/>
    <w:rsid w:val="00EA2046"/>
    <w:rsid w:val="00EB7CE7"/>
    <w:rsid w:val="00EC3037"/>
    <w:rsid w:val="00EC7294"/>
    <w:rsid w:val="00ED3772"/>
    <w:rsid w:val="00ED4DD7"/>
    <w:rsid w:val="00ED5F23"/>
    <w:rsid w:val="00ED5FBF"/>
    <w:rsid w:val="00EE2DA3"/>
    <w:rsid w:val="00EF0C22"/>
    <w:rsid w:val="00EF0D0E"/>
    <w:rsid w:val="00EF2CCD"/>
    <w:rsid w:val="00EF3FCA"/>
    <w:rsid w:val="00EF6203"/>
    <w:rsid w:val="00EF779F"/>
    <w:rsid w:val="00F032E6"/>
    <w:rsid w:val="00F040E1"/>
    <w:rsid w:val="00F04D1E"/>
    <w:rsid w:val="00F1516A"/>
    <w:rsid w:val="00F213ED"/>
    <w:rsid w:val="00F217CE"/>
    <w:rsid w:val="00F2741B"/>
    <w:rsid w:val="00F2751F"/>
    <w:rsid w:val="00F30B40"/>
    <w:rsid w:val="00F3425F"/>
    <w:rsid w:val="00F34F13"/>
    <w:rsid w:val="00F363F0"/>
    <w:rsid w:val="00F36A07"/>
    <w:rsid w:val="00F37587"/>
    <w:rsid w:val="00F40C1A"/>
    <w:rsid w:val="00F40C7A"/>
    <w:rsid w:val="00F42784"/>
    <w:rsid w:val="00F526EF"/>
    <w:rsid w:val="00F54387"/>
    <w:rsid w:val="00F56153"/>
    <w:rsid w:val="00F57C5D"/>
    <w:rsid w:val="00F61B51"/>
    <w:rsid w:val="00F64A55"/>
    <w:rsid w:val="00F71670"/>
    <w:rsid w:val="00F7368C"/>
    <w:rsid w:val="00F738C2"/>
    <w:rsid w:val="00F74411"/>
    <w:rsid w:val="00F753F9"/>
    <w:rsid w:val="00F77A4B"/>
    <w:rsid w:val="00F80203"/>
    <w:rsid w:val="00F84718"/>
    <w:rsid w:val="00F849C5"/>
    <w:rsid w:val="00F85555"/>
    <w:rsid w:val="00F91054"/>
    <w:rsid w:val="00F92132"/>
    <w:rsid w:val="00F947ED"/>
    <w:rsid w:val="00F94AE9"/>
    <w:rsid w:val="00F950E8"/>
    <w:rsid w:val="00F95BA8"/>
    <w:rsid w:val="00F9699A"/>
    <w:rsid w:val="00FA3A89"/>
    <w:rsid w:val="00FB1E6D"/>
    <w:rsid w:val="00FB64FB"/>
    <w:rsid w:val="00FC179E"/>
    <w:rsid w:val="00FC5CAA"/>
    <w:rsid w:val="00FC62AD"/>
    <w:rsid w:val="00FD10D7"/>
    <w:rsid w:val="00FD5B16"/>
    <w:rsid w:val="00FE3DF0"/>
    <w:rsid w:val="00FE46B6"/>
    <w:rsid w:val="00FE528F"/>
    <w:rsid w:val="00FE57A2"/>
    <w:rsid w:val="00FE6988"/>
    <w:rsid w:val="00FF40A4"/>
    <w:rsid w:val="01C16AC7"/>
    <w:rsid w:val="06F14BB5"/>
    <w:rsid w:val="08024CA0"/>
    <w:rsid w:val="0DDE3227"/>
    <w:rsid w:val="19DE12C9"/>
    <w:rsid w:val="1C7C152E"/>
    <w:rsid w:val="244161F1"/>
    <w:rsid w:val="2A397878"/>
    <w:rsid w:val="2E93328A"/>
    <w:rsid w:val="2FB804EE"/>
    <w:rsid w:val="45D5212E"/>
    <w:rsid w:val="47E841DE"/>
    <w:rsid w:val="4AB9034A"/>
    <w:rsid w:val="529C3E88"/>
    <w:rsid w:val="529E7CDB"/>
    <w:rsid w:val="6C280D14"/>
    <w:rsid w:val="6D453639"/>
    <w:rsid w:val="6EAC044E"/>
    <w:rsid w:val="73F9362E"/>
    <w:rsid w:val="75D04F58"/>
    <w:rsid w:val="78E11CF7"/>
    <w:rsid w:val="7C576127"/>
  </w:rsids>
  <m:mathPr>
    <m:mathFont m:val="Cambria Math"/>
    <m:brkBin m:val="before"/>
    <m:brkBinSub m:val="--"/>
    <m:smallFrac m:val="0"/>
    <m:dispDef/>
    <m:lMargin m:val="0"/>
    <m:rMargin m:val="0"/>
    <m:defJc m:val="centerGroup"/>
    <m:wrapIndent m:val="1440"/>
    <m:intLim m:val="subSup"/>
    <m:naryLim m:val="undOvr"/>
  </m:mathPr>
  <w:doNotAutoCompressPictures/>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nhideWhenUsed="0" w:uiPriority="99" w:name="annotation text"/>
    <w:lsdException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99" w:name="HTML Preformatted"/>
    <w:lsdException w:uiPriority="99" w:name="HTML Sample"/>
    <w:lsdException w:uiPriority="99" w:name="HTML Typewriter"/>
    <w:lsdException w:uiPriority="99" w:name="HTML Variable"/>
    <w:lsdException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cs="Calibri" w:eastAsiaTheme="minorEastAsia"/>
      <w:sz w:val="22"/>
      <w:szCs w:val="22"/>
      <w:lang w:val="en-GB" w:eastAsia="en-US" w:bidi="ar-SA"/>
    </w:rPr>
  </w:style>
  <w:style w:type="paragraph" w:styleId="2">
    <w:name w:val="heading 1"/>
    <w:basedOn w:val="1"/>
    <w:next w:val="1"/>
    <w:link w:val="25"/>
    <w:qFormat/>
    <w:locked/>
    <w:uiPriority w:val="0"/>
    <w:pPr>
      <w:keepNext/>
      <w:keepLines/>
      <w:spacing w:before="340" w:after="330" w:line="578" w:lineRule="auto"/>
      <w:outlineLvl w:val="0"/>
    </w:pPr>
    <w:rPr>
      <w:b/>
      <w:bCs/>
      <w:kern w:val="44"/>
      <w:sz w:val="44"/>
      <w:szCs w:val="44"/>
    </w:rPr>
  </w:style>
  <w:style w:type="paragraph" w:styleId="3">
    <w:name w:val="heading 2"/>
    <w:basedOn w:val="1"/>
    <w:next w:val="1"/>
    <w:link w:val="24"/>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8"/>
    <w:semiHidden/>
    <w:uiPriority w:val="99"/>
    <w:pPr>
      <w:spacing w:after="0" w:line="240" w:lineRule="auto"/>
    </w:pPr>
    <w:rPr>
      <w:rFonts w:cs="Times New Roman"/>
      <w:sz w:val="20"/>
      <w:szCs w:val="20"/>
      <w:lang w:val="en-US" w:eastAsia="en-GB"/>
    </w:rPr>
  </w:style>
  <w:style w:type="paragraph" w:styleId="5">
    <w:name w:val="Balloon Text"/>
    <w:basedOn w:val="1"/>
    <w:link w:val="19"/>
    <w:semiHidden/>
    <w:uiPriority w:val="99"/>
    <w:pPr>
      <w:spacing w:after="0" w:line="240" w:lineRule="auto"/>
    </w:pPr>
    <w:rPr>
      <w:rFonts w:ascii="Tahoma" w:hAnsi="Tahoma" w:cs="Tahoma"/>
      <w:sz w:val="16"/>
      <w:szCs w:val="16"/>
      <w:lang w:val="en-US"/>
    </w:rPr>
  </w:style>
  <w:style w:type="paragraph" w:styleId="6">
    <w:name w:val="footer"/>
    <w:basedOn w:val="1"/>
    <w:link w:val="21"/>
    <w:uiPriority w:val="99"/>
    <w:pPr>
      <w:tabs>
        <w:tab w:val="center" w:pos="4320"/>
        <w:tab w:val="right" w:pos="8640"/>
      </w:tabs>
    </w:pPr>
  </w:style>
  <w:style w:type="paragraph" w:styleId="7">
    <w:name w:val="header"/>
    <w:basedOn w:val="1"/>
    <w:link w:val="23"/>
    <w:unhideWhenUsed/>
    <w:uiPriority w:val="99"/>
    <w:pPr>
      <w:tabs>
        <w:tab w:val="center" w:pos="4513"/>
        <w:tab w:val="right" w:pos="9026"/>
      </w:tabs>
    </w:pPr>
  </w:style>
  <w:style w:type="paragraph" w:styleId="8">
    <w:name w:val="HTML Preformatted"/>
    <w:basedOn w:val="1"/>
    <w:link w:val="20"/>
    <w:semiHidden/>
    <w:uiPriority w:val="99"/>
    <w:pPr>
      <w:spacing w:after="0" w:line="240" w:lineRule="auto"/>
    </w:pPr>
    <w:rPr>
      <w:rFonts w:ascii="Consolas" w:hAnsi="Consolas" w:cs="Consolas"/>
      <w:sz w:val="20"/>
      <w:szCs w:val="20"/>
      <w:lang w:val="en-US"/>
    </w:rPr>
  </w:style>
  <w:style w:type="paragraph" w:styleId="9">
    <w:name w:val="annotation subject"/>
    <w:basedOn w:val="4"/>
    <w:next w:val="4"/>
    <w:link w:val="22"/>
    <w:semiHidden/>
    <w:uiPriority w:val="99"/>
    <w:pPr>
      <w:spacing w:after="200"/>
    </w:pPr>
    <w:rPr>
      <w:rFonts w:cs="Calibri"/>
      <w:b/>
      <w:bCs/>
      <w:lang w:val="en-GB" w:eastAsia="en-US"/>
    </w:rPr>
  </w:style>
  <w:style w:type="table" w:styleId="11">
    <w:name w:val="Table Grid"/>
    <w:basedOn w:val="10"/>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uiPriority w:val="99"/>
    <w:rPr>
      <w:rFonts w:cs="Times New Roman"/>
    </w:rPr>
  </w:style>
  <w:style w:type="character" w:styleId="14">
    <w:name w:val="Hyperlink"/>
    <w:uiPriority w:val="99"/>
    <w:rPr>
      <w:rFonts w:cs="Times New Roman"/>
      <w:color w:val="0000FF"/>
      <w:u w:val="single"/>
    </w:rPr>
  </w:style>
  <w:style w:type="character" w:styleId="15">
    <w:name w:val="annotation reference"/>
    <w:semiHidden/>
    <w:uiPriority w:val="99"/>
    <w:rPr>
      <w:rFonts w:cs="Times New Roman"/>
      <w:sz w:val="16"/>
      <w:szCs w:val="16"/>
    </w:rPr>
  </w:style>
  <w:style w:type="paragraph" w:styleId="16">
    <w:name w:val="List Paragraph"/>
    <w:basedOn w:val="1"/>
    <w:qFormat/>
    <w:uiPriority w:val="99"/>
    <w:pPr>
      <w:ind w:left="720"/>
    </w:pPr>
  </w:style>
  <w:style w:type="character" w:customStyle="1" w:styleId="17">
    <w:name w:val="notranslate"/>
    <w:uiPriority w:val="99"/>
    <w:rPr>
      <w:rFonts w:cs="Times New Roman"/>
    </w:rPr>
  </w:style>
  <w:style w:type="character" w:customStyle="1" w:styleId="18">
    <w:name w:val="批注文字 字符"/>
    <w:link w:val="4"/>
    <w:locked/>
    <w:uiPriority w:val="99"/>
    <w:rPr>
      <w:rFonts w:ascii="Times New Roman" w:hAnsi="Times New Roman" w:cs="Times New Roman"/>
      <w:sz w:val="20"/>
      <w:szCs w:val="20"/>
      <w:lang w:eastAsia="en-GB"/>
    </w:rPr>
  </w:style>
  <w:style w:type="character" w:customStyle="1" w:styleId="19">
    <w:name w:val="批注框文本 字符"/>
    <w:link w:val="5"/>
    <w:semiHidden/>
    <w:locked/>
    <w:uiPriority w:val="99"/>
    <w:rPr>
      <w:rFonts w:ascii="Tahoma" w:hAnsi="Tahoma" w:cs="Tahoma"/>
      <w:sz w:val="16"/>
      <w:szCs w:val="16"/>
    </w:rPr>
  </w:style>
  <w:style w:type="character" w:customStyle="1" w:styleId="20">
    <w:name w:val="HTML 预设格式 字符"/>
    <w:link w:val="8"/>
    <w:semiHidden/>
    <w:locked/>
    <w:uiPriority w:val="99"/>
    <w:rPr>
      <w:rFonts w:ascii="Consolas" w:hAnsi="Consolas" w:cs="Consolas"/>
      <w:sz w:val="20"/>
      <w:szCs w:val="20"/>
    </w:rPr>
  </w:style>
  <w:style w:type="character" w:customStyle="1" w:styleId="21">
    <w:name w:val="页脚 字符"/>
    <w:link w:val="6"/>
    <w:semiHidden/>
    <w:locked/>
    <w:uiPriority w:val="99"/>
    <w:rPr>
      <w:rFonts w:cs="Calibri"/>
      <w:lang w:val="en-GB"/>
    </w:rPr>
  </w:style>
  <w:style w:type="character" w:customStyle="1" w:styleId="22">
    <w:name w:val="批注主题 字符"/>
    <w:link w:val="9"/>
    <w:semiHidden/>
    <w:locked/>
    <w:uiPriority w:val="99"/>
    <w:rPr>
      <w:rFonts w:ascii="Times New Roman" w:hAnsi="Times New Roman" w:cs="Calibri"/>
      <w:b/>
      <w:bCs/>
      <w:sz w:val="20"/>
      <w:szCs w:val="20"/>
      <w:lang w:val="en-GB" w:eastAsia="en-GB"/>
    </w:rPr>
  </w:style>
  <w:style w:type="character" w:customStyle="1" w:styleId="23">
    <w:name w:val="页眉 字符"/>
    <w:link w:val="7"/>
    <w:uiPriority w:val="99"/>
    <w:rPr>
      <w:rFonts w:cs="Calibri"/>
      <w:sz w:val="22"/>
      <w:szCs w:val="22"/>
      <w:lang w:val="en-GB" w:eastAsia="en-US"/>
    </w:rPr>
  </w:style>
  <w:style w:type="character" w:customStyle="1" w:styleId="24">
    <w:name w:val="标题 2 字符"/>
    <w:basedOn w:val="12"/>
    <w:link w:val="3"/>
    <w:uiPriority w:val="0"/>
    <w:rPr>
      <w:rFonts w:asciiTheme="majorHAnsi" w:hAnsiTheme="majorHAnsi" w:eastAsiaTheme="majorEastAsia" w:cstheme="majorBidi"/>
      <w:b/>
      <w:bCs/>
      <w:sz w:val="32"/>
      <w:szCs w:val="32"/>
      <w:lang w:eastAsia="en-US"/>
    </w:rPr>
  </w:style>
  <w:style w:type="character" w:customStyle="1" w:styleId="25">
    <w:name w:val="标题 1 字符"/>
    <w:basedOn w:val="12"/>
    <w:link w:val="2"/>
    <w:uiPriority w:val="0"/>
    <w:rPr>
      <w:rFonts w:cs="Calibri"/>
      <w:b/>
      <w:bCs/>
      <w:kern w:val="44"/>
      <w:sz w:val="44"/>
      <w:szCs w:val="4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67ADBC-FDB7-4F1B-9A34-428694ADC1E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College Cork</Company>
  <Pages>3</Pages>
  <Words>1105</Words>
  <Characters>6301</Characters>
  <Lines>52</Lines>
  <Paragraphs>14</Paragraphs>
  <TotalTime>75</TotalTime>
  <ScaleCrop>false</ScaleCrop>
  <LinksUpToDate>false</LinksUpToDate>
  <CharactersWithSpaces>7392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2022-03-09T16:08:00Z</dcterms:created>
  <dc:creator>Dixons Travel</dc:creator>
  <cp:lastModifiedBy>PC</cp:lastModifiedBy>
  <cp:lastPrinted>2014-02-22T21:20:00Z</cp:lastPrinted>
  <dcterms:modified xsi:type="dcterms:W3CDTF">2022-03-10T04:38:02Z</dcterms:modified>
  <dc:title>Title: STOPP &amp; START criteria for potentially inappropriate prescribing in older people: Version 2</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CE1522A8F78445DEA9770BCEE782DD90</vt:lpwstr>
  </property>
</Properties>
</file>