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12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Supplementary Materials</w:t>
      </w:r>
    </w:p>
    <w:p>
      <w:pPr>
        <w:spacing w:line="312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>
      <w:pPr>
        <w:spacing w:line="312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>
      <w:pPr>
        <w:spacing w:line="312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>
      <w:pPr>
        <w:adjustRightInd w:val="0"/>
        <w:spacing w:line="312" w:lineRule="auto"/>
        <w:ind w:firstLine="482" w:firstLineChars="200"/>
        <w:contextualSpacing/>
        <w:jc w:val="center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</w:rPr>
        <w:t>Associations of sleeping, sedentary and physical activity with phenotypic age acceleration: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 </w:t>
      </w:r>
      <w:bookmarkStart w:id="0" w:name="OLE_LINK7"/>
      <w:r>
        <w:rPr>
          <w:rFonts w:hint="eastAsia" w:ascii="Times New Roman" w:hAnsi="Times New Roman" w:cs="Times New Roman"/>
          <w:b/>
          <w:bCs/>
          <w:sz w:val="24"/>
          <w:highlight w:val="none"/>
        </w:rPr>
        <w:t>a cross-sectional isotemporal substitution model</w:t>
      </w:r>
      <w:bookmarkEnd w:id="0"/>
    </w:p>
    <w:p>
      <w:pPr>
        <w:spacing w:line="31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spacing w:line="31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spacing w:line="31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adjustRightInd w:val="0"/>
        <w:snapToGrid w:val="0"/>
        <w:spacing w:line="312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Appendix 1: </w:t>
      </w:r>
      <w:r>
        <w:rPr>
          <w:rFonts w:ascii="Times New Roman" w:hAnsi="Times New Roman" w:cs="Times New Roman"/>
          <w:b/>
          <w:bCs/>
          <w:sz w:val="24"/>
        </w:rPr>
        <w:t>Supplementary Methods</w:t>
      </w:r>
    </w:p>
    <w:p>
      <w:pPr>
        <w:adjustRightInd w:val="0"/>
        <w:snapToGrid w:val="0"/>
        <w:spacing w:line="312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Appendix 2: Supplemental Results</w:t>
      </w:r>
    </w:p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Appendix 1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Methods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2.1 Study population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this study, we used data from </w:t>
      </w:r>
      <w:r>
        <w:rPr>
          <w:rFonts w:hint="eastAsia" w:ascii="Times New Roman" w:hAnsi="Times New Roman" w:cs="Times New Roman"/>
          <w:sz w:val="24"/>
        </w:rPr>
        <w:t>two</w:t>
      </w:r>
      <w:r>
        <w:rPr>
          <w:rFonts w:ascii="Times New Roman" w:hAnsi="Times New Roman" w:cs="Times New Roman"/>
          <w:sz w:val="24"/>
        </w:rPr>
        <w:t xml:space="preserve"> NHANES survey cycles (2007–2008</w:t>
      </w:r>
      <w:r>
        <w:rPr>
          <w:rFonts w:hint="eastAsia" w:ascii="Times New Roman" w:hAnsi="Times New Roman" w:cs="Times New Roman"/>
          <w:sz w:val="24"/>
        </w:rPr>
        <w:t xml:space="preserve"> and</w:t>
      </w:r>
      <w:r>
        <w:rPr>
          <w:rFonts w:ascii="Times New Roman" w:hAnsi="Times New Roman" w:cs="Times New Roman"/>
          <w:sz w:val="24"/>
        </w:rPr>
        <w:t xml:space="preserve"> 2009–2010) to investigate </w:t>
      </w:r>
      <w:r>
        <w:rPr>
          <w:rFonts w:hint="eastAsia" w:ascii="Times New Roman" w:hAnsi="Times New Roman" w:cs="Times New Roman"/>
          <w:kern w:val="0"/>
          <w:sz w:val="24"/>
        </w:rPr>
        <w:t>sleeping, sedentary behavior, physical activity and phenotypic age acceleration</w:t>
      </w:r>
      <w:r>
        <w:rPr>
          <w:rFonts w:ascii="Times New Roman" w:hAnsi="Times New Roman" w:cs="Times New Roman"/>
          <w:sz w:val="24"/>
        </w:rPr>
        <w:t>.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highlight w:val="none"/>
        </w:rPr>
        <w:t>2.2 Measurements and variables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    </w:t>
      </w:r>
      <w:r>
        <w:rPr>
          <w:rFonts w:ascii="Times New Roman" w:hAnsi="Times New Roman" w:eastAsia="等线" w:cs="Times New Roman"/>
          <w:sz w:val="24"/>
          <w:highlight w:val="none"/>
        </w:rPr>
        <w:t>PhenoAgeAccel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was calculated by age and nine biomarkerswhich were shown below: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 xml:space="preserve">Phenotypic Age = 141.50 + </w:t>
      </w:r>
      <m:oMath>
        <m:f>
          <m:fPr>
            <m:ctrlPr>
              <w:rPr>
                <w:rFonts w:ascii="Cambria Math" w:hAnsi="Cambria Math" w:eastAsia="宋体" w:cs="Times New Roman"/>
                <w:i/>
                <w:sz w:val="24"/>
                <w:highlight w:val="none"/>
              </w:rPr>
            </m:ctrlPr>
          </m:fPr>
          <m:num>
            <m:func>
              <m:funcPr>
                <m:ctrlPr>
                  <w:rPr>
                    <w:rFonts w:ascii="Cambria Math" w:hAnsi="Cambria Math" w:eastAsia="宋体" w:cs="Times New Roman"/>
                    <w:i/>
                    <w:sz w:val="24"/>
                    <w:highlight w:val="none"/>
                  </w:rPr>
                </m:ctrlPr>
              </m:funcPr>
              <m:fName>
                <m:r>
                  <m:rPr/>
                  <w:rPr>
                    <w:rFonts w:ascii="Cambria Math" w:hAnsi="Cambria Math" w:eastAsia="宋体" w:cs="Times New Roman"/>
                    <w:sz w:val="24"/>
                    <w:highlight w:val="none"/>
                  </w:rPr>
                  <m:t>ln</m:t>
                </m:r>
                <m:ctrlPr>
                  <w:rPr>
                    <w:rFonts w:ascii="Cambria Math" w:hAnsi="Cambria Math" w:eastAsia="宋体" w:cs="Times New Roman"/>
                    <w:i/>
                    <w:sz w:val="24"/>
                    <w:highlight w:val="none"/>
                  </w:rPr>
                </m:ctrlPr>
              </m:fName>
              <m:e>
                <m:d>
                  <m:dPr>
                    <m:begChr m:val="{"/>
                    <m:endChr m:val="}"/>
                    <m:ctrlPr>
                      <w:rPr>
                        <w:rFonts w:ascii="Cambria Math" w:hAnsi="Cambria Math" w:eastAsia="宋体" w:cs="Times New Roman"/>
                        <w:i/>
                        <w:sz w:val="24"/>
                        <w:highlight w:val="none"/>
                      </w:rPr>
                    </m:ctrlPr>
                  </m:dPr>
                  <m:e>
                    <m:r>
                      <m:rPr/>
                      <w:rPr>
                        <w:rFonts w:ascii="Cambria Math" w:hAnsi="Cambria Math" w:eastAsia="宋体" w:cs="Times New Roman"/>
                        <w:sz w:val="24"/>
                        <w:highlight w:val="none"/>
                      </w:rPr>
                      <m:t>−0.00553</m:t>
                    </m:r>
                    <m:r>
                      <m:rPr/>
                      <w:rPr>
                        <w:rFonts w:hint="eastAsia" w:ascii="Cambria Math" w:hAnsi="Cambria Math" w:eastAsia="宋体" w:cs="Times New Roman"/>
                        <w:sz w:val="24"/>
                        <w:highlight w:val="none"/>
                      </w:rPr>
                      <m:t>×</m:t>
                    </m:r>
                    <m:func>
                      <m:funcPr>
                        <m:ctrlPr>
                          <w:rPr>
                            <w:rFonts w:ascii="Cambria Math" w:hAnsi="Cambria Math" w:eastAsia="宋体" w:cs="Times New Roman"/>
                            <w:i/>
                            <w:sz w:val="24"/>
                            <w:highlight w:val="none"/>
                          </w:rPr>
                        </m:ctrlPr>
                      </m:funcPr>
                      <m:fName>
                        <m:r>
                          <m:rPr/>
                          <w:rPr>
                            <w:rFonts w:ascii="Cambria Math" w:hAnsi="Cambria Math" w:eastAsia="宋体" w:cs="Times New Roman"/>
                            <w:sz w:val="24"/>
                            <w:highlight w:val="none"/>
                          </w:rPr>
                          <m:t>ln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sz w:val="24"/>
                            <w:highlight w:val="none"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4"/>
                                <w:highlight w:val="none"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sz w:val="24"/>
                                <w:highlight w:val="none"/>
                              </w:rPr>
                              <m:t>1−mortality risk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sz w:val="24"/>
                                <w:highlight w:val="none"/>
                              </w:rPr>
                            </m:ctrlPr>
                          </m:e>
                        </m:d>
                        <m:ctrlPr>
                          <w:rPr>
                            <w:rFonts w:ascii="Cambria Math" w:hAnsi="Cambria Math" w:eastAsia="宋体" w:cs="Times New Roman"/>
                            <w:i/>
                            <w:sz w:val="24"/>
                            <w:highlight w:val="none"/>
                          </w:rPr>
                        </m:ctrlPr>
                      </m:e>
                    </m:func>
                    <m:ctrlPr>
                      <w:rPr>
                        <w:rFonts w:ascii="Cambria Math" w:hAnsi="Cambria Math" w:eastAsia="宋体" w:cs="Times New Roman"/>
                        <w:i/>
                        <w:sz w:val="24"/>
                        <w:highlight w:val="none"/>
                      </w:rPr>
                    </m:ctrlPr>
                  </m:e>
                </m:d>
                <m:ctrlPr>
                  <w:rPr>
                    <w:rFonts w:ascii="Cambria Math" w:hAnsi="Cambria Math" w:eastAsia="宋体" w:cs="Times New Roman"/>
                    <w:i/>
                    <w:sz w:val="24"/>
                    <w:highlight w:val="none"/>
                  </w:rPr>
                </m:ctrlPr>
              </m:e>
            </m:func>
            <m:ctrlPr>
              <w:rPr>
                <w:rFonts w:ascii="Cambria Math" w:hAnsi="Cambria Math" w:eastAsia="宋体" w:cs="Times New Roman"/>
                <w:i/>
                <w:sz w:val="24"/>
                <w:highlight w:val="none"/>
              </w:rPr>
            </m:ctrlPr>
          </m:num>
          <m:den>
            <m:r>
              <m:rPr/>
              <w:rPr>
                <w:rFonts w:ascii="Cambria Math" w:hAnsi="Cambria Math" w:eastAsia="宋体" w:cs="Times New Roman"/>
                <w:sz w:val="24"/>
                <w:highlight w:val="none"/>
              </w:rPr>
              <m:t>0.090165</m:t>
            </m:r>
            <m:ctrlPr>
              <w:rPr>
                <w:rFonts w:ascii="Cambria Math" w:hAnsi="Cambria Math" w:eastAsia="宋体" w:cs="Times New Roman"/>
                <w:i/>
                <w:sz w:val="24"/>
                <w:highlight w:val="none"/>
              </w:rPr>
            </m:ctrlPr>
          </m:den>
        </m:f>
      </m:oMath>
    </w:p>
    <w:p>
      <w:pPr>
        <w:widowControl/>
        <w:spacing w:line="360" w:lineRule="auto"/>
        <w:ind w:left="210" w:leftChars="100" w:firstLine="480" w:firstLineChars="200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>where Mortality risk = 1 − exp (</w:t>
      </w:r>
      <m:oMath>
        <m:f>
          <m:fPr>
            <m:ctrlPr>
              <w:rPr>
                <w:rFonts w:ascii="Cambria Math" w:hAnsi="Cambria Math" w:eastAsia="宋体" w:cs="Times New Roman"/>
                <w:i/>
                <w:sz w:val="24"/>
                <w:highlight w:val="none"/>
              </w:rPr>
            </m:ctrlPr>
          </m:fPr>
          <m:num>
            <m:r>
              <m:rPr/>
              <w:rPr>
                <w:rFonts w:ascii="Cambria Math" w:hAnsi="Cambria Math" w:eastAsia="宋体" w:cs="Times New Roman"/>
                <w:sz w:val="24"/>
                <w:highlight w:val="none"/>
              </w:rPr>
              <m:t>−1.51714 × e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sz w:val="24"/>
                <w:highlight w:val="none"/>
              </w:rPr>
              <m:t>x</m:t>
            </m:r>
            <m:r>
              <m:rPr/>
              <w:rPr>
                <w:rFonts w:ascii="Cambria Math" w:hAnsi="Cambria Math" w:eastAsia="宋体" w:cs="Times New Roman"/>
                <w:sz w:val="24"/>
                <w:highlight w:val="none"/>
              </w:rPr>
              <m:t>p (</m:t>
            </m:r>
            <m:r>
              <m:rPr>
                <m:sty m:val="p"/>
              </m:rPr>
              <w:rPr>
                <w:rFonts w:ascii="Cambria Math" w:hAnsi="Cambria Math" w:eastAsia="宋体" w:cs="Times New Roman"/>
                <w:sz w:val="24"/>
                <w:highlight w:val="none"/>
              </w:rPr>
              <m:t>x</m:t>
            </m:r>
            <m:r>
              <m:rPr/>
              <w:rPr>
                <w:rFonts w:ascii="Cambria Math" w:hAnsi="Cambria Math" w:eastAsia="宋体" w:cs="Times New Roman"/>
                <w:sz w:val="24"/>
                <w:highlight w:val="none"/>
              </w:rPr>
              <m:t>b)</m:t>
            </m:r>
            <m:ctrlPr>
              <w:rPr>
                <w:rFonts w:ascii="Cambria Math" w:hAnsi="Cambria Math" w:eastAsia="宋体" w:cs="Times New Roman"/>
                <w:i/>
                <w:sz w:val="24"/>
                <w:highlight w:val="none"/>
              </w:rPr>
            </m:ctrlPr>
          </m:num>
          <m:den>
            <m:r>
              <m:rPr/>
              <w:rPr>
                <w:rFonts w:ascii="Cambria Math" w:hAnsi="Cambria Math" w:eastAsia="宋体" w:cs="Times New Roman"/>
                <w:sz w:val="24"/>
                <w:highlight w:val="none"/>
              </w:rPr>
              <m:t xml:space="preserve">0.0076927 </m:t>
            </m:r>
            <m:ctrlPr>
              <w:rPr>
                <w:rFonts w:ascii="Cambria Math" w:hAnsi="Cambria Math" w:eastAsia="宋体" w:cs="Times New Roman"/>
                <w:i/>
                <w:sz w:val="24"/>
                <w:highlight w:val="none"/>
              </w:rPr>
            </m:ctrlPr>
          </m:den>
        </m:f>
      </m:oMath>
      <w:r>
        <w:rPr>
          <w:rFonts w:ascii="Times New Roman" w:hAnsi="Times New Roman" w:eastAsia="宋体" w:cs="Times New Roman"/>
          <w:sz w:val="24"/>
          <w:highlight w:val="none"/>
        </w:rPr>
        <w:t>)</w:t>
      </w:r>
    </w:p>
    <w:p>
      <w:pPr>
        <w:widowControl/>
        <w:spacing w:line="360" w:lineRule="auto"/>
        <w:ind w:left="210" w:leftChars="100" w:firstLine="480" w:firstLineChars="200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>and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>xb = − 19.907 − 0.0336 × albumin + 0.0095 × creatinine +0.1953 × glucose +</w:t>
      </w:r>
    </w:p>
    <w:p>
      <w:pPr>
        <w:widowControl/>
        <w:spacing w:line="360" w:lineRule="auto"/>
        <w:ind w:left="1050" w:leftChars="500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宋体" w:cs="Times New Roman"/>
          <w:sz w:val="24"/>
          <w:highlight w:val="none"/>
        </w:rPr>
        <w:t xml:space="preserve">0.0954 × </w:t>
      </w:r>
      <w:r>
        <w:rPr>
          <w:rFonts w:ascii="Times New Roman" w:hAnsi="Times New Roman" w:eastAsia="宋体" w:cs="Times New Roman"/>
          <w:i/>
          <w:iCs/>
          <w:sz w:val="24"/>
          <w:highlight w:val="none"/>
        </w:rPr>
        <w:t>ln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(C−reactive protein) − 0.0120 ×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none"/>
        </w:rPr>
        <w:t>lymphocyte percentage + 0.0268 × mean cell volume + 0.3306 ×red blood cell distribution width + 0.00188 × alkaline phosphatase +0.0554 × white blood cell count + 0.0804 × chronological age</w:t>
      </w:r>
    </w:p>
    <w:p>
      <w:pPr>
        <w:widowControl/>
        <w:spacing w:line="360" w:lineRule="auto"/>
        <w:ind w:firstLine="480" w:firstLineChars="200"/>
        <w:rPr>
          <w:rFonts w:ascii="Times New Roman" w:hAnsi="Times New Roman" w:eastAsia="宋体" w:cs="Times New Roman"/>
          <w:sz w:val="24"/>
          <w:highlight w:val="none"/>
        </w:rPr>
      </w:pPr>
      <w:r>
        <w:rPr>
          <w:rFonts w:ascii="Times New Roman" w:hAnsi="Times New Roman" w:eastAsia="等线" w:cs="Times New Roman"/>
          <w:sz w:val="24"/>
          <w:highlight w:val="none"/>
        </w:rPr>
        <w:t>PhenoAgeAccel</w:t>
      </w:r>
      <w:r>
        <w:rPr>
          <w:rFonts w:ascii="Times New Roman" w:hAnsi="Times New Roman" w:eastAsia="宋体" w:cs="Times New Roman"/>
          <w:sz w:val="24"/>
          <w:highlight w:val="none"/>
        </w:rPr>
        <w:t xml:space="preserve"> = Phenotypic Age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none"/>
        </w:rPr>
        <w:t>−</w:t>
      </w:r>
      <w:r>
        <w:rPr>
          <w:rFonts w:hint="eastAsia" w:ascii="Times New Roman" w:hAnsi="Times New Roman" w:eastAsia="宋体" w:cs="Times New Roman"/>
          <w:sz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none"/>
        </w:rPr>
        <w:t>A</w:t>
      </w:r>
      <w:r>
        <w:rPr>
          <w:rFonts w:hint="eastAsia" w:ascii="Times New Roman" w:hAnsi="Times New Roman" w:eastAsia="宋体" w:cs="Times New Roman"/>
          <w:sz w:val="24"/>
          <w:highlight w:val="none"/>
        </w:rPr>
        <w:t>ge</w:t>
      </w:r>
    </w:p>
    <w:p>
      <w:pPr>
        <w:adjustRightInd w:val="0"/>
        <w:snapToGrid w:val="0"/>
        <w:rPr>
          <w:rFonts w:ascii="Times New Roman" w:hAnsi="Times New Roman" w:cs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rPr>
          <w:rFonts w:ascii="Times New Roman" w:hAnsi="Times New Roman"/>
          <w:b/>
          <w:bCs/>
          <w:sz w:val="24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Appendix </w:t>
      </w:r>
      <w:r>
        <w:rPr>
          <w:rFonts w:hint="eastAsia" w:ascii="Times New Roman" w:hAnsi="Times New Roman"/>
          <w:b/>
          <w:bCs/>
          <w:sz w:val="24"/>
        </w:rPr>
        <w:t>2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Results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drawing>
          <wp:inline distT="0" distB="0" distL="114300" distR="114300">
            <wp:extent cx="5266690" cy="5450205"/>
            <wp:effectExtent l="0" t="0" r="3810" b="10795"/>
            <wp:docPr id="1" name="图片 1" descr="ee731cde81ef0e56e487db7446676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731cde81ef0e56e487db74466769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4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eastAsia="AdvOT863180fb" w:cs="Times New Roman"/>
          <w:color w:val="000000"/>
          <w:kern w:val="0"/>
          <w:sz w:val="24"/>
          <w:lang w:bidi="ar"/>
        </w:rPr>
        <w:t>Figure</w:t>
      </w:r>
      <w:r>
        <w:rPr>
          <w:rFonts w:ascii="Times New Roman" w:hAnsi="Times New Roman" w:eastAsia="AdvOT863180fb" w:cs="Times New Roman"/>
          <w:color w:val="000000"/>
          <w:kern w:val="0"/>
          <w:sz w:val="24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lang w:bidi="ar"/>
        </w:rPr>
        <w:t>S</w:t>
      </w:r>
      <w:r>
        <w:rPr>
          <w:rFonts w:ascii="Times New Roman" w:hAnsi="Times New Roman" w:eastAsia="AdvOT863180fb" w:cs="Times New Roman"/>
          <w:color w:val="000000"/>
          <w:kern w:val="0"/>
          <w:sz w:val="24"/>
          <w:lang w:bidi="ar"/>
        </w:rPr>
        <w:t>1</w:t>
      </w:r>
      <w:r>
        <w:rPr>
          <w:rFonts w:hint="eastAsia" w:ascii="Times New Roman" w:hAnsi="Times New Roman" w:eastAsia="AdvOT863180fb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Flow chart of the population included in the final analysis of our study.</w:t>
      </w:r>
    </w:p>
    <w:p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</w:rPr>
      </w:pPr>
    </w:p>
    <w:p>
      <w:pPr>
        <w:spacing w:after="156" w:afterLines="50"/>
        <w:jc w:val="center"/>
        <w:rPr>
          <w:rFonts w:ascii="Times New Roman" w:hAnsi="Times New Roman" w:cs="Times New Roman"/>
          <w:sz w:val="24"/>
          <w:szCs w:val="28"/>
          <w:highlight w:val="none"/>
        </w:rPr>
      </w:pPr>
      <w:r>
        <w:rPr>
          <w:rFonts w:ascii="Times New Roman" w:hAnsi="Times New Roman" w:cs="Times New Roman"/>
          <w:sz w:val="24"/>
          <w:szCs w:val="28"/>
          <w:highlight w:val="none"/>
        </w:rPr>
        <w:t>Table S1. The Classifications of Covariates.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2"/>
        <w:gridCol w:w="5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highlight w:val="none"/>
              </w:rPr>
              <w:t>Covariates</w:t>
            </w:r>
          </w:p>
        </w:tc>
        <w:tc>
          <w:tcPr>
            <w:tcW w:w="347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highlight w:val="none"/>
              </w:rPr>
              <w:t>Classifications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top w:val="single" w:color="auto" w:sz="4" w:space="0"/>
            </w:tcBorders>
          </w:tcPr>
          <w:p>
            <w:pPr>
              <w:tabs>
                <w:tab w:val="left" w:pos="1178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Sex</w:t>
            </w:r>
          </w:p>
        </w:tc>
        <w:tc>
          <w:tcPr>
            <w:tcW w:w="3479" w:type="pct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1: Men; 2</w:t>
            </w:r>
            <w:r>
              <w:rPr>
                <w:rFonts w:hint="eastAsia" w:ascii="Times New Roman" w:hAnsi="Times New Roman" w:cs="Times New Roman"/>
                <w:sz w:val="24"/>
                <w:szCs w:val="28"/>
                <w:highlight w:val="non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 xml:space="preserve"> women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Race</w:t>
            </w:r>
          </w:p>
        </w:tc>
        <w:tc>
          <w:tcPr>
            <w:tcW w:w="347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0: non-Hispanic white; 1: others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Education</w:t>
            </w:r>
          </w:p>
        </w:tc>
        <w:tc>
          <w:tcPr>
            <w:tcW w:w="347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0: under high school; 1: high school or above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Drinking</w:t>
            </w:r>
          </w:p>
        </w:tc>
        <w:tc>
          <w:tcPr>
            <w:tcW w:w="347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0: non-drinker; 1: ever-drinker; 2: current-drinker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Smoking status</w:t>
            </w:r>
          </w:p>
        </w:tc>
        <w:tc>
          <w:tcPr>
            <w:tcW w:w="347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0: non-smoker; 1: ever-smoker; 2</w:t>
            </w:r>
            <w:r>
              <w:rPr>
                <w:rFonts w:hint="eastAsia" w:ascii="Times New Roman" w:hAnsi="Times New Roman" w:cs="Times New Roman"/>
                <w:sz w:val="24"/>
                <w:szCs w:val="28"/>
                <w:highlight w:val="non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 xml:space="preserve"> current-smoker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Coffee</w:t>
            </w:r>
          </w:p>
        </w:tc>
        <w:tc>
          <w:tcPr>
            <w:tcW w:w="3479" w:type="pct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>0: &lt;one cup per day; 1: ≥one cup per day)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1" w:type="pct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 xml:space="preserve">Body mass index </w:t>
            </w:r>
          </w:p>
        </w:tc>
        <w:tc>
          <w:tcPr>
            <w:tcW w:w="3479" w:type="pct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: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 xml:space="preserve"> ≤</w:t>
            </w:r>
            <w:r>
              <w:rPr>
                <w:rFonts w:ascii="Times New Roman" w:hAnsi="Times New Roman" w:eastAsia="宋体" w:cs="Times New Roman"/>
                <w:sz w:val="24"/>
                <w:highlight w:val="none"/>
              </w:rPr>
              <w:t>28 kg/m</w:t>
            </w:r>
            <w:r>
              <w:rPr>
                <w:rFonts w:ascii="Times New Roman" w:hAnsi="Times New Roman" w:eastAsia="宋体" w:cs="Times New Roman"/>
                <w:sz w:val="24"/>
                <w:highlight w:val="none"/>
                <w:vertAlign w:val="superscript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;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highlight w:val="none"/>
              </w:rPr>
              <w:t xml:space="preserve">1: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</w:rPr>
              <w:t>&gt;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</w:rPr>
              <w:t xml:space="preserve"> 28 kg/m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highlight w:val="none"/>
                <w:vertAlign w:val="superscript"/>
              </w:rPr>
              <w:t>2</w:t>
            </w:r>
          </w:p>
        </w:tc>
      </w:tr>
    </w:tbl>
    <w:p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</w:p>
    <w:p>
      <w:pPr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dvOT863180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20542D4"/>
    <w:rsid w:val="11DB12C1"/>
    <w:rsid w:val="13057BC1"/>
    <w:rsid w:val="220542D4"/>
    <w:rsid w:val="32605B89"/>
    <w:rsid w:val="6B3C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2022-12-15T11:51:00Z</dcterms:created>
  <dc:creator>浅若夏沫＂</dc:creator>
  <cp:lastModifiedBy>浅若夏沫＂</cp:lastModifiedBy>
  <dcterms:modified xsi:type="dcterms:W3CDTF">2023-02-15T14:20:33Z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7569551880AD4B29A989DBDEAE68EC08</vt:lpwstr>
  </property>
</Properties>
</file>