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 Regular" w:hAnsi="Times New Roman Regular" w:eastAsia="Times New Roman" w:cs="Times New Roman Regular"/>
          <w:b/>
          <w:color w:val="000000"/>
          <w:kern w:val="2"/>
          <w:sz w:val="24"/>
          <w:szCs w:val="24"/>
          <w:highlight w:val="none"/>
          <w:lang w:val="en-US" w:eastAsia="zh-CN" w:bidi="ar"/>
        </w:rPr>
      </w:pPr>
      <w:r>
        <w:rPr>
          <w:rFonts w:hint="default" w:ascii="Times New Roman Regular" w:hAnsi="Times New Roman Regular" w:eastAsia="Times New Roman" w:cs="Times New Roman Regular"/>
          <w:b/>
          <w:color w:val="000000"/>
          <w:kern w:val="2"/>
          <w:sz w:val="24"/>
          <w:szCs w:val="24"/>
          <w:highlight w:val="none"/>
          <w:lang w:val="en-US" w:eastAsia="zh-CN" w:bidi="ar"/>
        </w:rPr>
        <w:t xml:space="preserve">Supplementary 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highlight w:val="none"/>
          <w:lang w:val="en-US" w:eastAsia="zh-CN" w:bidi="ar"/>
        </w:rPr>
        <w:t>Table S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highlight w:val="none"/>
          <w:lang w:eastAsia="zh-CN" w:bidi="ar"/>
        </w:rPr>
        <w:t>1</w:t>
      </w:r>
      <w:r>
        <w:rPr>
          <w:rFonts w:hint="default" w:ascii="Times New Roman Regular" w:hAnsi="Times New Roman Regular" w:eastAsia="AdvOTa2a4c9ce" w:cs="Times New Roman Regular"/>
          <w:color w:val="auto"/>
          <w:kern w:val="0"/>
          <w:sz w:val="20"/>
          <w:szCs w:val="20"/>
          <w:highlight w:val="none"/>
          <w:lang w:eastAsia="zh-CN" w:bidi="ar"/>
        </w:rPr>
        <w:t xml:space="preserve"> </w:t>
      </w:r>
      <w:r>
        <w:rPr>
          <w:rFonts w:hint="default" w:ascii="Times New Roman Regular" w:hAnsi="Times New Roman Regular" w:eastAsia="AdvOTa2a4c9ce" w:cs="Times New Roman Regular"/>
          <w:kern w:val="0"/>
          <w:sz w:val="24"/>
          <w:szCs w:val="24"/>
          <w:lang w:val="en-US" w:eastAsia="zh-CN" w:bidi="ar"/>
        </w:rPr>
        <w:t>Laboratory variables for frailty index</w:t>
      </w:r>
    </w:p>
    <w:tbl>
      <w:tblPr>
        <w:tblStyle w:val="3"/>
        <w:tblW w:w="0" w:type="auto"/>
        <w:tblInd w:w="1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1"/>
        <w:gridCol w:w="2841"/>
        <w:gridCol w:w="2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2841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Item</w:t>
            </w:r>
          </w:p>
        </w:tc>
        <w:tc>
          <w:tcPr>
            <w:tcW w:w="2374" w:type="dxa"/>
            <w:tcBorders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Reference range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0" w:hRule="atLeast"/>
        </w:trPr>
        <w:tc>
          <w:tcPr>
            <w:tcW w:w="79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R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outine blood tests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WBC(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10^9/L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3.5-9.5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LYMPH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1.10-3.20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MONO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0.10-0.60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NEUT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1.8-6.3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EO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0.02-0.52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BASO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0.00-0.06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RBC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(10^12/L)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3.80-5.10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4.30-5.80(M)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Hb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(g/L)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115-150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130-175(M)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HCT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(%)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35.0-45.0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40.0-50.0(M)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MCV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(f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L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82.0-100.0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MCH(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pg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27.0-34.0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MCHC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(g/L)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316-354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RDW-CV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(%)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10.00-15.70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RDW-SD(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fL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37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.00-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5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4.00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PLT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(10^9/L)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125-350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B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lood biochemistry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ALT(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U/L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7.0-40.0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9.0-50.0(M)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AST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(U/L)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13.0-35.0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15.0-40.0(M)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ALP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30-120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GGT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(U/L)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7.0-45.0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10.0-60.0(M)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LDH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(U/L)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）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140-271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CK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(U/L)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0-145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0-171(M)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TBIL(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umol/L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6.0-22.0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DBIL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0.0-6.8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IDBIL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0.0-20.0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TC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3.00-5.70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TG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0.00-2.25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HDL-C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1.03-1.55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LDL-C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2.60-4.10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TP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(g/L)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65.0-85.0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ALB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(g/L)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40.0-55.0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90" w:hRule="atLeast"/>
        </w:trPr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GLU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3.90-6.10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UREA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2.90-8.20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CREA(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umol/L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44.0-133.0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34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URIC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(umol/L)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155-357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208-428(M)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35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CA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(umol/L)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2.20-2.65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36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PHOS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0.81-1.45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37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MG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0.77-1.03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(F)</w:t>
            </w:r>
          </w:p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0.73-1.06(M)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38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K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3.5-5.3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39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NA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137.0-147.0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40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CL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(mmol/L)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99.0-110.0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 xml:space="preserve">Blood 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coagulation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41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PT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 xml:space="preserve"> (s)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8.0-14.0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APTT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(s)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5.0-31.3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FIB</w:t>
            </w: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(g/L)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2.0–4.0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91" w:type="dxa"/>
            <w:tcBorders>
              <w:top w:val="nil"/>
              <w:left w:val="nil"/>
              <w:right w:val="nil"/>
            </w:tcBorders>
          </w:tcPr>
          <w:p>
            <w:pP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44</w:t>
            </w:r>
          </w:p>
        </w:tc>
        <w:tc>
          <w:tcPr>
            <w:tcW w:w="2841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eastAsia="zh-CN" w:bidi="ar"/>
              </w:rPr>
              <w:t>INR</w:t>
            </w:r>
          </w:p>
        </w:tc>
        <w:tc>
          <w:tcPr>
            <w:tcW w:w="2374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rPr>
                <w:rFonts w:hint="eastAsia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val="en-US" w:eastAsia="zh-CN" w:bidi="ar"/>
              </w:rPr>
              <w:t>0.88–1.15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hint="default" w:ascii="Times New Roman Regular" w:hAnsi="Times New Roman Regular" w:eastAsia="Times New Roman" w:cs="Times New Roman Regular"/>
          <w:b/>
          <w:color w:val="000000"/>
          <w:kern w:val="2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80" w:lineRule="auto"/>
        <w:ind w:left="0" w:right="0"/>
        <w:jc w:val="both"/>
        <w:rPr>
          <w:rFonts w:ascii="Times New Roman" w:hAnsi="Times New Roman" w:cs="Times New Roman"/>
          <w:sz w:val="24"/>
        </w:rPr>
      </w:pPr>
      <w:r>
        <w:rPr>
          <w:rFonts w:hint="default" w:ascii="Times New Roman Regular" w:hAnsi="Times New Roman Regular" w:eastAsia="Times New Roman" w:cs="Times New Roman Regular"/>
          <w:b/>
          <w:color w:val="000000"/>
          <w:kern w:val="2"/>
          <w:sz w:val="24"/>
          <w:szCs w:val="24"/>
          <w:lang w:val="en-US" w:eastAsia="zh-CN" w:bidi="ar"/>
        </w:rPr>
        <w:t xml:space="preserve">Supplementary 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lang w:eastAsia="zh-CN" w:bidi="ar"/>
        </w:rPr>
        <w:t xml:space="preserve">2 </w:t>
      </w: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>Association of frailty and duration of antibiotic therapy by multiple liner regression analyses.</w:t>
      </w:r>
    </w:p>
    <w:tbl>
      <w:tblPr>
        <w:tblStyle w:val="2"/>
        <w:tblpPr w:leftFromText="180" w:rightFromText="180" w:vertAnchor="text" w:horzAnchor="page" w:tblpX="1457" w:tblpY="623"/>
        <w:tblOverlap w:val="never"/>
        <w:tblW w:w="913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0"/>
        <w:gridCol w:w="1788"/>
        <w:gridCol w:w="1268"/>
        <w:gridCol w:w="1838"/>
        <w:gridCol w:w="1284"/>
      </w:tblGrid>
      <w:tr>
        <w:trPr>
          <w:trHeight w:val="454" w:hRule="atLeast"/>
        </w:trPr>
        <w:tc>
          <w:tcPr>
            <w:tcW w:w="2960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3056" w:type="dxa"/>
            <w:gridSpan w:val="2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=0.13, Adjusted 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0.12 </w:t>
            </w:r>
          </w:p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p&lt;0.0001, F=12.45</w:t>
            </w:r>
          </w:p>
        </w:tc>
        <w:tc>
          <w:tcPr>
            <w:tcW w:w="3122" w:type="dxa"/>
            <w:gridSpan w:val="2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=0.12, Adjusted 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0.11 </w:t>
            </w:r>
          </w:p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p&lt;0.0001, F=14.01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top w:val="nil"/>
              <w:left w:val="nil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variable</w:t>
            </w:r>
          </w:p>
        </w:tc>
        <w:tc>
          <w:tcPr>
            <w:tcW w:w="1788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1268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  <w:tc>
          <w:tcPr>
            <w:tcW w:w="1838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1284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top w:val="single" w:color="000000" w:sz="4" w:space="0"/>
              <w:left w:val="nil"/>
            </w:tcBorders>
            <w:shd w:val="clear" w:color="auto" w:fill="FFFFFF" w:themeFill="background1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Age(years)</w:t>
            </w:r>
          </w:p>
        </w:tc>
        <w:tc>
          <w:tcPr>
            <w:tcW w:w="1788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0.14(0.07,0.21)</w:t>
            </w:r>
          </w:p>
        </w:tc>
        <w:tc>
          <w:tcPr>
            <w:tcW w:w="1268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&lt;0.001  </w:t>
            </w:r>
          </w:p>
        </w:tc>
        <w:tc>
          <w:tcPr>
            <w:tcW w:w="1838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0.13(0.062,0.20)</w:t>
            </w:r>
          </w:p>
        </w:tc>
        <w:tc>
          <w:tcPr>
            <w:tcW w:w="1284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&lt;0.001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 xml:space="preserve">Male Sex(vs female) 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1.51(0.20,2.82)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0.024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1.58(0.27,2.89) </w:t>
            </w: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0.018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smoker(vs nonsmoker) 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-2.22(-3.65,-0.79)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0.002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-2.21(-3.64,-0.78)</w:t>
            </w: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0.003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hsCRP(mg/L)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0.02(0.00,0.02)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0.007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0.02(0.00,0.03)</w:t>
            </w: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0.008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PCT(ng/ml)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0.16(0.07,0.27)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0.001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0.16(0.06,0.26)</w:t>
            </w: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0.001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FI-Lab, categorical variable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Robust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Pre-frailty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0.22(-1.60,2.03)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0.814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Frailty</w:t>
            </w:r>
          </w:p>
        </w:tc>
        <w:tc>
          <w:tcPr>
            <w:tcW w:w="178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1.96(0.12,3.80)</w:t>
            </w:r>
          </w:p>
        </w:tc>
        <w:tc>
          <w:tcPr>
            <w:tcW w:w="126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0.037 </w:t>
            </w:r>
          </w:p>
        </w:tc>
        <w:tc>
          <w:tcPr>
            <w:tcW w:w="1838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28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FI-Lab, continuous variables</w:t>
            </w:r>
            <w:r>
              <w:rPr>
                <w:rFonts w:hint="eastAsia" w:ascii="Times New Roman Regular" w:hAnsi="Times New Roman Regular" w:eastAsia="宋体" w:cs="Times New Roman Regular"/>
                <w:kern w:val="0"/>
                <w:sz w:val="24"/>
                <w:vertAlign w:val="superscript"/>
                <w:lang w:bidi="ar"/>
              </w:rPr>
              <w:t>＊</w:t>
            </w:r>
          </w:p>
        </w:tc>
        <w:tc>
          <w:tcPr>
            <w:tcW w:w="1788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268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838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0.57(0.09,1.05)</w:t>
            </w:r>
          </w:p>
        </w:tc>
        <w:tc>
          <w:tcPr>
            <w:tcW w:w="1284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0.021 </w:t>
            </w:r>
          </w:p>
        </w:tc>
      </w:tr>
    </w:tbl>
    <w:p/>
    <w:p>
      <w:pPr>
        <w:spacing w:line="480" w:lineRule="auto"/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</w:pP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>Note:</w:t>
      </w:r>
      <w:r>
        <w:rPr>
          <w:rFonts w:hint="eastAsia" w:ascii="Times New Roman Regular" w:hAnsi="Times New Roman Regular" w:eastAsia="宋体" w:cs="Times New Roman Regular"/>
          <w:kern w:val="0"/>
          <w:sz w:val="24"/>
          <w:vertAlign w:val="superscript"/>
          <w:lang w:bidi="ar"/>
        </w:rPr>
        <w:t>＊</w:t>
      </w: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 xml:space="preserve">A change in FI-Laboratory represents a 0.10 increase. </w:t>
      </w:r>
    </w:p>
    <w:p>
      <w:pPr>
        <w:widowControl/>
        <w:spacing w:line="480" w:lineRule="auto"/>
        <w:rPr>
          <w:rFonts w:ascii="Times New Roman Regular" w:hAnsi="Times New Roman Regular" w:eastAsia="AdvOTa2a4c9ce" w:cs="Times New Roman Regular"/>
          <w:kern w:val="0"/>
          <w:sz w:val="16"/>
          <w:szCs w:val="16"/>
          <w:lang w:bidi="ar"/>
        </w:rPr>
      </w:pP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>Abbreviations: hs-CRP, high sensitivity C-reactive protein; PCT, Procalcitonin.</w:t>
      </w:r>
      <w:r>
        <w:rPr>
          <w:rFonts w:ascii="Times New Roman Regular" w:hAnsi="Times New Roman Regular" w:eastAsia="AdvOTa2a4c9ce" w:cs="Times New Roman Regular"/>
          <w:kern w:val="0"/>
          <w:sz w:val="16"/>
          <w:szCs w:val="16"/>
          <w:lang w:bidi="ar"/>
        </w:rPr>
        <w:t xml:space="preserve"> </w:t>
      </w:r>
    </w:p>
    <w:p/>
    <w:p/>
    <w:p>
      <w:pPr>
        <w:spacing w:line="480" w:lineRule="auto"/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</w:pPr>
      <w:r>
        <w:rPr>
          <w:rFonts w:hint="default" w:ascii="Times New Roman Regular" w:hAnsi="Times New Roman Regular" w:eastAsia="Times New Roman" w:cs="Times New Roman Regular"/>
          <w:b/>
          <w:bCs/>
          <w:color w:val="000000"/>
          <w:sz w:val="24"/>
          <w:szCs w:val="24"/>
        </w:rPr>
        <w:t xml:space="preserve">Supplementary </w:t>
      </w:r>
      <w:r>
        <w:rPr>
          <w:rFonts w:hint="default" w:ascii="Times New Roman Regular" w:hAnsi="Times New Roman Regular" w:eastAsia="AdvOTa2a4c9ce" w:cs="Times New Roman Regular"/>
          <w:b/>
          <w:bCs/>
          <w:kern w:val="0"/>
          <w:sz w:val="24"/>
          <w:szCs w:val="24"/>
          <w:lang w:bidi="ar"/>
        </w:rPr>
        <w:t>Table S3</w:t>
      </w: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 xml:space="preserve"> Association of frailty and length of stay by multiple liner regression analyses.</w:t>
      </w:r>
    </w:p>
    <w:tbl>
      <w:tblPr>
        <w:tblStyle w:val="2"/>
        <w:tblpPr w:leftFromText="180" w:rightFromText="180" w:vertAnchor="text" w:horzAnchor="page" w:tblpX="1457" w:tblpY="623"/>
        <w:tblOverlap w:val="never"/>
        <w:tblW w:w="9118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0"/>
        <w:gridCol w:w="1772"/>
        <w:gridCol w:w="1366"/>
        <w:gridCol w:w="1756"/>
        <w:gridCol w:w="1264"/>
      </w:tblGrid>
      <w:tr>
        <w:trPr>
          <w:trHeight w:val="454" w:hRule="atLeast"/>
        </w:trPr>
        <w:tc>
          <w:tcPr>
            <w:tcW w:w="2960" w:type="dxa"/>
            <w:tcBorders>
              <w:top w:val="single" w:color="000000" w:sz="4" w:space="0"/>
              <w:left w:val="nil"/>
              <w:bottom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3138" w:type="dxa"/>
            <w:gridSpan w:val="2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=0.13, Adjusted 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0.13 </w:t>
            </w:r>
          </w:p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p&lt;0.0001, F=35.77</w:t>
            </w:r>
          </w:p>
        </w:tc>
        <w:tc>
          <w:tcPr>
            <w:tcW w:w="3020" w:type="dxa"/>
            <w:gridSpan w:val="2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=0.13, Adjusted R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0.13 </w:t>
            </w:r>
          </w:p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p&lt;0.0001, F=43.32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top w:val="nil"/>
              <w:left w:val="nil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variable</w:t>
            </w:r>
          </w:p>
        </w:tc>
        <w:tc>
          <w:tcPr>
            <w:tcW w:w="1772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1366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  <w:tc>
          <w:tcPr>
            <w:tcW w:w="1756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β (95%CI)</w:t>
            </w:r>
          </w:p>
        </w:tc>
        <w:tc>
          <w:tcPr>
            <w:tcW w:w="1264" w:type="dxa"/>
            <w:tcBorders>
              <w:top w:val="single" w:color="000000" w:sz="4" w:space="0"/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top w:val="single" w:color="000000" w:sz="4" w:space="0"/>
              <w:left w:val="nil"/>
            </w:tcBorders>
            <w:shd w:val="clear" w:color="auto" w:fill="FFFFFF" w:themeFill="background1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Age(years)</w:t>
            </w:r>
          </w:p>
        </w:tc>
        <w:tc>
          <w:tcPr>
            <w:tcW w:w="1772" w:type="dxa"/>
            <w:tcBorders>
              <w:top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0.23(0.17,0.28)</w:t>
            </w:r>
          </w:p>
        </w:tc>
        <w:tc>
          <w:tcPr>
            <w:tcW w:w="1366" w:type="dxa"/>
            <w:tcBorders>
              <w:top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756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0.22(0.17,0.28)</w:t>
            </w:r>
          </w:p>
        </w:tc>
        <w:tc>
          <w:tcPr>
            <w:tcW w:w="1264" w:type="dxa"/>
            <w:tcBorders>
              <w:top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&lt;0.001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 xml:space="preserve">Male Sex(vs female) 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1.59(0.60,2.58)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0.002 </w:t>
            </w: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1.62(0.62,2.61)</w:t>
            </w: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0.00147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smoker(vs nonsmoker) 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-1.89(-2.97,-0.81)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0.001 </w:t>
            </w: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-1.91(-2.99,-0.83)</w:t>
            </w: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0.000551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FI-Lab, categorical variable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Robust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Pre-frailty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2.06(0.87,3.25)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0.001 </w:t>
            </w: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</w:tcBorders>
            <w:shd w:val="clear" w:color="auto" w:fill="FFFFFF" w:themeFill="background1"/>
            <w:vAlign w:val="center"/>
          </w:tcPr>
          <w:p>
            <w:pPr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Frailty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3.73(2.58,4.88)</w:t>
            </w:r>
          </w:p>
        </w:tc>
        <w:tc>
          <w:tcPr>
            <w:tcW w:w="1366" w:type="dxa"/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&lt;0.001 </w:t>
            </w:r>
          </w:p>
        </w:tc>
        <w:tc>
          <w:tcPr>
            <w:tcW w:w="1756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264" w:type="dxa"/>
            <w:tcBorders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 </w:t>
            </w:r>
          </w:p>
        </w:tc>
      </w:tr>
      <w:tr>
        <w:trPr>
          <w:trHeight w:val="454" w:hRule="atLeast"/>
        </w:trPr>
        <w:tc>
          <w:tcPr>
            <w:tcW w:w="2960" w:type="dxa"/>
            <w:tcBorders>
              <w:left w:val="nil"/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FI-Lab, continuous variables</w:t>
            </w:r>
            <w:r>
              <w:rPr>
                <w:rFonts w:hint="eastAsia" w:ascii="宋体" w:hAnsi="宋体" w:eastAsia="宋体" w:cs="宋体"/>
                <w:kern w:val="0"/>
                <w:sz w:val="24"/>
                <w:vertAlign w:val="superscript"/>
                <w:lang w:bidi="ar"/>
              </w:rPr>
              <w:t>＊</w:t>
            </w:r>
          </w:p>
        </w:tc>
        <w:tc>
          <w:tcPr>
            <w:tcW w:w="1772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366" w:type="dxa"/>
            <w:tcBorders>
              <w:bottom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</w:p>
        </w:tc>
        <w:tc>
          <w:tcPr>
            <w:tcW w:w="1756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0.94(0.63,1.25)</w:t>
            </w:r>
          </w:p>
        </w:tc>
        <w:tc>
          <w:tcPr>
            <w:tcW w:w="1264" w:type="dxa"/>
            <w:tcBorders>
              <w:bottom w:val="single" w:color="000000" w:sz="4" w:space="0"/>
              <w:right w:val="nil"/>
            </w:tcBorders>
            <w:shd w:val="clear" w:color="auto" w:fill="FFFFFF" w:themeFill="background1"/>
            <w:vAlign w:val="center"/>
          </w:tcPr>
          <w:p>
            <w:pP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&lt;0.001</w:t>
            </w:r>
          </w:p>
        </w:tc>
      </w:tr>
    </w:tbl>
    <w:p/>
    <w:p>
      <w:pPr>
        <w:widowControl/>
        <w:spacing w:line="480" w:lineRule="auto"/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</w:pP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>Note:</w:t>
      </w:r>
      <w:r>
        <w:rPr>
          <w:rFonts w:hint="eastAsia" w:ascii="Times New Roman Regular" w:hAnsi="Times New Roman Regular" w:eastAsia="宋体" w:cs="Times New Roman Regular"/>
          <w:kern w:val="0"/>
          <w:sz w:val="24"/>
          <w:vertAlign w:val="superscript"/>
          <w:lang w:bidi="ar"/>
        </w:rPr>
        <w:t>＊</w:t>
      </w:r>
      <w:r>
        <w:rPr>
          <w:rFonts w:ascii="Times New Roman Regular" w:hAnsi="Times New Roman Regular" w:eastAsia="AdvOTa2a4c9ce" w:cs="Times New Roman Regular"/>
          <w:kern w:val="0"/>
          <w:sz w:val="24"/>
          <w:lang w:bidi="ar"/>
        </w:rPr>
        <w:t xml:space="preserve">A change in FI-Laboratory represents a 0.10 increase. </w:t>
      </w:r>
    </w:p>
    <w:p>
      <w:pPr>
        <w:spacing w:line="480" w:lineRule="auto"/>
        <w:rPr>
          <w:rFonts w:hint="default"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</w:pPr>
      <w:r>
        <w:rPr>
          <w:rFonts w:hint="default" w:ascii="Times New Roman Regular" w:hAnsi="Times New Roman Regular" w:eastAsia="Times New Roman" w:cs="Times New Roman Regular"/>
          <w:b/>
          <w:color w:val="000000"/>
          <w:kern w:val="2"/>
          <w:sz w:val="24"/>
          <w:szCs w:val="24"/>
          <w:lang w:val="en-US" w:eastAsia="zh-CN" w:bidi="ar"/>
        </w:rPr>
        <w:t xml:space="preserve">Supplementary 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lang w:val="en-US" w:eastAsia="zh-CN" w:bidi="ar"/>
        </w:rPr>
        <w:t>Table S</w:t>
      </w:r>
      <w:r>
        <w:rPr>
          <w:rFonts w:hint="default" w:ascii="Times New Roman Regular" w:hAnsi="Times New Roman Regular" w:eastAsia="AdvOTa2a4c9ce" w:cs="Times New Roman Regular"/>
          <w:b/>
          <w:kern w:val="0"/>
          <w:sz w:val="24"/>
          <w:szCs w:val="24"/>
          <w:lang w:eastAsia="zh-CN" w:bidi="ar"/>
        </w:rPr>
        <w:t>4</w:t>
      </w:r>
      <w:r>
        <w:rPr>
          <w:rFonts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 xml:space="preserve"> Risk fa</w:t>
      </w:r>
      <w:bookmarkStart w:id="0" w:name="_GoBack"/>
      <w:bookmarkEnd w:id="0"/>
      <w:r>
        <w:rPr>
          <w:rFonts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 xml:space="preserve">ctors associated with </w:t>
      </w:r>
      <w:r>
        <w:rPr>
          <w:rFonts w:hint="default"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 xml:space="preserve">in-hospital </w:t>
      </w:r>
      <w:r>
        <w:rPr>
          <w:rFonts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>death</w:t>
      </w:r>
      <w:r>
        <w:rPr>
          <w:rFonts w:hint="default"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 xml:space="preserve">(FI-Lab as </w:t>
      </w:r>
      <w:r>
        <w:rPr>
          <w:rFonts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>categorical variable</w:t>
      </w:r>
      <w:r>
        <w:rPr>
          <w:rFonts w:hint="default" w:ascii="Times New Roman Regular" w:hAnsi="Times New Roman Regular" w:eastAsia="AdvOTa2a4c9ce" w:cs="Times New Roman Regular"/>
          <w:kern w:val="0"/>
          <w:sz w:val="24"/>
          <w:highlight w:val="none"/>
          <w:lang w:bidi="ar"/>
        </w:rPr>
        <w:t>)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1991"/>
        <w:gridCol w:w="1094"/>
        <w:gridCol w:w="1981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307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variable</w:t>
            </w:r>
          </w:p>
        </w:tc>
        <w:tc>
          <w:tcPr>
            <w:tcW w:w="199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Univariable HR</w:t>
            </w:r>
          </w:p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(95% CI)</w:t>
            </w:r>
          </w:p>
        </w:tc>
        <w:tc>
          <w:tcPr>
            <w:tcW w:w="109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  <w:tc>
          <w:tcPr>
            <w:tcW w:w="198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Multivariable</w:t>
            </w:r>
          </w:p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HR (95% CI)</w:t>
            </w:r>
          </w:p>
        </w:tc>
        <w:tc>
          <w:tcPr>
            <w:tcW w:w="1098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 value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307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>Age(years)</w:t>
            </w:r>
          </w:p>
        </w:tc>
        <w:tc>
          <w:tcPr>
            <w:tcW w:w="199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0.543</w:t>
            </w:r>
          </w:p>
        </w:tc>
        <w:tc>
          <w:tcPr>
            <w:tcW w:w="19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  <w:t xml:space="preserve">Male Sex(vs female) 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0.84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1.22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0.917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3" w:hRule="atLeast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BMI（kg/m2）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78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(0.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76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84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87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(0.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83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-0.</w:t>
            </w: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91</w:t>
            </w: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&lt;0.001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Smoker (vs nonsmoker) 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(0.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38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654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 xml:space="preserve">Drinking (vs no) 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1.08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0.81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1.42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614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WBC（x10^9/L）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LYMPH(x10^9/L)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48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(0.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33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-0.6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NEUT(x10^9/L)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eGFR（ml/min）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0.99(0.9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AdvOTa2a4c9ce" w:cs="Times New Roman Regular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CRP（mg/L）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1.01(1.0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-1.01)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1.00(1.00-1.01)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0.028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3" w:hRule="atLeast"/>
        </w:trPr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PCT（ng/ml）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1.03(1.02-1.0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aCCI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1.3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(1.26-1.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42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(1.1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30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CURB-65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3.07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2.52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3.74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2.01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60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2.54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FI-Lab, categorical variable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Robust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  <w:t>1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80" w:lineRule="auto"/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Pre-frail</w:t>
            </w:r>
          </w:p>
        </w:tc>
        <w:tc>
          <w:tcPr>
            <w:tcW w:w="19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5.39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(1.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62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17.88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0.006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87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0.86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9.63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0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80" w:lineRule="auto"/>
              <w:ind w:firstLine="240" w:firstLineChars="100"/>
              <w:rPr>
                <w:rFonts w:ascii="Times New Roman Regular" w:hAnsi="Times New Roman Regular" w:eastAsia="AdvOTa2a4c9ce" w:cs="Times New Roman Regular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AdvOTa2a4c9ce" w:cs="Times New Roman Regular"/>
                <w:kern w:val="0"/>
                <w:sz w:val="24"/>
                <w:lang w:bidi="ar"/>
              </w:rPr>
              <w:t>Frail</w:t>
            </w:r>
          </w:p>
        </w:tc>
        <w:tc>
          <w:tcPr>
            <w:tcW w:w="199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17.26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5.46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54.57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eastAsia="zh-Hans" w:bidi="ar"/>
              </w:rPr>
            </w:pP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&lt;0.001</w:t>
            </w:r>
          </w:p>
        </w:tc>
        <w:tc>
          <w:tcPr>
            <w:tcW w:w="19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5.01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1.51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16.57</w:t>
            </w:r>
            <w:r>
              <w:rPr>
                <w:rFonts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480" w:lineRule="auto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lang w:bidi="ar"/>
              </w:rPr>
              <w:t>0.008</w:t>
            </w:r>
          </w:p>
        </w:tc>
      </w:tr>
    </w:tbl>
    <w:p/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AdvOTa2a4c9ce">
    <w:altName w:val="苹方-简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MTM3NjNjZjI4NzA2NWQxZTkxYWJjMTBiZGJjMGIifQ=="/>
  </w:docVars>
  <w:rsids>
    <w:rsidRoot w:val="FECA57F6"/>
    <w:rsid w:val="0FFF3802"/>
    <w:rsid w:val="188C6DCB"/>
    <w:rsid w:val="6FF7244D"/>
    <w:rsid w:val="759706B8"/>
    <w:rsid w:val="77FF82D4"/>
    <w:rsid w:val="7B7D2993"/>
    <w:rsid w:val="7BB28913"/>
    <w:rsid w:val="7BF9388B"/>
    <w:rsid w:val="7FB9705E"/>
    <w:rsid w:val="BFF7F9B4"/>
    <w:rsid w:val="C9FF3B8C"/>
    <w:rsid w:val="EF3CD3CE"/>
    <w:rsid w:val="FBCB0A6E"/>
    <w:rsid w:val="FECA57F6"/>
    <w:rsid w:val="FFF878D1"/>
    <w:rsid w:val="FFFC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2022-08-04T14:33:00Z</dcterms:created>
  <dc:creator>xiekun</dc:creator>
  <cp:lastModifiedBy>习惯</cp:lastModifiedBy>
  <dcterms:modified xsi:type="dcterms:W3CDTF">2023-03-26T20:27:10Z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2E849728A3143E21B5571E646F30BD35</vt:lpwstr>
  </property>
</Properties>
</file>