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0B5FE" w14:textId="4DBA6458" w:rsidR="00CF69B7" w:rsidRPr="00CF69B7" w:rsidRDefault="009E3B80" w:rsidP="00CF69B7">
      <w:pPr>
        <w:pStyle w:val="Beschriftung"/>
        <w:spacing w:line="480" w:lineRule="auto"/>
        <w:rPr>
          <w:rFonts w:ascii="Times New Roman" w:hAnsi="Times New Roman" w:cs="Times New Roman"/>
          <w:i w:val="0"/>
          <w:iCs w:val="0"/>
          <w:lang w:val="en-US"/>
        </w:rPr>
      </w:pPr>
      <w:bookmarkStart w:id="0" w:name="_Hlk89769280"/>
      <w:r>
        <w:rPr>
          <w:rFonts w:ascii="Times New Roman" w:hAnsi="Times New Roman" w:cs="Times New Roman"/>
          <w:b/>
          <w:bCs/>
          <w:i w:val="0"/>
          <w:iCs w:val="0"/>
          <w:lang w:val="en-US"/>
        </w:rPr>
        <w:t xml:space="preserve">Supplementary </w:t>
      </w:r>
      <w:r w:rsidR="00CF69B7" w:rsidRPr="00CF69B7">
        <w:rPr>
          <w:rFonts w:ascii="Times New Roman" w:hAnsi="Times New Roman" w:cs="Times New Roman"/>
          <w:b/>
          <w:bCs/>
          <w:i w:val="0"/>
          <w:iCs w:val="0"/>
          <w:lang w:val="en-US"/>
        </w:rPr>
        <w:t xml:space="preserve">Table </w:t>
      </w:r>
      <w:r>
        <w:rPr>
          <w:rFonts w:ascii="Times New Roman" w:hAnsi="Times New Roman" w:cs="Times New Roman"/>
          <w:b/>
          <w:bCs/>
          <w:i w:val="0"/>
          <w:iCs w:val="0"/>
          <w:lang w:val="en-US"/>
        </w:rPr>
        <w:t>3</w:t>
      </w:r>
      <w:r w:rsidR="00CF69B7" w:rsidRPr="00CF69B7">
        <w:rPr>
          <w:rFonts w:ascii="Times New Roman" w:hAnsi="Times New Roman" w:cs="Times New Roman"/>
          <w:b/>
          <w:bCs/>
          <w:i w:val="0"/>
          <w:iCs w:val="0"/>
          <w:lang w:val="en-US"/>
        </w:rPr>
        <w:t>.</w:t>
      </w:r>
      <w:r w:rsidR="00CF69B7" w:rsidRPr="00CF69B7">
        <w:rPr>
          <w:rFonts w:ascii="Times New Roman" w:hAnsi="Times New Roman" w:cs="Times New Roman"/>
          <w:i w:val="0"/>
          <w:iCs w:val="0"/>
          <w:lang w:val="en-US"/>
        </w:rPr>
        <w:t xml:space="preserve"> Quality Assessment for before-after (pre-post) studies with no control group (NIH Quality Assessment Scale) </w:t>
      </w:r>
    </w:p>
    <w:tbl>
      <w:tblPr>
        <w:tblStyle w:val="Tabellenraster"/>
        <w:tblW w:w="15401" w:type="dxa"/>
        <w:tblLayout w:type="fixed"/>
        <w:tblLook w:val="04A0" w:firstRow="1" w:lastRow="0" w:firstColumn="1" w:lastColumn="0" w:noHBand="0" w:noVBand="1"/>
      </w:tblPr>
      <w:tblGrid>
        <w:gridCol w:w="2552"/>
        <w:gridCol w:w="911"/>
        <w:gridCol w:w="911"/>
        <w:gridCol w:w="911"/>
        <w:gridCol w:w="912"/>
        <w:gridCol w:w="911"/>
        <w:gridCol w:w="911"/>
        <w:gridCol w:w="912"/>
        <w:gridCol w:w="911"/>
        <w:gridCol w:w="911"/>
        <w:gridCol w:w="912"/>
        <w:gridCol w:w="911"/>
        <w:gridCol w:w="911"/>
        <w:gridCol w:w="912"/>
        <w:gridCol w:w="1002"/>
      </w:tblGrid>
      <w:tr w:rsidR="00CF69B7" w:rsidRPr="007E04DE" w14:paraId="34B2E6E7" w14:textId="77777777" w:rsidTr="00CF69B7">
        <w:trPr>
          <w:trHeight w:val="283"/>
        </w:trPr>
        <w:tc>
          <w:tcPr>
            <w:tcW w:w="2552" w:type="dxa"/>
            <w:tcBorders>
              <w:top w:val="single" w:sz="4" w:space="0" w:color="auto"/>
              <w:bottom w:val="single" w:sz="4" w:space="0" w:color="auto"/>
            </w:tcBorders>
            <w:noWrap/>
            <w:hideMark/>
          </w:tcPr>
          <w:bookmarkEnd w:id="0"/>
          <w:p w14:paraId="55EBB049" w14:textId="77777777" w:rsidR="00CF69B7" w:rsidRPr="00151CC3" w:rsidRDefault="00CF69B7" w:rsidP="00CF69B7">
            <w:pPr>
              <w:spacing w:after="0" w:line="480" w:lineRule="auto"/>
              <w:rPr>
                <w:rFonts w:ascii="Times New Roman" w:eastAsia="Times New Roman" w:hAnsi="Times New Roman" w:cs="Times New Roman"/>
                <w:b/>
                <w:bCs/>
                <w:color w:val="000000"/>
                <w:lang w:val="en-US" w:eastAsia="de-CH"/>
              </w:rPr>
            </w:pPr>
            <w:r w:rsidRPr="00151CC3">
              <w:rPr>
                <w:rFonts w:ascii="Times New Roman" w:eastAsia="Times New Roman" w:hAnsi="Times New Roman" w:cs="Times New Roman"/>
                <w:b/>
                <w:bCs/>
                <w:color w:val="000000"/>
                <w:lang w:val="en-US" w:eastAsia="de-CH"/>
              </w:rPr>
              <w:t>Author</w:t>
            </w:r>
          </w:p>
        </w:tc>
        <w:tc>
          <w:tcPr>
            <w:tcW w:w="911" w:type="dxa"/>
            <w:tcBorders>
              <w:top w:val="single" w:sz="4" w:space="0" w:color="auto"/>
              <w:bottom w:val="single" w:sz="4" w:space="0" w:color="auto"/>
            </w:tcBorders>
            <w:noWrap/>
            <w:hideMark/>
          </w:tcPr>
          <w:p w14:paraId="4DD6C5E6"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1</w:t>
            </w:r>
            <w:r>
              <w:rPr>
                <w:rFonts w:ascii="Times New Roman" w:eastAsia="Times New Roman" w:hAnsi="Times New Roman" w:cs="Times New Roman"/>
                <w:b/>
                <w:bCs/>
                <w:color w:val="000000"/>
                <w:vertAlign w:val="superscript"/>
                <w:lang w:val="en-US" w:eastAsia="de-CH"/>
              </w:rPr>
              <w:t>a</w:t>
            </w:r>
          </w:p>
        </w:tc>
        <w:tc>
          <w:tcPr>
            <w:tcW w:w="911" w:type="dxa"/>
            <w:tcBorders>
              <w:top w:val="single" w:sz="4" w:space="0" w:color="auto"/>
              <w:bottom w:val="single" w:sz="4" w:space="0" w:color="auto"/>
            </w:tcBorders>
            <w:noWrap/>
            <w:hideMark/>
          </w:tcPr>
          <w:p w14:paraId="4372D92D"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2</w:t>
            </w:r>
            <w:r>
              <w:rPr>
                <w:rFonts w:ascii="Times New Roman" w:eastAsia="Times New Roman" w:hAnsi="Times New Roman" w:cs="Times New Roman"/>
                <w:b/>
                <w:bCs/>
                <w:color w:val="000000"/>
                <w:vertAlign w:val="superscript"/>
                <w:lang w:val="en-US" w:eastAsia="de-CH"/>
              </w:rPr>
              <w:t>b</w:t>
            </w:r>
          </w:p>
        </w:tc>
        <w:tc>
          <w:tcPr>
            <w:tcW w:w="911" w:type="dxa"/>
            <w:tcBorders>
              <w:top w:val="single" w:sz="4" w:space="0" w:color="auto"/>
              <w:bottom w:val="single" w:sz="4" w:space="0" w:color="auto"/>
            </w:tcBorders>
            <w:noWrap/>
            <w:hideMark/>
          </w:tcPr>
          <w:p w14:paraId="28027E46"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3</w:t>
            </w:r>
            <w:r>
              <w:rPr>
                <w:rFonts w:ascii="Times New Roman" w:eastAsia="Times New Roman" w:hAnsi="Times New Roman" w:cs="Times New Roman"/>
                <w:b/>
                <w:bCs/>
                <w:color w:val="000000"/>
                <w:vertAlign w:val="superscript"/>
                <w:lang w:val="en-US" w:eastAsia="de-CH"/>
              </w:rPr>
              <w:t>c</w:t>
            </w:r>
          </w:p>
        </w:tc>
        <w:tc>
          <w:tcPr>
            <w:tcW w:w="912" w:type="dxa"/>
            <w:tcBorders>
              <w:top w:val="single" w:sz="4" w:space="0" w:color="auto"/>
              <w:bottom w:val="single" w:sz="4" w:space="0" w:color="auto"/>
            </w:tcBorders>
            <w:noWrap/>
            <w:hideMark/>
          </w:tcPr>
          <w:p w14:paraId="02B2FEA1"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4</w:t>
            </w:r>
            <w:r>
              <w:rPr>
                <w:rFonts w:ascii="Times New Roman" w:eastAsia="Times New Roman" w:hAnsi="Times New Roman" w:cs="Times New Roman"/>
                <w:b/>
                <w:bCs/>
                <w:color w:val="000000"/>
                <w:vertAlign w:val="superscript"/>
                <w:lang w:val="en-US" w:eastAsia="de-CH"/>
              </w:rPr>
              <w:t>d</w:t>
            </w:r>
          </w:p>
        </w:tc>
        <w:tc>
          <w:tcPr>
            <w:tcW w:w="911" w:type="dxa"/>
            <w:tcBorders>
              <w:top w:val="single" w:sz="4" w:space="0" w:color="auto"/>
              <w:bottom w:val="single" w:sz="4" w:space="0" w:color="auto"/>
            </w:tcBorders>
            <w:noWrap/>
            <w:hideMark/>
          </w:tcPr>
          <w:p w14:paraId="27DF06A2"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5</w:t>
            </w:r>
            <w:r>
              <w:rPr>
                <w:rFonts w:ascii="Times New Roman" w:eastAsia="Times New Roman" w:hAnsi="Times New Roman" w:cs="Times New Roman"/>
                <w:b/>
                <w:bCs/>
                <w:color w:val="000000"/>
                <w:vertAlign w:val="superscript"/>
                <w:lang w:val="en-US" w:eastAsia="de-CH"/>
              </w:rPr>
              <w:t>e</w:t>
            </w:r>
          </w:p>
        </w:tc>
        <w:tc>
          <w:tcPr>
            <w:tcW w:w="911" w:type="dxa"/>
            <w:tcBorders>
              <w:top w:val="single" w:sz="4" w:space="0" w:color="auto"/>
              <w:bottom w:val="single" w:sz="4" w:space="0" w:color="auto"/>
            </w:tcBorders>
            <w:noWrap/>
            <w:hideMark/>
          </w:tcPr>
          <w:p w14:paraId="320E4BC6"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6</w:t>
            </w:r>
            <w:r>
              <w:rPr>
                <w:rFonts w:ascii="Times New Roman" w:eastAsia="Times New Roman" w:hAnsi="Times New Roman" w:cs="Times New Roman"/>
                <w:b/>
                <w:bCs/>
                <w:color w:val="000000"/>
                <w:vertAlign w:val="superscript"/>
                <w:lang w:val="en-US" w:eastAsia="de-CH"/>
              </w:rPr>
              <w:t>f</w:t>
            </w:r>
          </w:p>
        </w:tc>
        <w:tc>
          <w:tcPr>
            <w:tcW w:w="912" w:type="dxa"/>
            <w:tcBorders>
              <w:top w:val="single" w:sz="4" w:space="0" w:color="auto"/>
              <w:bottom w:val="single" w:sz="4" w:space="0" w:color="auto"/>
            </w:tcBorders>
            <w:noWrap/>
            <w:hideMark/>
          </w:tcPr>
          <w:p w14:paraId="697DAA04"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7</w:t>
            </w:r>
            <w:r>
              <w:rPr>
                <w:rFonts w:ascii="Times New Roman" w:eastAsia="Times New Roman" w:hAnsi="Times New Roman" w:cs="Times New Roman"/>
                <w:b/>
                <w:bCs/>
                <w:color w:val="000000"/>
                <w:vertAlign w:val="superscript"/>
                <w:lang w:val="en-US" w:eastAsia="de-CH"/>
              </w:rPr>
              <w:t>g</w:t>
            </w:r>
          </w:p>
        </w:tc>
        <w:tc>
          <w:tcPr>
            <w:tcW w:w="911" w:type="dxa"/>
            <w:tcBorders>
              <w:top w:val="single" w:sz="4" w:space="0" w:color="auto"/>
              <w:bottom w:val="single" w:sz="4" w:space="0" w:color="auto"/>
            </w:tcBorders>
            <w:noWrap/>
            <w:hideMark/>
          </w:tcPr>
          <w:p w14:paraId="14F05969"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8</w:t>
            </w:r>
            <w:r>
              <w:rPr>
                <w:rFonts w:ascii="Times New Roman" w:eastAsia="Times New Roman" w:hAnsi="Times New Roman" w:cs="Times New Roman"/>
                <w:b/>
                <w:bCs/>
                <w:color w:val="000000"/>
                <w:vertAlign w:val="superscript"/>
                <w:lang w:val="en-US" w:eastAsia="de-CH"/>
              </w:rPr>
              <w:t>h</w:t>
            </w:r>
          </w:p>
        </w:tc>
        <w:tc>
          <w:tcPr>
            <w:tcW w:w="911" w:type="dxa"/>
            <w:tcBorders>
              <w:top w:val="single" w:sz="4" w:space="0" w:color="auto"/>
              <w:bottom w:val="single" w:sz="4" w:space="0" w:color="auto"/>
            </w:tcBorders>
            <w:noWrap/>
            <w:hideMark/>
          </w:tcPr>
          <w:p w14:paraId="63A2D195"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9</w:t>
            </w:r>
            <w:r>
              <w:rPr>
                <w:rFonts w:ascii="Times New Roman" w:eastAsia="Times New Roman" w:hAnsi="Times New Roman" w:cs="Times New Roman"/>
                <w:b/>
                <w:bCs/>
                <w:color w:val="000000"/>
                <w:vertAlign w:val="superscript"/>
                <w:lang w:val="en-US" w:eastAsia="de-CH"/>
              </w:rPr>
              <w:t>i</w:t>
            </w:r>
          </w:p>
        </w:tc>
        <w:tc>
          <w:tcPr>
            <w:tcW w:w="912" w:type="dxa"/>
            <w:tcBorders>
              <w:top w:val="single" w:sz="4" w:space="0" w:color="auto"/>
              <w:bottom w:val="single" w:sz="4" w:space="0" w:color="auto"/>
            </w:tcBorders>
            <w:noWrap/>
            <w:hideMark/>
          </w:tcPr>
          <w:p w14:paraId="784F230F"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10</w:t>
            </w:r>
            <w:r>
              <w:rPr>
                <w:rFonts w:ascii="Times New Roman" w:eastAsia="Times New Roman" w:hAnsi="Times New Roman" w:cs="Times New Roman"/>
                <w:b/>
                <w:bCs/>
                <w:color w:val="000000"/>
                <w:vertAlign w:val="superscript"/>
                <w:lang w:val="en-US" w:eastAsia="de-CH"/>
              </w:rPr>
              <w:t>j</w:t>
            </w:r>
          </w:p>
        </w:tc>
        <w:tc>
          <w:tcPr>
            <w:tcW w:w="911" w:type="dxa"/>
            <w:tcBorders>
              <w:top w:val="single" w:sz="4" w:space="0" w:color="auto"/>
              <w:bottom w:val="single" w:sz="4" w:space="0" w:color="auto"/>
            </w:tcBorders>
            <w:noWrap/>
            <w:hideMark/>
          </w:tcPr>
          <w:p w14:paraId="0F00DFCD"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11</w:t>
            </w:r>
            <w:r>
              <w:rPr>
                <w:rFonts w:ascii="Times New Roman" w:eastAsia="Times New Roman" w:hAnsi="Times New Roman" w:cs="Times New Roman"/>
                <w:b/>
                <w:bCs/>
                <w:color w:val="000000"/>
                <w:vertAlign w:val="superscript"/>
                <w:lang w:val="en-US" w:eastAsia="de-CH"/>
              </w:rPr>
              <w:t>k</w:t>
            </w:r>
          </w:p>
        </w:tc>
        <w:tc>
          <w:tcPr>
            <w:tcW w:w="911" w:type="dxa"/>
            <w:tcBorders>
              <w:top w:val="single" w:sz="4" w:space="0" w:color="auto"/>
              <w:bottom w:val="single" w:sz="4" w:space="0" w:color="auto"/>
            </w:tcBorders>
            <w:noWrap/>
            <w:hideMark/>
          </w:tcPr>
          <w:p w14:paraId="2F967DEF" w14:textId="77777777" w:rsidR="00CF69B7" w:rsidRPr="001758E1" w:rsidRDefault="00CF69B7" w:rsidP="00CF69B7">
            <w:pPr>
              <w:spacing w:after="0" w:line="480" w:lineRule="auto"/>
              <w:jc w:val="center"/>
              <w:rPr>
                <w:rFonts w:ascii="Times New Roman" w:eastAsia="Times New Roman" w:hAnsi="Times New Roman" w:cs="Times New Roman"/>
                <w:b/>
                <w:bCs/>
                <w:color w:val="000000"/>
                <w:vertAlign w:val="superscript"/>
                <w:lang w:val="en-US" w:eastAsia="de-CH"/>
              </w:rPr>
            </w:pPr>
            <w:r w:rsidRPr="007E04DE">
              <w:rPr>
                <w:rFonts w:ascii="Times New Roman" w:eastAsia="Times New Roman" w:hAnsi="Times New Roman" w:cs="Times New Roman"/>
                <w:b/>
                <w:bCs/>
                <w:color w:val="000000"/>
                <w:lang w:val="en-US" w:eastAsia="de-CH"/>
              </w:rPr>
              <w:t>12</w:t>
            </w:r>
            <w:r>
              <w:rPr>
                <w:rFonts w:ascii="Times New Roman" w:eastAsia="Times New Roman" w:hAnsi="Times New Roman" w:cs="Times New Roman"/>
                <w:b/>
                <w:bCs/>
                <w:color w:val="000000"/>
                <w:vertAlign w:val="superscript"/>
                <w:lang w:val="en-US" w:eastAsia="de-CH"/>
              </w:rPr>
              <w:t>l</w:t>
            </w:r>
          </w:p>
        </w:tc>
        <w:tc>
          <w:tcPr>
            <w:tcW w:w="912" w:type="dxa"/>
            <w:tcBorders>
              <w:top w:val="single" w:sz="4" w:space="0" w:color="auto"/>
              <w:bottom w:val="single" w:sz="4" w:space="0" w:color="auto"/>
            </w:tcBorders>
            <w:noWrap/>
            <w:hideMark/>
          </w:tcPr>
          <w:p w14:paraId="3B6A1816" w14:textId="77777777" w:rsidR="00CF69B7" w:rsidRPr="007E04DE" w:rsidRDefault="00CF69B7" w:rsidP="00CF69B7">
            <w:pPr>
              <w:spacing w:after="0" w:line="480" w:lineRule="auto"/>
              <w:jc w:val="center"/>
              <w:rPr>
                <w:rFonts w:ascii="Times New Roman" w:eastAsia="Times New Roman" w:hAnsi="Times New Roman" w:cs="Times New Roman"/>
                <w:b/>
                <w:bCs/>
                <w:color w:val="000000"/>
                <w:lang w:val="en-US" w:eastAsia="de-CH"/>
              </w:rPr>
            </w:pPr>
            <w:r w:rsidRPr="007E04DE">
              <w:rPr>
                <w:rFonts w:ascii="Times New Roman" w:eastAsia="Times New Roman" w:hAnsi="Times New Roman" w:cs="Times New Roman"/>
                <w:b/>
                <w:bCs/>
                <w:color w:val="000000"/>
                <w:lang w:val="en-US" w:eastAsia="de-CH"/>
              </w:rPr>
              <w:t>points</w:t>
            </w:r>
          </w:p>
        </w:tc>
        <w:tc>
          <w:tcPr>
            <w:tcW w:w="1002" w:type="dxa"/>
            <w:tcBorders>
              <w:top w:val="single" w:sz="4" w:space="0" w:color="auto"/>
              <w:bottom w:val="single" w:sz="4" w:space="0" w:color="auto"/>
            </w:tcBorders>
            <w:noWrap/>
            <w:hideMark/>
          </w:tcPr>
          <w:p w14:paraId="702ACACC" w14:textId="77777777" w:rsidR="00CF69B7" w:rsidRPr="007E04DE" w:rsidRDefault="00CF69B7" w:rsidP="00CF69B7">
            <w:pPr>
              <w:spacing w:after="0" w:line="480" w:lineRule="auto"/>
              <w:jc w:val="center"/>
              <w:rPr>
                <w:rFonts w:ascii="Times New Roman" w:eastAsia="Times New Roman" w:hAnsi="Times New Roman" w:cs="Times New Roman"/>
                <w:b/>
                <w:bCs/>
                <w:color w:val="000000"/>
                <w:lang w:val="en-US" w:eastAsia="de-CH"/>
              </w:rPr>
            </w:pPr>
            <w:r w:rsidRPr="007E04DE">
              <w:rPr>
                <w:rFonts w:ascii="Times New Roman" w:eastAsia="Times New Roman" w:hAnsi="Times New Roman" w:cs="Times New Roman"/>
                <w:b/>
                <w:bCs/>
                <w:color w:val="000000"/>
                <w:lang w:val="en-US" w:eastAsia="de-CH"/>
              </w:rPr>
              <w:t>Quality</w:t>
            </w:r>
          </w:p>
        </w:tc>
      </w:tr>
      <w:tr w:rsidR="00CF69B7" w:rsidRPr="005B4838" w14:paraId="5A97B142" w14:textId="77777777" w:rsidTr="00CF69B7">
        <w:trPr>
          <w:trHeight w:val="170"/>
        </w:trPr>
        <w:tc>
          <w:tcPr>
            <w:tcW w:w="2552" w:type="dxa"/>
            <w:noWrap/>
            <w:hideMark/>
          </w:tcPr>
          <w:p w14:paraId="743529F1" w14:textId="360CD6FD" w:rsidR="00CF69B7" w:rsidRPr="005B4838" w:rsidRDefault="005B4838" w:rsidP="00CF69B7">
            <w:pPr>
              <w:spacing w:after="0" w:line="480" w:lineRule="auto"/>
              <w:rPr>
                <w:rFonts w:ascii="Times New Roman" w:eastAsia="Times New Roman" w:hAnsi="Times New Roman" w:cs="Times New Roman"/>
                <w:color w:val="000000"/>
                <w:lang w:val="en-US" w:eastAsia="de-CH"/>
              </w:rPr>
            </w:pPr>
            <w:r w:rsidRPr="005B4838">
              <w:rPr>
                <w:rFonts w:ascii="Times New Roman" w:eastAsia="Times New Roman" w:hAnsi="Times New Roman" w:cs="Times New Roman"/>
                <w:color w:val="000000"/>
                <w:lang w:val="en-US" w:eastAsia="de-CH"/>
              </w:rPr>
              <w:t xml:space="preserve">Jensen et al. (2004) </w:t>
            </w:r>
            <w:r w:rsidR="00CF69B7" w:rsidRPr="005B4838">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{"citationItems":[{"id":"ITEM-1","itemData":{"DOI":"10.1038/oby.2004.225","ISSN":"1071-7323 (Print)","PMID":"15601977","abstract":"OBJECTIVES: To determine the feasibility of a 3-month weight loss program for obese  older women with short-term laboratory, performance, functional, and life quality outcomes. RESEARCH METHODS AND PROCEDURES: This was a pre- and postintervention design. Community-dwelling women (n = 26) &gt; or =60 years old with BMI &gt; or =30 were enrolled in a 3-month weight loss program promoting prudent diet, behavior modification, and physical activity. The primary emphasis of the program was on health, function, and quality of life. The approach was specifically tailored to older subjects through use of large-font instructional materials, supplementation of calcium and vitamin D, and moderate weight loss and physical activity goals. An initial assessment by a bariatric physician was followed by eight visits with a dietitian and a follow-up physician visit. Measurements included anthropometrics, body composition, laboratories, pedometer, physical performance, Short-Form 36 Health Status Survey (SF-36), Life Space Assessment, and dietary assessment. RESULTS: Eighteen participants completed the program. There was a significant decrease in mean body weight (100 +/- 15 vs. 96 +/- 18 kg, p = 0.006), with a mean weight loss of 4.3 +/- 5.5 kg (range -15.5 to +7.20 kg). Significant improvements were observed for diastolic blood pressure, total cholesterol, triglycerides, physical performance, pedometer-measured step counts, and step climb and descent. Self-rated physical functioning (SF-36 subscore) and vitality (SF-36 subscore) were also significantly improved. DISCUSSION: It is feasible for self-selected obese older women to achieve a moderate weight loss and increase in physical activity resulting in short-term improvements in laboratory, physical performance, self-reported function, vitality, and life quality outcomes.","author":[{"dropping-particle":"","family":"Jensen","given":"Gordon L","non-dropping-particle":"","parse-names":false,"suffix":""},{"dropping-particle":"","family":"Roy","given":"Marie-Andrée","non-dropping-particle":"","parse-names":false,"suffix":""},{"dropping-particle":"","family":"Buchanan","given":"Alice E","non-dropping-particle":"","parse-names":false,"suffix":""},{"dropping-particle":"","family":"Berg","given":"Melanie B","non-dropping-particle":"","parse-names":false,"suffix":""}],"container-title":"Obesity research","id":"ITEM-1","issue":"11","issued":{"date-parts":[["2004","11"]]},"language":"eng","page":"1814-1820","publisher-place":"United States","title":"Weight loss intervention for obese older women: improvements in performance and  function.","type":"article-journal","volume":"12"},"uris":["http://www.mendeley.com/documents/?uuid=cb2348f5-1001-4b35-800b-93ea120feeab"]}],"mendeley":{"formattedCitation":"[1]","plainTextFormattedCitation":"[1]","previouslyFormattedCitation":"[1]"},"properties":{"noteIndex":0},"schema":"https://github.com/citation-style-language/schema/raw/master/csl-citation.json"}</w:instrText>
            </w:r>
            <w:r w:rsidR="00CF69B7" w:rsidRPr="005B4838">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w:t>
            </w:r>
            <w:r w:rsidR="00CF69B7" w:rsidRPr="005B4838">
              <w:rPr>
                <w:rFonts w:ascii="Times New Roman" w:eastAsia="Times New Roman" w:hAnsi="Times New Roman" w:cs="Times New Roman"/>
                <w:color w:val="000000"/>
                <w:lang w:val="en-US" w:eastAsia="de-CH"/>
              </w:rPr>
              <w:fldChar w:fldCharType="end"/>
            </w:r>
          </w:p>
        </w:tc>
        <w:tc>
          <w:tcPr>
            <w:tcW w:w="911" w:type="dxa"/>
            <w:noWrap/>
            <w:hideMark/>
          </w:tcPr>
          <w:p w14:paraId="36970201"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5A34B927"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33AFF060"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noWrap/>
            <w:hideMark/>
          </w:tcPr>
          <w:p w14:paraId="7FA5593B"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055D1BC8"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noWrap/>
            <w:hideMark/>
          </w:tcPr>
          <w:p w14:paraId="5FFF782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noWrap/>
            <w:hideMark/>
          </w:tcPr>
          <w:p w14:paraId="66B09E3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20B1C8F2" w14:textId="32974AA3" w:rsidR="00CF69B7" w:rsidRPr="001F4F7D" w:rsidRDefault="00CF69B7" w:rsidP="00CF69B7">
            <w:pPr>
              <w:spacing w:after="0" w:line="480" w:lineRule="auto"/>
              <w:jc w:val="center"/>
              <w:rPr>
                <w:rFonts w:ascii="Times New Roman" w:eastAsia="Times New Roman" w:hAnsi="Times New Roman" w:cs="Times New Roman"/>
                <w:color w:val="000000"/>
                <w:vertAlign w:val="superscript"/>
                <w:lang w:val="en-US" w:eastAsia="de-CH"/>
              </w:rPr>
            </w:pPr>
            <w:proofErr w:type="spellStart"/>
            <w:r w:rsidRPr="00B00729">
              <w:rPr>
                <w:rFonts w:ascii="Times New Roman" w:eastAsia="Times New Roman" w:hAnsi="Times New Roman" w:cs="Times New Roman"/>
                <w:color w:val="000000"/>
                <w:lang w:val="en-US" w:eastAsia="de-CH"/>
              </w:rPr>
              <w:t>NR</w:t>
            </w:r>
            <w:r w:rsidR="001F4F7D">
              <w:rPr>
                <w:rFonts w:ascii="Times New Roman" w:eastAsia="Times New Roman" w:hAnsi="Times New Roman" w:cs="Times New Roman"/>
                <w:color w:val="000000"/>
                <w:vertAlign w:val="superscript"/>
                <w:lang w:val="en-US" w:eastAsia="de-CH"/>
              </w:rPr>
              <w:t>m</w:t>
            </w:r>
            <w:proofErr w:type="spellEnd"/>
          </w:p>
        </w:tc>
        <w:tc>
          <w:tcPr>
            <w:tcW w:w="911" w:type="dxa"/>
            <w:noWrap/>
            <w:hideMark/>
          </w:tcPr>
          <w:p w14:paraId="5F76AB27"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2" w:type="dxa"/>
            <w:noWrap/>
            <w:hideMark/>
          </w:tcPr>
          <w:p w14:paraId="6690DCB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5E6F7739"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noWrap/>
            <w:hideMark/>
          </w:tcPr>
          <w:p w14:paraId="753DA862" w14:textId="711728AD" w:rsidR="00CF69B7" w:rsidRPr="001F4F7D" w:rsidRDefault="00CF69B7" w:rsidP="00CF69B7">
            <w:pPr>
              <w:spacing w:after="0" w:line="480" w:lineRule="auto"/>
              <w:jc w:val="center"/>
              <w:rPr>
                <w:rFonts w:ascii="Times New Roman" w:eastAsia="Times New Roman" w:hAnsi="Times New Roman" w:cs="Times New Roman"/>
                <w:color w:val="000000"/>
                <w:vertAlign w:val="superscript"/>
                <w:lang w:val="en-US" w:eastAsia="de-CH"/>
              </w:rPr>
            </w:pPr>
            <w:proofErr w:type="spellStart"/>
            <w:r w:rsidRPr="00B00729">
              <w:rPr>
                <w:rFonts w:ascii="Times New Roman" w:eastAsia="Times New Roman" w:hAnsi="Times New Roman" w:cs="Times New Roman"/>
                <w:color w:val="000000"/>
                <w:lang w:val="en-US" w:eastAsia="de-CH"/>
              </w:rPr>
              <w:t>NA</w:t>
            </w:r>
            <w:r w:rsidR="001F4F7D">
              <w:rPr>
                <w:rFonts w:ascii="Times New Roman" w:eastAsia="Times New Roman" w:hAnsi="Times New Roman" w:cs="Times New Roman"/>
                <w:color w:val="000000"/>
                <w:vertAlign w:val="superscript"/>
                <w:lang w:val="en-US" w:eastAsia="de-CH"/>
              </w:rPr>
              <w:t>n</w:t>
            </w:r>
            <w:proofErr w:type="spellEnd"/>
          </w:p>
        </w:tc>
        <w:tc>
          <w:tcPr>
            <w:tcW w:w="912" w:type="dxa"/>
            <w:noWrap/>
            <w:hideMark/>
          </w:tcPr>
          <w:p w14:paraId="5971C045"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7</w:t>
            </w:r>
          </w:p>
        </w:tc>
        <w:tc>
          <w:tcPr>
            <w:tcW w:w="1002" w:type="dxa"/>
            <w:noWrap/>
            <w:hideMark/>
          </w:tcPr>
          <w:p w14:paraId="7BE9FCE4" w14:textId="77777777" w:rsidR="00CF69B7" w:rsidRPr="007E04DE" w:rsidRDefault="00CF69B7" w:rsidP="00CF69B7">
            <w:pPr>
              <w:spacing w:after="0" w:line="480" w:lineRule="auto"/>
              <w:jc w:val="center"/>
              <w:rPr>
                <w:rFonts w:ascii="Times New Roman" w:eastAsia="Times New Roman" w:hAnsi="Times New Roman" w:cs="Times New Roman"/>
                <w:color w:val="000000"/>
                <w:lang w:val="en-US" w:eastAsia="de-CH"/>
              </w:rPr>
            </w:pPr>
            <w:r w:rsidRPr="007E04DE">
              <w:rPr>
                <w:rFonts w:ascii="Times New Roman" w:eastAsia="Times New Roman" w:hAnsi="Times New Roman" w:cs="Times New Roman"/>
                <w:color w:val="000000"/>
                <w:lang w:val="en-US" w:eastAsia="de-CH"/>
              </w:rPr>
              <w:t>Fair</w:t>
            </w:r>
          </w:p>
        </w:tc>
      </w:tr>
      <w:tr w:rsidR="00CF69B7" w:rsidRPr="00DE3ADE" w14:paraId="4F61FE34" w14:textId="77777777" w:rsidTr="00CF69B7">
        <w:trPr>
          <w:trHeight w:val="170"/>
        </w:trPr>
        <w:tc>
          <w:tcPr>
            <w:tcW w:w="2552" w:type="dxa"/>
            <w:noWrap/>
            <w:hideMark/>
          </w:tcPr>
          <w:p w14:paraId="087829B1" w14:textId="08165725" w:rsidR="00CF69B7" w:rsidRPr="005B4838" w:rsidRDefault="005B4838" w:rsidP="00CF69B7">
            <w:pPr>
              <w:spacing w:after="0" w:line="480" w:lineRule="auto"/>
              <w:rPr>
                <w:rFonts w:ascii="Times New Roman" w:eastAsia="Times New Roman" w:hAnsi="Times New Roman" w:cs="Times New Roman"/>
                <w:color w:val="000000"/>
                <w:lang w:val="en-US" w:eastAsia="de-CH"/>
              </w:rPr>
            </w:pPr>
            <w:proofErr w:type="spellStart"/>
            <w:r w:rsidRPr="005B4838">
              <w:rPr>
                <w:rFonts w:ascii="Times New Roman" w:eastAsia="Times New Roman" w:hAnsi="Times New Roman" w:cs="Times New Roman"/>
                <w:color w:val="000000"/>
                <w:lang w:val="en-US" w:eastAsia="de-CH"/>
              </w:rPr>
              <w:t>Kamioka</w:t>
            </w:r>
            <w:proofErr w:type="spellEnd"/>
            <w:r w:rsidRPr="005B4838">
              <w:rPr>
                <w:rFonts w:ascii="Times New Roman" w:eastAsia="Times New Roman" w:hAnsi="Times New Roman" w:cs="Times New Roman"/>
                <w:color w:val="000000"/>
                <w:lang w:val="en-US" w:eastAsia="de-CH"/>
              </w:rPr>
              <w:t xml:space="preserve"> et al. (2020) </w:t>
            </w:r>
            <w:r w:rsidR="00CF69B7" w:rsidRPr="005B4838">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{"citationItems":[{"id":"ITEM-1","itemData":{"abstract":"[Purpose] This study aimed to examine whether we were able to measure changes in social participation and life-space mobility of newly enrolled home-based rehabilitation (HR) users by using the activities and participation components of the International Classification of Functioning, Disability and Health (ICF) and Life-Space Assessment (LSA) over a 6-months period. [Participants and Methods] We enrolled 47 HR users who had suffered from a stroke or other condition within the previous year. A 6-month prospective cohort study was conducted. The performance qualifiers \"d6 domestic life\" and \"d9 community, social and civic life\" in the activities and participation components of the ICF and LSA were used. [Results] We observed significant improvements in the performance qualifier \"d9 community, social and civic life\" of the ICF over 3 months, and the LSA over a 6-months period. We also identified significant improvements in \"d910 community life\" and \"d920 recreation and leisure\" of the ICF. The LSA results showed that HR users had more frequent mobility within the neighborhood. [Conclusion] This study showed that newly enrolled HR users improved their social activities in the community, recreational activities, and life-space mobility over a 6-months period. These were measured using performance qualifiers from the ICF and LSA.","author":[{"dropping-particle":"","family":"Kamioka","given":"Yumiko","non-dropping-particle":"","parse-names":false,"suffix":""},{"dropping-particle":"","family":"Miura","given":"Yuji","non-dropping-particle":"","parse-names":false,"suffix":""},{"dropping-particle":"","family":"Matsuda","given":"Tomoyuki","non-dropping-particle":"","parse-names":false,"suffix":""},{"dropping-particle":"","family":"Iijima","given":"Yayoi","non-dropping-particle":"","parse-names":false,"suffix":""},{"dropping-particle":"","family":"Suzuki","given":"Ai","non-dropping-particle":"","parse-names":false,"suffix":""},{"dropping-particle":"","family":"Nakazato","given":"Kazuhiro","non-dropping-particle":"","parse-names":false,"suffix":""},{"dropping-particle":"","family":"Saito","given":"Hideyuki","non-dropping-particle":"","parse-names":false,"suffix":""},{"dropping-particle":"","family":"Arita","given":"Motohide","non-dropping-particle":"","parse-names":false,"suffix":""}],"container-title":"The Journal of Physical Therapy Science","id":"ITEM-1","issued":{"date-parts":[["2020"]]},"page":"375-384","title":"Changes in social participation and life-space mobility in newly enrolled home-based rehabilitation users over 6 months","type":"article-journal","volume":"32"},"uris":["http://www.mendeley.com/documents/?uuid=84827fde-2327-3d5a-a411-75a1f1c2e6fe"]}],"mendeley":{"formattedCitation":"[2]","plainTextFormattedCitation":"[2]","previouslyFormattedCitation":"[2]"},"properties":{"noteIndex":0},"schema":"https://github.com/citation-style-language/schema/raw/master/csl-citation.json"}</w:instrText>
            </w:r>
            <w:r w:rsidR="00CF69B7" w:rsidRPr="005B4838">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[2]</w:t>
            </w:r>
            <w:r w:rsidR="00CF69B7" w:rsidRPr="005B4838">
              <w:rPr>
                <w:rFonts w:ascii="Times New Roman" w:eastAsia="Times New Roman" w:hAnsi="Times New Roman" w:cs="Times New Roman"/>
                <w:color w:val="000000"/>
                <w:lang w:val="en-US" w:eastAsia="de-CH"/>
              </w:rPr>
              <w:fldChar w:fldCharType="end"/>
            </w:r>
          </w:p>
        </w:tc>
        <w:tc>
          <w:tcPr>
            <w:tcW w:w="911" w:type="dxa"/>
            <w:noWrap/>
            <w:hideMark/>
          </w:tcPr>
          <w:p w14:paraId="04E4105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yes/no</w:t>
            </w:r>
          </w:p>
        </w:tc>
        <w:tc>
          <w:tcPr>
            <w:tcW w:w="911" w:type="dxa"/>
            <w:noWrap/>
            <w:hideMark/>
          </w:tcPr>
          <w:p w14:paraId="3C52C2ED"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4E0CCD39"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noWrap/>
            <w:hideMark/>
          </w:tcPr>
          <w:p w14:paraId="5C29D65A"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4C1121F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NR</w:t>
            </w:r>
          </w:p>
        </w:tc>
        <w:tc>
          <w:tcPr>
            <w:tcW w:w="911" w:type="dxa"/>
            <w:noWrap/>
            <w:hideMark/>
          </w:tcPr>
          <w:p w14:paraId="4850264B"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2" w:type="dxa"/>
            <w:noWrap/>
            <w:hideMark/>
          </w:tcPr>
          <w:p w14:paraId="45D9DBDE"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51D4BE9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noWrap/>
            <w:hideMark/>
          </w:tcPr>
          <w:p w14:paraId="699FC898"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2" w:type="dxa"/>
            <w:noWrap/>
            <w:hideMark/>
          </w:tcPr>
          <w:p w14:paraId="31DF5C17"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60DCB545"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0E230CE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NA</w:t>
            </w:r>
          </w:p>
        </w:tc>
        <w:tc>
          <w:tcPr>
            <w:tcW w:w="912" w:type="dxa"/>
            <w:noWrap/>
            <w:hideMark/>
          </w:tcPr>
          <w:p w14:paraId="71B1F465"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6,5</w:t>
            </w:r>
          </w:p>
        </w:tc>
        <w:tc>
          <w:tcPr>
            <w:tcW w:w="1002" w:type="dxa"/>
            <w:noWrap/>
            <w:hideMark/>
          </w:tcPr>
          <w:p w14:paraId="52F9ACAB" w14:textId="77777777" w:rsidR="00CF69B7" w:rsidRPr="007E04DE" w:rsidRDefault="00CF69B7" w:rsidP="00CF69B7">
            <w:pPr>
              <w:spacing w:after="0" w:line="480" w:lineRule="auto"/>
              <w:jc w:val="center"/>
              <w:rPr>
                <w:rFonts w:ascii="Times New Roman" w:eastAsia="Times New Roman" w:hAnsi="Times New Roman" w:cs="Times New Roman"/>
                <w:color w:val="000000"/>
                <w:lang w:val="en-US" w:eastAsia="de-CH"/>
              </w:rPr>
            </w:pPr>
            <w:r w:rsidRPr="007E04DE">
              <w:rPr>
                <w:rFonts w:ascii="Times New Roman" w:eastAsia="Times New Roman" w:hAnsi="Times New Roman" w:cs="Times New Roman"/>
                <w:color w:val="000000"/>
                <w:lang w:val="en-US" w:eastAsia="de-CH"/>
              </w:rPr>
              <w:t>Fair</w:t>
            </w:r>
          </w:p>
        </w:tc>
      </w:tr>
      <w:tr w:rsidR="002E6171" w:rsidRPr="007C7921" w14:paraId="73F9AF47" w14:textId="77777777" w:rsidTr="00CF69B7">
        <w:trPr>
          <w:trHeight w:val="170"/>
        </w:trPr>
        <w:tc>
          <w:tcPr>
            <w:tcW w:w="2552" w:type="dxa"/>
            <w:noWrap/>
          </w:tcPr>
          <w:p w14:paraId="122EA632" w14:textId="1AEAC115" w:rsidR="002E6171" w:rsidRPr="00DC0CD4" w:rsidRDefault="002E6171" w:rsidP="00CF69B7">
            <w:pPr>
              <w:spacing w:after="0" w:line="480" w:lineRule="auto"/>
              <w:rPr>
                <w:rFonts w:ascii="Times New Roman" w:eastAsia="Times New Roman" w:hAnsi="Times New Roman" w:cs="Times New Roman"/>
                <w:color w:val="000000"/>
                <w:lang w:val="es-ES" w:eastAsia="de-CH"/>
              </w:rPr>
            </w:pPr>
            <w:r>
              <w:rPr>
                <w:rFonts w:ascii="Times New Roman" w:eastAsia="Times New Roman" w:hAnsi="Times New Roman" w:cs="Times New Roman"/>
                <w:color w:val="000000"/>
                <w:lang w:val="en-US" w:eastAsia="de-CH"/>
              </w:rPr>
              <w:t xml:space="preserve">Kato(2022) </w:t>
            </w:r>
            <w:r>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{"citationItems":[{"id":"ITEM-1","itemData":{"DOI":"10.1186/s12913-022-08952-w","ISSN":"1472-6963 (Electronic)","PMID":"36575420","abstract":"BACKGROUND: The introduction of nursing care-support devices using robotic  technology is expected to reduce the task burden in long-term care facilities. OBJECTIVE: To investigate the use of the rise-assisting robot, Resyone, in extending and improving the life space of nursing home residents with severe care needs. METHODS: We performed a feasibility study in which Resyone was used to facilitate visits to additional sites in and around the nursing home as part of the care package of three residents. Two weeks before and four weeks after implementation of the new arrangements, the 30 caregivers involved were asked to record transfer times and destinations, while also checking the residents' facial expressions. RESULTS: Before implementation, participants had limited life spaces, but afterwards they regularly visited additional destinations including the garden, home entrance and corridors, which previously they had not visited frequently. The residents' facial expressions became more positive and less negative. This study demonstrates that Resyone can enrich care activities in severely disabled individuals. CONCLUSION: These findings suggest that the sustainable use of Resyone would improve the quality of care at care facilities. Moreover, the extension of otherwise limited life space has the potential to improve care receivers' quality of life. TRIAL REGISTRATION: UMIN Clinical Trials Registry No. UMIN000039204 (20/01/2020); retrospectively registered; interventional study; parallel, non-</w:instrText>
            </w:r>
            <w:r w:rsidR="001F4F7D" w:rsidRPr="001F4F7D">
              <w:rPr>
                <w:rFonts w:ascii="Times New Roman" w:eastAsia="Times New Roman" w:hAnsi="Times New Roman" w:cs="Times New Roman"/>
                <w:color w:val="000000"/>
                <w:lang w:val="es-ES" w:eastAsia="de-CH"/>
              </w:rPr>
              <w:instrText>randomized, single blinded. URL of trial registry records: https://upload.umin.ac.jp/cgi-open-bin/ctr_e/ctr_view.cgi?recptno=R000044709 .","author":[{"dropping-particle":"","family":"Kato","given":"Kenji","non-dropping-particle":"","parse-names":false,"suffix":""},{"dropping-particle":"","family":"Yoshimi","given":"Tatsuya","non-dropping-particle":"","parse-names":false,"suffix":""},{"dropping-particle":"","family":"Aimoto","given":"Keita","non-dropping-particle":"","parse-names":false,"suffix":""},{"dropping-particle":"","family":"Sato","given":"Kenji","non-dropping-particle":"","parse-names":false,"suffix":""},{"dropping-particle":"","family":"Itoh","given":"Naoki","non-dropping-particle":"","parse-names":false,"suffix":""},{"dropping-particle":"","family":"Kondo","given":"Izumi","non-dropping-particle":"","parse-names":false,"suffix":""}],"container-title":"BMC health services research","id":"ITEM-1","issue":"1","issued":{"date-parts":[["2022","12"]]},"language":"eng","page":"1588","publisher-place":"England","title":"A rise-assisting robot extends life space and improves facial expressions of  nursing home residents.","type":"article-journal","volume":"22"},"uris":["http://www.mendeley.com/documents/?uuid=89ac9422-0771-4cd3-93fe-2d2ecc1afb29"]}],"mendeley":{"formattedCitation":"[3]","plainTextFormattedCitation":"[3]","previouslyFormattedCitation":"[3]"},"properties":{"noteIndex":0},"schema":"https://github.com/citation-style-language/schema/raw/master/csl-citation.json"}</w:instrText>
            </w:r>
            <w:r>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s-ES" w:eastAsia="de-CH"/>
              </w:rPr>
              <w:t>[3]</w:t>
            </w:r>
            <w:r>
              <w:rPr>
                <w:rFonts w:ascii="Times New Roman" w:eastAsia="Times New Roman" w:hAnsi="Times New Roman" w:cs="Times New Roman"/>
                <w:color w:val="000000"/>
                <w:lang w:val="en-US" w:eastAsia="de-CH"/>
              </w:rPr>
              <w:fldChar w:fldCharType="end"/>
            </w:r>
          </w:p>
        </w:tc>
        <w:tc>
          <w:tcPr>
            <w:tcW w:w="911" w:type="dxa"/>
            <w:noWrap/>
          </w:tcPr>
          <w:p w14:paraId="22AA9452" w14:textId="10500D93"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yes</w:t>
            </w:r>
          </w:p>
        </w:tc>
        <w:tc>
          <w:tcPr>
            <w:tcW w:w="911" w:type="dxa"/>
            <w:noWrap/>
          </w:tcPr>
          <w:p w14:paraId="0508E48F" w14:textId="726117FA"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yes</w:t>
            </w:r>
          </w:p>
        </w:tc>
        <w:tc>
          <w:tcPr>
            <w:tcW w:w="911" w:type="dxa"/>
            <w:noWrap/>
          </w:tcPr>
          <w:p w14:paraId="41350276" w14:textId="6CE6FF85"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yes</w:t>
            </w:r>
          </w:p>
        </w:tc>
        <w:tc>
          <w:tcPr>
            <w:tcW w:w="912" w:type="dxa"/>
            <w:noWrap/>
          </w:tcPr>
          <w:p w14:paraId="29AC51C5" w14:textId="23E485E5"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NR</w:t>
            </w:r>
          </w:p>
        </w:tc>
        <w:tc>
          <w:tcPr>
            <w:tcW w:w="911" w:type="dxa"/>
            <w:noWrap/>
          </w:tcPr>
          <w:p w14:paraId="52C9B16E" w14:textId="4FE67A24"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no</w:t>
            </w:r>
          </w:p>
        </w:tc>
        <w:tc>
          <w:tcPr>
            <w:tcW w:w="911" w:type="dxa"/>
            <w:noWrap/>
          </w:tcPr>
          <w:p w14:paraId="1EA8B203" w14:textId="079B2A7C"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yes</w:t>
            </w:r>
          </w:p>
        </w:tc>
        <w:tc>
          <w:tcPr>
            <w:tcW w:w="912" w:type="dxa"/>
            <w:noWrap/>
          </w:tcPr>
          <w:p w14:paraId="48C1E9E4" w14:textId="784E997A"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no</w:t>
            </w:r>
          </w:p>
        </w:tc>
        <w:tc>
          <w:tcPr>
            <w:tcW w:w="911" w:type="dxa"/>
            <w:noWrap/>
          </w:tcPr>
          <w:p w14:paraId="5236B0A2" w14:textId="3BBFA789"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no</w:t>
            </w:r>
          </w:p>
        </w:tc>
        <w:tc>
          <w:tcPr>
            <w:tcW w:w="911" w:type="dxa"/>
            <w:noWrap/>
          </w:tcPr>
          <w:p w14:paraId="17232AC5" w14:textId="6CB52AFB"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yes</w:t>
            </w:r>
          </w:p>
        </w:tc>
        <w:tc>
          <w:tcPr>
            <w:tcW w:w="912" w:type="dxa"/>
            <w:noWrap/>
          </w:tcPr>
          <w:p w14:paraId="3B2C7AF8" w14:textId="79AD78AC"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no</w:t>
            </w:r>
          </w:p>
        </w:tc>
        <w:tc>
          <w:tcPr>
            <w:tcW w:w="911" w:type="dxa"/>
            <w:noWrap/>
          </w:tcPr>
          <w:p w14:paraId="347646CC" w14:textId="41A0CF52"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no</w:t>
            </w:r>
          </w:p>
        </w:tc>
        <w:tc>
          <w:tcPr>
            <w:tcW w:w="911" w:type="dxa"/>
            <w:noWrap/>
          </w:tcPr>
          <w:p w14:paraId="3886DD9F" w14:textId="45845C92"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NA</w:t>
            </w:r>
          </w:p>
        </w:tc>
        <w:tc>
          <w:tcPr>
            <w:tcW w:w="912" w:type="dxa"/>
            <w:noWrap/>
          </w:tcPr>
          <w:p w14:paraId="28F0EA9D" w14:textId="01E032B9"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r w:rsidRPr="00DC0CD4">
              <w:rPr>
                <w:rFonts w:ascii="Times New Roman" w:eastAsia="Times New Roman" w:hAnsi="Times New Roman" w:cs="Times New Roman"/>
                <w:color w:val="000000"/>
                <w:lang w:val="es-ES" w:eastAsia="de-CH"/>
              </w:rPr>
              <w:t>5</w:t>
            </w:r>
          </w:p>
        </w:tc>
        <w:tc>
          <w:tcPr>
            <w:tcW w:w="1002" w:type="dxa"/>
            <w:noWrap/>
          </w:tcPr>
          <w:p w14:paraId="3D65584F" w14:textId="574FF7FD" w:rsidR="002E6171" w:rsidRPr="00DC0CD4" w:rsidRDefault="0060522C" w:rsidP="00CF69B7">
            <w:pPr>
              <w:spacing w:after="0" w:line="480" w:lineRule="auto"/>
              <w:jc w:val="center"/>
              <w:rPr>
                <w:rFonts w:ascii="Times New Roman" w:eastAsia="Times New Roman" w:hAnsi="Times New Roman" w:cs="Times New Roman"/>
                <w:color w:val="000000"/>
                <w:lang w:val="es-ES" w:eastAsia="de-CH"/>
              </w:rPr>
            </w:pPr>
            <w:proofErr w:type="spellStart"/>
            <w:r w:rsidRPr="00DC0CD4">
              <w:rPr>
                <w:rFonts w:ascii="Times New Roman" w:eastAsia="Times New Roman" w:hAnsi="Times New Roman" w:cs="Times New Roman"/>
                <w:color w:val="000000"/>
                <w:lang w:val="es-ES" w:eastAsia="de-CH"/>
              </w:rPr>
              <w:t>Fair</w:t>
            </w:r>
            <w:proofErr w:type="spellEnd"/>
          </w:p>
        </w:tc>
      </w:tr>
      <w:tr w:rsidR="00CF69B7" w:rsidRPr="007C7921" w14:paraId="08CB736D" w14:textId="77777777" w:rsidTr="00CF69B7">
        <w:trPr>
          <w:trHeight w:val="170"/>
        </w:trPr>
        <w:tc>
          <w:tcPr>
            <w:tcW w:w="2552" w:type="dxa"/>
            <w:noWrap/>
            <w:hideMark/>
          </w:tcPr>
          <w:p w14:paraId="7D61E1CF" w14:textId="771950C0" w:rsidR="00CF69B7" w:rsidRPr="005B4838" w:rsidRDefault="005B4838" w:rsidP="00CF69B7">
            <w:pPr>
              <w:spacing w:after="0" w:line="480" w:lineRule="auto"/>
              <w:rPr>
                <w:rFonts w:ascii="Times New Roman" w:eastAsia="Times New Roman" w:hAnsi="Times New Roman" w:cs="Times New Roman"/>
                <w:color w:val="000000"/>
                <w:lang w:val="en-US" w:eastAsia="de-CH"/>
              </w:rPr>
            </w:pPr>
            <w:proofErr w:type="spellStart"/>
            <w:r w:rsidRPr="00DC0CD4">
              <w:rPr>
                <w:rFonts w:ascii="Times New Roman" w:eastAsia="Times New Roman" w:hAnsi="Times New Roman" w:cs="Times New Roman"/>
                <w:color w:val="000000"/>
                <w:lang w:val="es-ES" w:eastAsia="de-CH"/>
              </w:rPr>
              <w:t>Levasseur</w:t>
            </w:r>
            <w:proofErr w:type="spellEnd"/>
            <w:r w:rsidRPr="00DC0CD4">
              <w:rPr>
                <w:rFonts w:ascii="Times New Roman" w:eastAsia="Times New Roman" w:hAnsi="Times New Roman" w:cs="Times New Roman"/>
                <w:color w:val="000000"/>
                <w:lang w:val="es-ES" w:eastAsia="de-CH"/>
              </w:rPr>
              <w:t xml:space="preserve"> et al. (2019) </w:t>
            </w:r>
            <w:r w:rsidR="00CF69B7" w:rsidRPr="005B4838">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s-ES" w:eastAsia="de-CH"/>
              </w:rPr>
              <w:instrText>ADDIN CSL_CITATION {"citationItems":[{"id":"ITEM-1","itemData":{"DOI":"10.5014/ajot.2019.031732","ISSN":"0272-9490 (Print)","PMID":"31484027","abstract":"IMPORTANCE: Developed in California to enable community-dwelling older adults to  maintain healthy and meaningful activities, Lifestyle Redesign(®) is a well-known cost-effective preventive occupational therapy intervention. The impact of a newly adapted French version on older French-Canadians was, however, unknown. OBJECTIVE: To explore the influence of Lifestyle Redesign on older French-Canadians' health, social participation, leisure, and mobility. DESIGN: A mixed-methods design included a preexperimental component (questionnaires administered before and after the intervention and 3 and 6 mo postintervention) and an exploratory descriptive qualitative clinical study. Individual semidirected interviews were digitally audiotaped and transcribed, then underwent thematic content analysis using mix extraction grids. SETTING: Community. PARTICIPANTS: Sixteen volunteers (10 women) aged 65-90 yr (mean = 76.4, standard deviation = 7.6), 10 without and 6 with disabilities. Inclusion criteria were age ≥65 yr, normal cognitive functions, residence in a conventional or senior home, and French speaking. INTERVENTION: French-Canadian 6-mo version of Lifestyle Redesign. OUTCOMES AND MEASURES: Health, social participation, leisure, and mobility were measured using the 36-item Short Form Health Survey, Social Participation Scale, Leisure Profile, and Life-Space Assessment, as well as a semistructured interview guide. RESULTS: The French-Canadian Lifestyle Redesign had a beneficial effect on participants' mental health (p = .02) and interest in leisure (p = .02) and, in those with disabilities, social participation (p = .03) and attitudes toward leisure (p = .04). Participants reported positive effects on their mental health, leisure, mobility, and social participation, including frequency and quality of social interactions, and indicated that having an occupational routine fostered better health. None of the participants reported no effect. CONCLUSION AND RELEVANCE: The translated and culturally adapted Lifestyle Redesign is a promising occupational therapy intervention for community-dwelling older French-Canadians. WHAT THIS ARTICLE ADDS: This study sheds light on the influence of the French-Canadian version of the intervention not only on older adults' health and social participation but also on their leisure activities and life-space mobility, two important outcomes not addressed in previous Lifestyle Redesign studies. Moreover, this study provides an in-depth und…","author":[{"dropping-particle":"","family":"Levasseur","given":"Mélanie","non-dropping-particle":"","parse-names":false,"suffix":""},{"dropping-particle":"","family":"Filiatrault","given":"Johanne","non-dropping-particle":"","parse-names":false,"suffix":""},{"dropping-particle":"","family":"Larivière","given":"Nadine","non-dropping-particle":"","parse-names":false,"suffix":""},{"dropping-particle":"","family":"Trépanier","given":"Jordane","non-dropping-particle":"","parse-names":false,"suffix":""},{"dropping-particle":"","family":"Lévesque","given":"Marie-Hélène","non-dropping-particle":"","parse-names":false,"suffix":""},{"dropping-particle":"","family":"Beaudry","given":"Maryke","non-dropping-particle":"","parse-names":false,"suffix":""},{"dropping-particle":"","family":"Parisien","given":"Manon","non-dropping-particle":"","parse-n</w:instrText>
            </w:r>
            <w:r w:rsidR="001F4F7D" w:rsidRPr="001F4F7D">
              <w:rPr>
                <w:rFonts w:ascii="Times New Roman" w:eastAsia="Times New Roman" w:hAnsi="Times New Roman" w:cs="Times New Roman"/>
                <w:color w:val="000000"/>
                <w:lang w:val="en-GB" w:eastAsia="de-CH"/>
              </w:rPr>
              <w:instrText>ames":false,"suffix":""},{"dropping-particle":"","family":"Provencher","given":"Véronique","non-dropping-particle":"","parse-names":false,"suffix":""},{"dropping-particle":"","family":"Couturier","given":"Yves","non-dropping-particle":"","parse-names":false,"suffix":""},{"dropping-particle":"","family":"Champoux","given":"Nathalie","non-dropping-particle":"","parse-names":false,"suffix":""},{"dropping-particle":"","family":"Corriveau","given":"Hélène","non-dropping-particle":"","parse-names":false,"suffix":""},{"dropping-particle":"","family":"Carbonneau","given":"Hélène","non-dropping-particle":"","parse-names":false,"suffix":""},{"dropping-particle":"","family":"Sirois","given":"Fuschia","non-dropping-particle":"","parse-names":false,"suffix":""}],"container-title":"The American journal of occupational therapy : official publication of the American  Occupational Therapy Association","id":"ITEM-1","issue":"5","issued":{"date-parts":[["2019"]]},"language":"eng","page":"7305205030p1-7305205030p18","title":"Influence of Lifestyle Redesign(®) on Health, Social Participation, Leisure, and  Mobility of Older French-Canadians.","type":"article-journal","volume":"73"},"uris":["http://www.mendeley.com/documents/?uuid=b1cb5659-b170-455c-a091-889c89814d3f"]}],"mendeley":{"formattedCitation":"[4]","plainTextFormattedCitation":"[4]","previouslyFormattedCitation":"[4]"},"properties":{"noteIndex":0},"schema":"https://github.com/citation-style-language/schema/raw/master/csl-citation.json"}</w:instrText>
            </w:r>
            <w:r w:rsidR="00CF69B7" w:rsidRPr="005B4838">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[4]</w:t>
            </w:r>
            <w:r w:rsidR="00CF69B7" w:rsidRPr="005B4838">
              <w:rPr>
                <w:rFonts w:ascii="Times New Roman" w:eastAsia="Times New Roman" w:hAnsi="Times New Roman" w:cs="Times New Roman"/>
                <w:color w:val="000000"/>
                <w:lang w:val="en-US" w:eastAsia="de-CH"/>
              </w:rPr>
              <w:fldChar w:fldCharType="end"/>
            </w:r>
          </w:p>
        </w:tc>
        <w:tc>
          <w:tcPr>
            <w:tcW w:w="911" w:type="dxa"/>
            <w:noWrap/>
            <w:hideMark/>
          </w:tcPr>
          <w:p w14:paraId="2F20C8FF"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17CBAFC9"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7C2380FE"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noWrap/>
            <w:hideMark/>
          </w:tcPr>
          <w:p w14:paraId="79187B58"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NR</w:t>
            </w:r>
          </w:p>
        </w:tc>
        <w:tc>
          <w:tcPr>
            <w:tcW w:w="911" w:type="dxa"/>
            <w:noWrap/>
            <w:hideMark/>
          </w:tcPr>
          <w:p w14:paraId="3B40CE8A"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40404971"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2" w:type="dxa"/>
            <w:noWrap/>
            <w:hideMark/>
          </w:tcPr>
          <w:p w14:paraId="7D4E4E90"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4028D456"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NR</w:t>
            </w:r>
          </w:p>
        </w:tc>
        <w:tc>
          <w:tcPr>
            <w:tcW w:w="911" w:type="dxa"/>
            <w:noWrap/>
            <w:hideMark/>
          </w:tcPr>
          <w:p w14:paraId="7966C1FA"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noWrap/>
            <w:hideMark/>
          </w:tcPr>
          <w:p w14:paraId="762C92BF"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27069E34"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43EFEB43"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NA</w:t>
            </w:r>
          </w:p>
        </w:tc>
        <w:tc>
          <w:tcPr>
            <w:tcW w:w="912" w:type="dxa"/>
            <w:noWrap/>
            <w:hideMark/>
          </w:tcPr>
          <w:p w14:paraId="66212FEC"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8</w:t>
            </w:r>
          </w:p>
          <w:p w14:paraId="22384E9F"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p>
        </w:tc>
        <w:tc>
          <w:tcPr>
            <w:tcW w:w="1002" w:type="dxa"/>
            <w:noWrap/>
            <w:hideMark/>
          </w:tcPr>
          <w:p w14:paraId="652CF417" w14:textId="77777777" w:rsidR="00CF69B7" w:rsidRPr="007E04DE" w:rsidRDefault="00CF69B7" w:rsidP="00CF69B7">
            <w:pPr>
              <w:spacing w:after="0" w:line="480" w:lineRule="auto"/>
              <w:jc w:val="center"/>
              <w:rPr>
                <w:rFonts w:ascii="Times New Roman" w:eastAsia="Times New Roman" w:hAnsi="Times New Roman" w:cs="Times New Roman"/>
                <w:color w:val="000000"/>
                <w:lang w:val="en-US" w:eastAsia="de-CH"/>
              </w:rPr>
            </w:pPr>
            <w:r w:rsidRPr="007E04DE">
              <w:rPr>
                <w:rFonts w:ascii="Times New Roman" w:eastAsia="Times New Roman" w:hAnsi="Times New Roman" w:cs="Times New Roman"/>
                <w:color w:val="000000"/>
                <w:lang w:val="en-US" w:eastAsia="de-CH"/>
              </w:rPr>
              <w:t>Good</w:t>
            </w:r>
          </w:p>
          <w:p w14:paraId="089CF764" w14:textId="77777777" w:rsidR="00CF69B7" w:rsidRPr="007E04DE" w:rsidRDefault="00CF69B7" w:rsidP="00CF69B7">
            <w:pPr>
              <w:spacing w:after="0" w:line="480" w:lineRule="auto"/>
              <w:jc w:val="center"/>
              <w:rPr>
                <w:rFonts w:ascii="Times New Roman" w:eastAsia="Times New Roman" w:hAnsi="Times New Roman" w:cs="Times New Roman"/>
                <w:color w:val="000000"/>
                <w:lang w:val="en-US" w:eastAsia="de-CH"/>
              </w:rPr>
            </w:pPr>
          </w:p>
        </w:tc>
      </w:tr>
      <w:tr w:rsidR="00CF69B7" w:rsidRPr="005B4838" w14:paraId="2A521502" w14:textId="77777777" w:rsidTr="00CF69B7">
        <w:trPr>
          <w:trHeight w:val="170"/>
        </w:trPr>
        <w:tc>
          <w:tcPr>
            <w:tcW w:w="2552" w:type="dxa"/>
            <w:noWrap/>
            <w:hideMark/>
          </w:tcPr>
          <w:p w14:paraId="0017C3A4" w14:textId="6C8C6782" w:rsidR="00CF69B7" w:rsidRPr="005B4838" w:rsidRDefault="005B4838" w:rsidP="00CF69B7">
            <w:pPr>
              <w:spacing w:after="0" w:line="480" w:lineRule="auto"/>
              <w:rPr>
                <w:rFonts w:ascii="Times New Roman" w:eastAsia="Times New Roman" w:hAnsi="Times New Roman" w:cs="Times New Roman"/>
                <w:color w:val="000000"/>
                <w:lang w:val="en-US" w:eastAsia="de-CH"/>
              </w:rPr>
            </w:pPr>
            <w:r w:rsidRPr="005B4838">
              <w:rPr>
                <w:rFonts w:ascii="Times New Roman" w:eastAsia="Times New Roman" w:hAnsi="Times New Roman" w:cs="Times New Roman"/>
                <w:color w:val="000000"/>
                <w:lang w:val="en-US" w:eastAsia="de-CH"/>
              </w:rPr>
              <w:t xml:space="preserve">Matsuda et al. (2015) </w:t>
            </w:r>
            <w:r w:rsidR="00CF69B7" w:rsidRPr="005B4838">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{"citationItems":[{"id":"ITEM-1","itemData":{"DOI":"10.1589/jpts.27.1087","ISSN":"0915-5287 (Print)","PMID":"25995563","abstract":"[Purpose] The purpose of this study was to investigate the factors affecting the  coefficient of variation (CV) of stride time in an exercise intervention for the elderly without falling history. [Subjects and Methods] The subjects were 42 elderly women who had participated in a care prevention program for 12 weeks. Stride time CV, motor function, movement ability, balance, Modified Falls Efficacy Scale (MFES) score, and Life-space Assessment (LSA) score before and after the intervention were examined for significant differences using the paired t-test. Multiple regression analysis was used to determine the factors that changed in the stride time CV. [Results] There were significant differences in muscle strength, sit-and-reach flexibility, the one-leg standing time (eyes open), the maximum walking speed, local stability of trunk acceleration, The Timed Up and Go Test (TUG-T), the MFES score, and the LSA score between the pre-intervention and post-intervention. Stepwise multiple regression analysis revealed that improvement of quadriceps muscle strength, sit-and-reach flexibility, the one-leg standing time, TUG-T, local stability of trunk acceleration (vertical direction) and MFES score were independent variables explaining the reduction in stride time CV. [Conclusion] The results was suggested that it might be possible to reduce the stride time CV by improving strength, flexibility and dynamic balance, and reducing fear of falls through interventions.","author":[{"dropping-particle":"","family":"Matsuda","given":"Kensuke","non-dropping-particle":"","parse-names":false,"suffix":""},{"dropping-particle":"","family":"Ikeda","given":"Shou","non-dropping-particle":"","parse-names":false,"suffix":""},{"dropping-particle":"","family":"Nakahara","given":"Masami","non-dropping-particle":"","parse-names":false,"suffix":""},{"dropping-particle":"","family":"Ikeda","given":"Takuro","non-dropping-particle":"","parse-names":false,"suffix":""},{"dropping-particle":"","family":"Okamoto","given":"Ryuji","non-dropping-particle":"","parse-names":false,"suffix":""},{"dropping-particle":"","family":"Kurosawa","given":"Kazuo","non-dropping-particle":"","parse-names":false,"suffix":""},{"dropping-particle":"","family":"Horikawa","given":"Etuo","non-dropping-particle":"","parse-names":false,"suffix":""}],"container-title":"Journal of physical therapy science","id":"ITEM-1","issue":"4","issued":{"date-parts":[["2015","4"]]},"language":"eng","page":"1087-1090","title":"Factors affecting the coefficient of variation of stride time of the elderly without  falling history: a prospective study.","type":"article-journal","volume":"27"},"uris":["http://www.mendeley.com/documents/?uuid=39b6a860-9d89-408d-825e-bbbde99796ef"]}],"mendeley":{"formattedCitation":"[5]","plainTextFormattedCitation":"[5]","previouslyFormattedCitation":"[5]"},"properties":{"noteIndex":0},"schema":"https://github.com/citation-style-language/schema/raw/master/csl-citation.json"}</w:instrText>
            </w:r>
            <w:r w:rsidR="00CF69B7" w:rsidRPr="005B4838">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[5]</w:t>
            </w:r>
            <w:r w:rsidR="00CF69B7" w:rsidRPr="005B4838">
              <w:rPr>
                <w:rFonts w:ascii="Times New Roman" w:eastAsia="Times New Roman" w:hAnsi="Times New Roman" w:cs="Times New Roman"/>
                <w:color w:val="000000"/>
                <w:lang w:val="en-US" w:eastAsia="de-CH"/>
              </w:rPr>
              <w:fldChar w:fldCharType="end"/>
            </w:r>
          </w:p>
        </w:tc>
        <w:tc>
          <w:tcPr>
            <w:tcW w:w="911" w:type="dxa"/>
            <w:noWrap/>
            <w:hideMark/>
          </w:tcPr>
          <w:p w14:paraId="2AB9100B"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18A948F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noWrap/>
            <w:hideMark/>
          </w:tcPr>
          <w:p w14:paraId="31602FF3"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NR</w:t>
            </w:r>
          </w:p>
        </w:tc>
        <w:tc>
          <w:tcPr>
            <w:tcW w:w="912" w:type="dxa"/>
            <w:noWrap/>
            <w:hideMark/>
          </w:tcPr>
          <w:p w14:paraId="521C546B"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23DF703A"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noWrap/>
            <w:hideMark/>
          </w:tcPr>
          <w:p w14:paraId="4DE1355D"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noWrap/>
            <w:hideMark/>
          </w:tcPr>
          <w:p w14:paraId="53C917E3"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64A636E7"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NR</w:t>
            </w:r>
          </w:p>
        </w:tc>
        <w:tc>
          <w:tcPr>
            <w:tcW w:w="911" w:type="dxa"/>
            <w:noWrap/>
            <w:hideMark/>
          </w:tcPr>
          <w:p w14:paraId="57953B25"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NR</w:t>
            </w:r>
          </w:p>
        </w:tc>
        <w:tc>
          <w:tcPr>
            <w:tcW w:w="912" w:type="dxa"/>
            <w:noWrap/>
            <w:hideMark/>
          </w:tcPr>
          <w:p w14:paraId="130AE49E"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noWrap/>
            <w:hideMark/>
          </w:tcPr>
          <w:p w14:paraId="23F143A3"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noWrap/>
            <w:hideMark/>
          </w:tcPr>
          <w:p w14:paraId="79BC8D91"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NA</w:t>
            </w:r>
          </w:p>
        </w:tc>
        <w:tc>
          <w:tcPr>
            <w:tcW w:w="912" w:type="dxa"/>
            <w:noWrap/>
            <w:hideMark/>
          </w:tcPr>
          <w:p w14:paraId="518FED35"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5</w:t>
            </w:r>
          </w:p>
        </w:tc>
        <w:tc>
          <w:tcPr>
            <w:tcW w:w="1002" w:type="dxa"/>
            <w:noWrap/>
            <w:hideMark/>
          </w:tcPr>
          <w:p w14:paraId="198BFC13" w14:textId="77777777" w:rsidR="00CF69B7" w:rsidRPr="007E04DE" w:rsidRDefault="00CF69B7" w:rsidP="00CF69B7">
            <w:pPr>
              <w:spacing w:after="0" w:line="480" w:lineRule="auto"/>
              <w:jc w:val="center"/>
              <w:rPr>
                <w:rFonts w:ascii="Times New Roman" w:eastAsia="Times New Roman" w:hAnsi="Times New Roman" w:cs="Times New Roman"/>
                <w:color w:val="000000"/>
                <w:lang w:val="en-US" w:eastAsia="de-CH"/>
              </w:rPr>
            </w:pPr>
            <w:r w:rsidRPr="007E04DE">
              <w:rPr>
                <w:rFonts w:ascii="Times New Roman" w:eastAsia="Times New Roman" w:hAnsi="Times New Roman" w:cs="Times New Roman"/>
                <w:color w:val="000000"/>
                <w:lang w:val="en-US" w:eastAsia="de-CH"/>
              </w:rPr>
              <w:t>Fair</w:t>
            </w:r>
          </w:p>
        </w:tc>
      </w:tr>
      <w:tr w:rsidR="00CF69B7" w:rsidRPr="007C7921" w14:paraId="2ED0568E" w14:textId="77777777" w:rsidTr="00CF69B7">
        <w:trPr>
          <w:trHeight w:val="170"/>
        </w:trPr>
        <w:tc>
          <w:tcPr>
            <w:tcW w:w="2552" w:type="dxa"/>
            <w:noWrap/>
            <w:hideMark/>
          </w:tcPr>
          <w:p w14:paraId="29FCB8BB" w14:textId="3A3DE0D6" w:rsidR="00CF69B7" w:rsidRPr="005B4838" w:rsidRDefault="005B4838" w:rsidP="00CF69B7">
            <w:pPr>
              <w:spacing w:after="0" w:line="480" w:lineRule="auto"/>
              <w:rPr>
                <w:rFonts w:ascii="Times New Roman" w:eastAsia="Times New Roman" w:hAnsi="Times New Roman" w:cs="Times New Roman"/>
                <w:color w:val="000000"/>
                <w:lang w:val="en-US" w:eastAsia="de-CH"/>
              </w:rPr>
            </w:pPr>
            <w:r w:rsidRPr="005B4838">
              <w:rPr>
                <w:rFonts w:ascii="Times New Roman" w:eastAsia="Times New Roman" w:hAnsi="Times New Roman" w:cs="Times New Roman"/>
                <w:color w:val="000000"/>
                <w:lang w:val="en-US" w:eastAsia="de-CH"/>
              </w:rPr>
              <w:t xml:space="preserve">Nakagawa et al. (2008) </w:t>
            </w:r>
            <w:r w:rsidR="00CF69B7" w:rsidRPr="005B4838">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{"citationItems":[{"id":"ITEM-1","itemData":{"DOI":"10.1589/jpts.20.197","ISSN":"0915-5287","abstract":"{[}Purpose] The purpose of this Study was to validate the characteristic\nof an exercise program consisting of simple exercise methods under the\ninstruction of physiotherapists for general elderly people living in a\ncommunity (general elderly group) and a frail elderly group.\n{[}Subjects] The general elderly group consisted of 44 persons (74.2 +/-\n4.38 years old: 6 men, 38 women) and the frail elderly group, 30 persons\n(80.6 +/- 6.12 years old: 10 men, 20 women). {[}Methods) The measurement\nitems were weight, body fat percentage, grip strength, knee extensor\nstrength, sitting trunk flexion, one leg standing, functional reach\ntest, timed ``up and go{''} test, 10-m walking time, TMIG Index of\nCompetence, MOS Short-Form 36-Item Health Survey, and the Life-Space\nAssessment. In each group, group and individual exercises were provided\nby physiotherapists. All the exercises were easy to perform. {[}Results]\nKnee extensor strength of the frail elderly group improved to almost the\nsame level of the general elderly group. There were significant\nimprovements in balance, gait ability, social and psychological\nattitudes in both groups. {[}Conclusion] We think that muscle\nstrengthening exercises Without exercise tools as resistance under the\ninstruction of physiotherapists would be effective for improving the\nmuscle strength of frail elderly persons.","author":[{"dropping-particle":"","family":"Nakagawa","given":"Kazumasa","non-dropping-particle":"","parse-names":false,"suffix":""},{"dropping-particle":"","family":"Inomata","given":"Nobuaki","non-dropping-particle":"","parse-names":false,"suffix":""},{"dropping-particle":"","family":"Konno","given":"Yoshitaka","non-dropping-particle":"","parse-names":false,"suffix":""},{"dropping-particle":"","family":"Nakazawa","given":"Rie","non-dropping-particle":"","parse-names":false,"suffix":""},{"dropping-particle":"","family":"Hagiwara","given":"Kinuyo","non-dropping-particle":"","parse-names":false,"suffix":""},{"dropping-particle":"","family":"Sakamoto","given":"Masaaki","non-dropping-particle":"","parse-names":false,"suffix":""}],"container-title":"JOURNAL OF PHYSICAL THERAPY SCIENCE","id":"ITEM-1","issue":"4","issued":{"date-parts":[["2008"]]},"page":"197-203","publisher":"SOC PHYSICAL THERAPY SCIENCE","publisher-place":"C/O PUBLICATION CENTER, 1-24-12 SUGAMO, TOSHIMA-KU, TOKYO, 170-0002, JAPAN","title":"The Characteristic of a Simple Exercise Program under the Instruction of Physiotherapists-For General Elderly People and Frail Elderly People","type":"article-journal","volume":"20"},"uris":["http://www.mendeley.com/documents/?uuid=97b23830-44ef-4e9d-a376-f13d7d626b03"]}],"mendeley":{"formattedCitation":"[6]","plainTextFormattedCitation":"[6]","previouslyFormattedCitation":"[6]"},"properties":{"noteIndex":0},"schema":"https://github.com/citation-style-language/schema/raw/master/csl-citation.json"}</w:instrText>
            </w:r>
            <w:r w:rsidR="00CF69B7" w:rsidRPr="005B4838">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[6]</w:t>
            </w:r>
            <w:r w:rsidR="00CF69B7" w:rsidRPr="005B4838">
              <w:rPr>
                <w:rFonts w:ascii="Times New Roman" w:eastAsia="Times New Roman" w:hAnsi="Times New Roman" w:cs="Times New Roman"/>
                <w:color w:val="000000"/>
                <w:lang w:val="en-US" w:eastAsia="de-CH"/>
              </w:rPr>
              <w:fldChar w:fldCharType="end"/>
            </w:r>
          </w:p>
        </w:tc>
        <w:tc>
          <w:tcPr>
            <w:tcW w:w="911" w:type="dxa"/>
            <w:noWrap/>
            <w:hideMark/>
          </w:tcPr>
          <w:p w14:paraId="5F47B0F4"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1" w:type="dxa"/>
            <w:noWrap/>
            <w:hideMark/>
          </w:tcPr>
          <w:p w14:paraId="5C5C645E"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1" w:type="dxa"/>
            <w:noWrap/>
            <w:hideMark/>
          </w:tcPr>
          <w:p w14:paraId="5F836148"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2" w:type="dxa"/>
            <w:noWrap/>
            <w:hideMark/>
          </w:tcPr>
          <w:p w14:paraId="4E380004"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1" w:type="dxa"/>
            <w:noWrap/>
            <w:hideMark/>
          </w:tcPr>
          <w:p w14:paraId="556572C4"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NR</w:t>
            </w:r>
          </w:p>
        </w:tc>
        <w:tc>
          <w:tcPr>
            <w:tcW w:w="911" w:type="dxa"/>
            <w:noWrap/>
            <w:hideMark/>
          </w:tcPr>
          <w:p w14:paraId="2FF0B6D3"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2" w:type="dxa"/>
            <w:noWrap/>
            <w:hideMark/>
          </w:tcPr>
          <w:p w14:paraId="40A28C87"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1" w:type="dxa"/>
            <w:noWrap/>
            <w:hideMark/>
          </w:tcPr>
          <w:p w14:paraId="36F5E2A6"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no</w:t>
            </w:r>
          </w:p>
        </w:tc>
        <w:tc>
          <w:tcPr>
            <w:tcW w:w="911" w:type="dxa"/>
            <w:noWrap/>
            <w:hideMark/>
          </w:tcPr>
          <w:p w14:paraId="1204B859"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2" w:type="dxa"/>
            <w:noWrap/>
            <w:hideMark/>
          </w:tcPr>
          <w:p w14:paraId="5A20F118"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1" w:type="dxa"/>
            <w:noWrap/>
            <w:hideMark/>
          </w:tcPr>
          <w:p w14:paraId="3CCDF97D"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no</w:t>
            </w:r>
          </w:p>
        </w:tc>
        <w:tc>
          <w:tcPr>
            <w:tcW w:w="911" w:type="dxa"/>
            <w:noWrap/>
            <w:hideMark/>
          </w:tcPr>
          <w:p w14:paraId="44E90D19"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NA</w:t>
            </w:r>
          </w:p>
        </w:tc>
        <w:tc>
          <w:tcPr>
            <w:tcW w:w="912" w:type="dxa"/>
            <w:noWrap/>
            <w:hideMark/>
          </w:tcPr>
          <w:p w14:paraId="3BA84602"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8</w:t>
            </w:r>
          </w:p>
        </w:tc>
        <w:tc>
          <w:tcPr>
            <w:tcW w:w="1002" w:type="dxa"/>
            <w:noWrap/>
            <w:hideMark/>
          </w:tcPr>
          <w:p w14:paraId="419290F8"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Good</w:t>
            </w:r>
          </w:p>
        </w:tc>
      </w:tr>
      <w:tr w:rsidR="00CF69B7" w:rsidRPr="007C7921" w14:paraId="18B21E23" w14:textId="77777777" w:rsidTr="00CF69B7">
        <w:trPr>
          <w:trHeight w:val="170"/>
        </w:trPr>
        <w:tc>
          <w:tcPr>
            <w:tcW w:w="2552" w:type="dxa"/>
            <w:tcBorders>
              <w:bottom w:val="single" w:sz="4" w:space="0" w:color="auto"/>
            </w:tcBorders>
            <w:noWrap/>
            <w:hideMark/>
          </w:tcPr>
          <w:p w14:paraId="099564F9" w14:textId="2D1E0972" w:rsidR="00CF69B7" w:rsidRPr="005B4838" w:rsidRDefault="005B4838" w:rsidP="00CF69B7">
            <w:pPr>
              <w:spacing w:after="0" w:line="480" w:lineRule="auto"/>
              <w:rPr>
                <w:rFonts w:ascii="Times New Roman" w:eastAsia="Times New Roman" w:hAnsi="Times New Roman" w:cs="Times New Roman"/>
                <w:color w:val="000000"/>
                <w:lang w:val="en-US" w:eastAsia="de-CH"/>
              </w:rPr>
            </w:pPr>
            <w:proofErr w:type="spellStart"/>
            <w:r w:rsidRPr="005B4838">
              <w:rPr>
                <w:rFonts w:ascii="Times New Roman" w:eastAsia="Times New Roman" w:hAnsi="Times New Roman" w:cs="Times New Roman"/>
                <w:color w:val="000000"/>
                <w:lang w:val="en-US" w:eastAsia="de-CH"/>
              </w:rPr>
              <w:t>Todo</w:t>
            </w:r>
            <w:proofErr w:type="spellEnd"/>
            <w:r w:rsidRPr="005B4838">
              <w:rPr>
                <w:rFonts w:ascii="Times New Roman" w:eastAsia="Times New Roman" w:hAnsi="Times New Roman" w:cs="Times New Roman"/>
                <w:color w:val="000000"/>
                <w:lang w:val="en-US" w:eastAsia="de-CH"/>
              </w:rPr>
              <w:t xml:space="preserve"> et al. (2021) </w:t>
            </w:r>
            <w:r w:rsidR="00CF69B7" w:rsidRPr="005B4838">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10.1589/jpts.33.158","ISSN":"0915-5287","author":[{"dropping-particle":"","family":"Todo","given":"Emiko","non-dropping-particle":"","parse-names":false,"suffix":""},{"dropping-particle":"","family":"Higuchi","given":"Yumi","non-dropping-particle":"","parse-names":false,"suffix":""},{"dropping-particle":"","family":"Ueda","given":"Tetsuya","non-dropping-particle":"","parse-names":false,"suffix":""},{"dropping-particle":"","family":"Murakami","given":"Tatsunori","non-dropping-particle":"","parse-names":false,"suffix":""},{"dropping-particle":"","family":"Kozuki","given":"Wataru","non-dropping-particle":"","parse-names":false,"suffix":""}],"container-title":"Journal of Physical Therapy Science","id":"ITEM-1","issue":"2","issued":{"date-parts":[["2021"]]},"page":"158-163","title":"A 3-month multicomponent home-based rehabilitation program for older people with restricted life-space mobility: a pilot study","type":"article-journal","volume":"33"},"uris":["http://www.mendeley.com/documents/?uuid=278e1769-b8f7-4e5d-aedd-ae4860af4c94"]}],"mendeley":{"formattedCitation":"[7]","plainTextFormattedCitation":"[7]","previouslyFormattedCitation":"[7]"},"properties":{"noteIndex":0},"schema":"https://github.com/citation-style-language/schema/raw/master/csl-citation.json"}</w:instrText>
            </w:r>
            <w:r w:rsidR="00CF69B7" w:rsidRPr="005B4838">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[7]</w:t>
            </w:r>
            <w:r w:rsidR="00CF69B7" w:rsidRPr="005B4838">
              <w:rPr>
                <w:rFonts w:ascii="Times New Roman" w:eastAsia="Times New Roman" w:hAnsi="Times New Roman" w:cs="Times New Roman"/>
                <w:color w:val="000000"/>
                <w:lang w:val="en-US" w:eastAsia="de-CH"/>
              </w:rPr>
              <w:fldChar w:fldCharType="end"/>
            </w:r>
          </w:p>
        </w:tc>
        <w:tc>
          <w:tcPr>
            <w:tcW w:w="911" w:type="dxa"/>
            <w:tcBorders>
              <w:bottom w:val="single" w:sz="4" w:space="0" w:color="auto"/>
            </w:tcBorders>
            <w:noWrap/>
            <w:hideMark/>
          </w:tcPr>
          <w:p w14:paraId="434F60B3" w14:textId="77777777" w:rsidR="00CF69B7" w:rsidRPr="00CF69B7"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yes</w:t>
            </w:r>
          </w:p>
        </w:tc>
        <w:tc>
          <w:tcPr>
            <w:tcW w:w="911" w:type="dxa"/>
            <w:tcBorders>
              <w:bottom w:val="single" w:sz="4" w:space="0" w:color="auto"/>
            </w:tcBorders>
            <w:noWrap/>
            <w:hideMark/>
          </w:tcPr>
          <w:p w14:paraId="573D8E5D"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CF69B7">
              <w:rPr>
                <w:rFonts w:ascii="Times New Roman" w:eastAsia="Times New Roman" w:hAnsi="Times New Roman" w:cs="Times New Roman"/>
                <w:color w:val="000000"/>
                <w:lang w:val="en-US" w:eastAsia="de-CH"/>
              </w:rPr>
              <w:t>y</w:t>
            </w:r>
            <w:r w:rsidRPr="00B00729">
              <w:rPr>
                <w:rFonts w:ascii="Times New Roman" w:eastAsia="Times New Roman" w:hAnsi="Times New Roman" w:cs="Times New Roman"/>
                <w:color w:val="000000"/>
                <w:lang w:val="en-US" w:eastAsia="de-CH"/>
              </w:rPr>
              <w:t>es</w:t>
            </w:r>
          </w:p>
        </w:tc>
        <w:tc>
          <w:tcPr>
            <w:tcW w:w="911" w:type="dxa"/>
            <w:tcBorders>
              <w:bottom w:val="single" w:sz="4" w:space="0" w:color="auto"/>
            </w:tcBorders>
            <w:noWrap/>
            <w:hideMark/>
          </w:tcPr>
          <w:p w14:paraId="6F8B6FBB"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tcBorders>
              <w:bottom w:val="single" w:sz="4" w:space="0" w:color="auto"/>
            </w:tcBorders>
            <w:noWrap/>
            <w:hideMark/>
          </w:tcPr>
          <w:p w14:paraId="534A52FE"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tcBorders>
              <w:bottom w:val="single" w:sz="4" w:space="0" w:color="auto"/>
            </w:tcBorders>
            <w:noWrap/>
            <w:hideMark/>
          </w:tcPr>
          <w:p w14:paraId="655EB010"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tcBorders>
              <w:bottom w:val="single" w:sz="4" w:space="0" w:color="auto"/>
            </w:tcBorders>
            <w:noWrap/>
            <w:hideMark/>
          </w:tcPr>
          <w:p w14:paraId="7C955530"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tcBorders>
              <w:bottom w:val="single" w:sz="4" w:space="0" w:color="auto"/>
            </w:tcBorders>
            <w:noWrap/>
            <w:hideMark/>
          </w:tcPr>
          <w:p w14:paraId="07F20A8D"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tcBorders>
              <w:bottom w:val="single" w:sz="4" w:space="0" w:color="auto"/>
            </w:tcBorders>
            <w:noWrap/>
            <w:hideMark/>
          </w:tcPr>
          <w:p w14:paraId="6B8B7D4A"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tcBorders>
              <w:bottom w:val="single" w:sz="4" w:space="0" w:color="auto"/>
            </w:tcBorders>
            <w:noWrap/>
            <w:hideMark/>
          </w:tcPr>
          <w:p w14:paraId="61527751"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2" w:type="dxa"/>
            <w:tcBorders>
              <w:bottom w:val="single" w:sz="4" w:space="0" w:color="auto"/>
            </w:tcBorders>
            <w:noWrap/>
            <w:hideMark/>
          </w:tcPr>
          <w:p w14:paraId="33B84CF2"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yes</w:t>
            </w:r>
          </w:p>
        </w:tc>
        <w:tc>
          <w:tcPr>
            <w:tcW w:w="911" w:type="dxa"/>
            <w:tcBorders>
              <w:bottom w:val="single" w:sz="4" w:space="0" w:color="auto"/>
            </w:tcBorders>
            <w:noWrap/>
            <w:hideMark/>
          </w:tcPr>
          <w:p w14:paraId="406CB6AE"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no</w:t>
            </w:r>
          </w:p>
        </w:tc>
        <w:tc>
          <w:tcPr>
            <w:tcW w:w="911" w:type="dxa"/>
            <w:tcBorders>
              <w:bottom w:val="single" w:sz="4" w:space="0" w:color="auto"/>
            </w:tcBorders>
            <w:noWrap/>
            <w:hideMark/>
          </w:tcPr>
          <w:p w14:paraId="25A91817"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NA</w:t>
            </w:r>
          </w:p>
        </w:tc>
        <w:tc>
          <w:tcPr>
            <w:tcW w:w="912" w:type="dxa"/>
            <w:tcBorders>
              <w:bottom w:val="single" w:sz="4" w:space="0" w:color="auto"/>
            </w:tcBorders>
            <w:noWrap/>
            <w:hideMark/>
          </w:tcPr>
          <w:p w14:paraId="630DECE4" w14:textId="77777777" w:rsidR="00CF69B7" w:rsidRPr="00B00729" w:rsidRDefault="00CF69B7" w:rsidP="00CF69B7">
            <w:pPr>
              <w:spacing w:after="0" w:line="480" w:lineRule="auto"/>
              <w:jc w:val="center"/>
              <w:rPr>
                <w:rFonts w:ascii="Times New Roman" w:eastAsia="Times New Roman" w:hAnsi="Times New Roman" w:cs="Times New Roman"/>
                <w:color w:val="000000"/>
                <w:lang w:val="en-US" w:eastAsia="de-CH"/>
              </w:rPr>
            </w:pPr>
            <w:r w:rsidRPr="00B00729">
              <w:rPr>
                <w:rFonts w:ascii="Times New Roman" w:eastAsia="Times New Roman" w:hAnsi="Times New Roman" w:cs="Times New Roman"/>
                <w:color w:val="000000"/>
                <w:lang w:val="en-US" w:eastAsia="de-CH"/>
              </w:rPr>
              <w:t>8</w:t>
            </w:r>
          </w:p>
        </w:tc>
        <w:tc>
          <w:tcPr>
            <w:tcW w:w="1002" w:type="dxa"/>
            <w:tcBorders>
              <w:bottom w:val="single" w:sz="4" w:space="0" w:color="auto"/>
            </w:tcBorders>
            <w:noWrap/>
            <w:hideMark/>
          </w:tcPr>
          <w:p w14:paraId="2845CC0F" w14:textId="77777777" w:rsidR="00CF69B7" w:rsidRPr="007E04DE" w:rsidRDefault="00CF69B7" w:rsidP="00CF69B7">
            <w:pPr>
              <w:spacing w:after="0" w:line="480" w:lineRule="auto"/>
              <w:jc w:val="center"/>
              <w:rPr>
                <w:rFonts w:ascii="Times New Roman" w:eastAsia="Times New Roman" w:hAnsi="Times New Roman" w:cs="Times New Roman"/>
                <w:color w:val="000000"/>
                <w:lang w:val="en-US" w:eastAsia="de-CH"/>
              </w:rPr>
            </w:pPr>
            <w:r w:rsidRPr="007E04DE">
              <w:rPr>
                <w:rFonts w:ascii="Times New Roman" w:eastAsia="Times New Roman" w:hAnsi="Times New Roman" w:cs="Times New Roman"/>
                <w:color w:val="000000"/>
                <w:lang w:val="en-US" w:eastAsia="de-CH"/>
              </w:rPr>
              <w:t>Good</w:t>
            </w:r>
          </w:p>
        </w:tc>
      </w:tr>
    </w:tbl>
    <w:p w14:paraId="33A2BE25" w14:textId="742B4763" w:rsidR="00CF69B7" w:rsidRDefault="00CF69B7" w:rsidP="00CF69B7">
      <w:pPr>
        <w:pStyle w:val="Beschriftung"/>
        <w:jc w:val="both"/>
        <w:rPr>
          <w:rFonts w:ascii="Times New Roman" w:hAnsi="Times New Roman" w:cs="Times New Roman"/>
          <w:i w:val="0"/>
          <w:iCs w:val="0"/>
          <w:lang w:val="en-US"/>
        </w:rPr>
      </w:pPr>
      <w:r w:rsidRPr="001758E1">
        <w:rPr>
          <w:rFonts w:ascii="Times New Roman" w:hAnsi="Times New Roman" w:cs="Times New Roman"/>
          <w:bCs/>
          <w:sz w:val="20"/>
          <w:szCs w:val="20"/>
          <w:lang w:val="en-US"/>
        </w:rPr>
        <w:t>Note</w:t>
      </w:r>
      <w:r w:rsidRPr="00BA3DED">
        <w:rPr>
          <w:rFonts w:ascii="Times New Roman" w:hAnsi="Times New Roman" w:cs="Times New Roman"/>
          <w:bCs/>
          <w:sz w:val="20"/>
          <w:szCs w:val="20"/>
          <w:lang w:val="en-US"/>
        </w:rPr>
        <w:t xml:space="preserve">. </w:t>
      </w:r>
      <w:r w:rsidRPr="001758E1">
        <w:rPr>
          <w:rFonts w:ascii="Times New Roman" w:hAnsi="Times New Roman" w:cs="Times New Roman"/>
          <w:bCs/>
          <w:i w:val="0"/>
          <w:iCs w:val="0"/>
          <w:sz w:val="20"/>
          <w:szCs w:val="20"/>
          <w:vertAlign w:val="superscript"/>
          <w:lang w:val="en-US"/>
        </w:rPr>
        <w:t xml:space="preserve">a </w:t>
      </w:r>
      <w:r w:rsidRPr="001758E1">
        <w:rPr>
          <w:rFonts w:ascii="Times New Roman" w:hAnsi="Times New Roman" w:cs="Times New Roman"/>
          <w:bCs/>
          <w:i w:val="0"/>
          <w:iCs w:val="0"/>
          <w:sz w:val="20"/>
          <w:szCs w:val="20"/>
          <w:lang w:val="en-US"/>
        </w:rPr>
        <w:t xml:space="preserve">1: Study objective clearly stated; </w:t>
      </w:r>
      <w:r w:rsidRPr="001758E1">
        <w:rPr>
          <w:rFonts w:ascii="Times New Roman" w:hAnsi="Times New Roman" w:cs="Times New Roman"/>
          <w:bCs/>
          <w:i w:val="0"/>
          <w:iCs w:val="0"/>
          <w:sz w:val="20"/>
          <w:szCs w:val="20"/>
          <w:vertAlign w:val="superscript"/>
          <w:lang w:val="en-US"/>
        </w:rPr>
        <w:t xml:space="preserve">b </w:t>
      </w:r>
      <w:r w:rsidRPr="001758E1">
        <w:rPr>
          <w:rFonts w:ascii="Times New Roman" w:hAnsi="Times New Roman" w:cs="Times New Roman"/>
          <w:bCs/>
          <w:i w:val="0"/>
          <w:iCs w:val="0"/>
          <w:sz w:val="20"/>
          <w:szCs w:val="20"/>
          <w:lang w:val="en-US"/>
        </w:rPr>
        <w:t xml:space="preserve">2: eligibility criteria prespecified and clearly described; </w:t>
      </w:r>
      <w:r w:rsidRPr="001758E1">
        <w:rPr>
          <w:rFonts w:ascii="Times New Roman" w:hAnsi="Times New Roman" w:cs="Times New Roman"/>
          <w:bCs/>
          <w:i w:val="0"/>
          <w:iCs w:val="0"/>
          <w:sz w:val="20"/>
          <w:szCs w:val="20"/>
          <w:vertAlign w:val="superscript"/>
          <w:lang w:val="en-US"/>
        </w:rPr>
        <w:t xml:space="preserve">c </w:t>
      </w:r>
      <w:r w:rsidRPr="001758E1">
        <w:rPr>
          <w:rFonts w:ascii="Times New Roman" w:hAnsi="Times New Roman" w:cs="Times New Roman"/>
          <w:bCs/>
          <w:i w:val="0"/>
          <w:iCs w:val="0"/>
          <w:sz w:val="20"/>
          <w:szCs w:val="20"/>
          <w:lang w:val="en-US"/>
        </w:rPr>
        <w:t xml:space="preserve">3: participants representative; </w:t>
      </w:r>
      <w:r w:rsidRPr="001758E1">
        <w:rPr>
          <w:rFonts w:ascii="Times New Roman" w:hAnsi="Times New Roman" w:cs="Times New Roman"/>
          <w:bCs/>
          <w:i w:val="0"/>
          <w:iCs w:val="0"/>
          <w:sz w:val="20"/>
          <w:szCs w:val="20"/>
          <w:vertAlign w:val="superscript"/>
          <w:lang w:val="en-US"/>
        </w:rPr>
        <w:t xml:space="preserve">d </w:t>
      </w:r>
      <w:r w:rsidRPr="001758E1">
        <w:rPr>
          <w:rFonts w:ascii="Times New Roman" w:hAnsi="Times New Roman" w:cs="Times New Roman"/>
          <w:bCs/>
          <w:i w:val="0"/>
          <w:iCs w:val="0"/>
          <w:sz w:val="20"/>
          <w:szCs w:val="20"/>
          <w:lang w:val="en-US"/>
        </w:rPr>
        <w:t xml:space="preserve">4: all eligible participants enrolled; </w:t>
      </w:r>
      <w:r w:rsidRPr="001758E1">
        <w:rPr>
          <w:rFonts w:ascii="Times New Roman" w:hAnsi="Times New Roman" w:cs="Times New Roman"/>
          <w:bCs/>
          <w:i w:val="0"/>
          <w:iCs w:val="0"/>
          <w:sz w:val="20"/>
          <w:szCs w:val="20"/>
          <w:vertAlign w:val="superscript"/>
          <w:lang w:val="en-US"/>
        </w:rPr>
        <w:t xml:space="preserve">e  </w:t>
      </w:r>
      <w:r w:rsidRPr="001758E1">
        <w:rPr>
          <w:rFonts w:ascii="Times New Roman" w:hAnsi="Times New Roman" w:cs="Times New Roman"/>
          <w:bCs/>
          <w:i w:val="0"/>
          <w:iCs w:val="0"/>
          <w:sz w:val="20"/>
          <w:szCs w:val="20"/>
          <w:lang w:val="en-US"/>
        </w:rPr>
        <w:t xml:space="preserve">5: sample size sufficiently large; </w:t>
      </w:r>
      <w:r w:rsidRPr="001758E1">
        <w:rPr>
          <w:rFonts w:ascii="Times New Roman" w:hAnsi="Times New Roman" w:cs="Times New Roman"/>
          <w:bCs/>
          <w:i w:val="0"/>
          <w:iCs w:val="0"/>
          <w:sz w:val="20"/>
          <w:szCs w:val="20"/>
          <w:vertAlign w:val="superscript"/>
          <w:lang w:val="en-US"/>
        </w:rPr>
        <w:t xml:space="preserve">f </w:t>
      </w:r>
      <w:r w:rsidRPr="001758E1">
        <w:rPr>
          <w:rFonts w:ascii="Times New Roman" w:hAnsi="Times New Roman" w:cs="Times New Roman"/>
          <w:bCs/>
          <w:i w:val="0"/>
          <w:iCs w:val="0"/>
          <w:sz w:val="20"/>
          <w:szCs w:val="20"/>
          <w:lang w:val="en-US"/>
        </w:rPr>
        <w:t xml:space="preserve">6: intervention clearly described and delivered consistently; </w:t>
      </w:r>
      <w:r w:rsidRPr="001758E1">
        <w:rPr>
          <w:rFonts w:ascii="Times New Roman" w:hAnsi="Times New Roman" w:cs="Times New Roman"/>
          <w:bCs/>
          <w:i w:val="0"/>
          <w:iCs w:val="0"/>
          <w:sz w:val="20"/>
          <w:szCs w:val="20"/>
          <w:vertAlign w:val="superscript"/>
          <w:lang w:val="en-US"/>
        </w:rPr>
        <w:t xml:space="preserve">g </w:t>
      </w:r>
      <w:r w:rsidRPr="001758E1">
        <w:rPr>
          <w:rFonts w:ascii="Times New Roman" w:hAnsi="Times New Roman" w:cs="Times New Roman"/>
          <w:bCs/>
          <w:i w:val="0"/>
          <w:iCs w:val="0"/>
          <w:sz w:val="20"/>
          <w:szCs w:val="20"/>
          <w:lang w:val="en-US"/>
        </w:rPr>
        <w:t xml:space="preserve">7: outcomes prespecified, valid, reliable and assessed consistently; </w:t>
      </w:r>
      <w:r w:rsidRPr="001758E1">
        <w:rPr>
          <w:rFonts w:ascii="Times New Roman" w:hAnsi="Times New Roman" w:cs="Times New Roman"/>
          <w:bCs/>
          <w:i w:val="0"/>
          <w:iCs w:val="0"/>
          <w:sz w:val="20"/>
          <w:szCs w:val="20"/>
          <w:vertAlign w:val="superscript"/>
          <w:lang w:val="en-US"/>
        </w:rPr>
        <w:t>h</w:t>
      </w:r>
      <w:r w:rsidRPr="001758E1">
        <w:rPr>
          <w:rFonts w:ascii="Times New Roman" w:hAnsi="Times New Roman" w:cs="Times New Roman"/>
          <w:bCs/>
          <w:i w:val="0"/>
          <w:iCs w:val="0"/>
          <w:sz w:val="20"/>
          <w:szCs w:val="20"/>
          <w:lang w:val="en-US"/>
        </w:rPr>
        <w:t xml:space="preserve"> 8: assessors blinded; </w:t>
      </w:r>
      <w:proofErr w:type="spellStart"/>
      <w:r w:rsidRPr="001758E1">
        <w:rPr>
          <w:rFonts w:ascii="Times New Roman" w:hAnsi="Times New Roman" w:cs="Times New Roman"/>
          <w:bCs/>
          <w:i w:val="0"/>
          <w:iCs w:val="0"/>
          <w:sz w:val="20"/>
          <w:szCs w:val="20"/>
          <w:vertAlign w:val="superscript"/>
          <w:lang w:val="en-US"/>
        </w:rPr>
        <w:t>i</w:t>
      </w:r>
      <w:proofErr w:type="spellEnd"/>
      <w:r w:rsidRPr="001758E1">
        <w:rPr>
          <w:rFonts w:ascii="Times New Roman" w:hAnsi="Times New Roman" w:cs="Times New Roman"/>
          <w:bCs/>
          <w:i w:val="0"/>
          <w:iCs w:val="0"/>
          <w:sz w:val="20"/>
          <w:szCs w:val="20"/>
          <w:vertAlign w:val="superscript"/>
          <w:lang w:val="en-US"/>
        </w:rPr>
        <w:t xml:space="preserve"> </w:t>
      </w:r>
      <w:r w:rsidRPr="001758E1">
        <w:rPr>
          <w:rFonts w:ascii="Times New Roman" w:hAnsi="Times New Roman" w:cs="Times New Roman"/>
          <w:bCs/>
          <w:i w:val="0"/>
          <w:iCs w:val="0"/>
          <w:sz w:val="20"/>
          <w:szCs w:val="20"/>
          <w:lang w:val="en-US"/>
        </w:rPr>
        <w:t xml:space="preserve">9: loss to follow-up </w:t>
      </w:r>
      <w:r>
        <w:rPr>
          <w:rFonts w:ascii="Times New Roman" w:hAnsi="Times New Roman" w:cs="Times New Roman"/>
          <w:bCs/>
          <w:i w:val="0"/>
          <w:iCs w:val="0"/>
          <w:sz w:val="20"/>
          <w:szCs w:val="20"/>
          <w:lang w:val="en-US"/>
        </w:rPr>
        <w:t xml:space="preserve">≤ </w:t>
      </w:r>
      <w:r w:rsidRPr="001758E1">
        <w:rPr>
          <w:rFonts w:ascii="Times New Roman" w:hAnsi="Times New Roman" w:cs="Times New Roman"/>
          <w:bCs/>
          <w:i w:val="0"/>
          <w:iCs w:val="0"/>
          <w:sz w:val="20"/>
          <w:szCs w:val="20"/>
          <w:lang w:val="en-US"/>
        </w:rPr>
        <w:t xml:space="preserve">20% and those lost accounted for in the analysis;  </w:t>
      </w:r>
      <w:r w:rsidRPr="001758E1">
        <w:rPr>
          <w:rFonts w:ascii="Times New Roman" w:hAnsi="Times New Roman" w:cs="Times New Roman"/>
          <w:bCs/>
          <w:i w:val="0"/>
          <w:iCs w:val="0"/>
          <w:sz w:val="20"/>
          <w:szCs w:val="20"/>
          <w:vertAlign w:val="superscript"/>
          <w:lang w:val="en-US"/>
        </w:rPr>
        <w:t xml:space="preserve">j  </w:t>
      </w:r>
      <w:r w:rsidRPr="001758E1">
        <w:rPr>
          <w:rFonts w:ascii="Times New Roman" w:hAnsi="Times New Roman" w:cs="Times New Roman"/>
          <w:bCs/>
          <w:i w:val="0"/>
          <w:iCs w:val="0"/>
          <w:sz w:val="20"/>
          <w:szCs w:val="20"/>
          <w:lang w:val="en-US"/>
        </w:rPr>
        <w:t xml:space="preserve">10: statistical methods examine changes, p-values provided; </w:t>
      </w:r>
      <w:r w:rsidRPr="001758E1">
        <w:rPr>
          <w:rFonts w:ascii="Times New Roman" w:hAnsi="Times New Roman" w:cs="Times New Roman"/>
          <w:bCs/>
          <w:i w:val="0"/>
          <w:iCs w:val="0"/>
          <w:sz w:val="20"/>
          <w:szCs w:val="20"/>
          <w:vertAlign w:val="superscript"/>
          <w:lang w:val="en-US"/>
        </w:rPr>
        <w:t xml:space="preserve">k </w:t>
      </w:r>
      <w:r w:rsidRPr="001758E1">
        <w:rPr>
          <w:rFonts w:ascii="Times New Roman" w:hAnsi="Times New Roman" w:cs="Times New Roman"/>
          <w:bCs/>
          <w:i w:val="0"/>
          <w:iCs w:val="0"/>
          <w:sz w:val="20"/>
          <w:szCs w:val="20"/>
          <w:lang w:val="en-US"/>
        </w:rPr>
        <w:t xml:space="preserve">11: interrupted time-series design; </w:t>
      </w:r>
      <w:r w:rsidRPr="001758E1">
        <w:rPr>
          <w:rFonts w:ascii="Times New Roman" w:hAnsi="Times New Roman" w:cs="Times New Roman"/>
          <w:bCs/>
          <w:i w:val="0"/>
          <w:iCs w:val="0"/>
          <w:sz w:val="20"/>
          <w:szCs w:val="20"/>
          <w:vertAlign w:val="superscript"/>
          <w:lang w:val="en-US"/>
        </w:rPr>
        <w:t xml:space="preserve">l </w:t>
      </w:r>
      <w:r w:rsidRPr="001758E1">
        <w:rPr>
          <w:rFonts w:ascii="Times New Roman" w:hAnsi="Times New Roman" w:cs="Times New Roman"/>
          <w:bCs/>
          <w:i w:val="0"/>
          <w:iCs w:val="0"/>
          <w:sz w:val="20"/>
          <w:szCs w:val="20"/>
          <w:lang w:val="en-US"/>
        </w:rPr>
        <w:t xml:space="preserve">12: if the intervention was conducted at a group level (e.g. a whole hospital, a community, etc.), statistical analysis took individual-level into account to determine effects at a group level; </w:t>
      </w:r>
      <w:r w:rsidRPr="001758E1">
        <w:rPr>
          <w:rFonts w:ascii="Times New Roman" w:hAnsi="Times New Roman" w:cs="Times New Roman"/>
          <w:bCs/>
          <w:i w:val="0"/>
          <w:iCs w:val="0"/>
          <w:sz w:val="20"/>
          <w:szCs w:val="20"/>
          <w:vertAlign w:val="superscript"/>
          <w:lang w:val="en-US"/>
        </w:rPr>
        <w:t xml:space="preserve">m </w:t>
      </w:r>
      <w:r w:rsidRPr="001758E1">
        <w:rPr>
          <w:rFonts w:ascii="Times New Roman" w:hAnsi="Times New Roman" w:cs="Times New Roman"/>
          <w:bCs/>
          <w:i w:val="0"/>
          <w:iCs w:val="0"/>
          <w:sz w:val="20"/>
          <w:szCs w:val="20"/>
          <w:lang w:val="en-US"/>
        </w:rPr>
        <w:t>NR:</w:t>
      </w:r>
      <w:r>
        <w:rPr>
          <w:rFonts w:ascii="Times New Roman" w:hAnsi="Times New Roman" w:cs="Times New Roman"/>
          <w:bCs/>
          <w:i w:val="0"/>
          <w:iCs w:val="0"/>
          <w:sz w:val="20"/>
          <w:szCs w:val="20"/>
          <w:lang w:val="en-US"/>
        </w:rPr>
        <w:t xml:space="preserve"> </w:t>
      </w:r>
      <w:r w:rsidRPr="001758E1">
        <w:rPr>
          <w:rFonts w:ascii="Times New Roman" w:hAnsi="Times New Roman" w:cs="Times New Roman"/>
          <w:bCs/>
          <w:i w:val="0"/>
          <w:iCs w:val="0"/>
          <w:sz w:val="20"/>
          <w:szCs w:val="20"/>
          <w:lang w:val="en-US"/>
        </w:rPr>
        <w:t xml:space="preserve">not reported; </w:t>
      </w:r>
      <w:r w:rsidRPr="001758E1">
        <w:rPr>
          <w:rFonts w:ascii="Times New Roman" w:hAnsi="Times New Roman" w:cs="Times New Roman"/>
          <w:bCs/>
          <w:i w:val="0"/>
          <w:iCs w:val="0"/>
          <w:sz w:val="20"/>
          <w:szCs w:val="20"/>
          <w:vertAlign w:val="superscript"/>
          <w:lang w:val="en-US"/>
        </w:rPr>
        <w:t>n</w:t>
      </w:r>
      <w:r>
        <w:rPr>
          <w:rFonts w:ascii="Times New Roman" w:hAnsi="Times New Roman" w:cs="Times New Roman"/>
          <w:bCs/>
          <w:i w:val="0"/>
          <w:iCs w:val="0"/>
          <w:sz w:val="20"/>
          <w:szCs w:val="20"/>
          <w:vertAlign w:val="superscript"/>
          <w:lang w:val="en-US"/>
        </w:rPr>
        <w:t xml:space="preserve"> </w:t>
      </w:r>
      <w:r w:rsidRPr="001758E1">
        <w:rPr>
          <w:rFonts w:ascii="Times New Roman" w:hAnsi="Times New Roman" w:cs="Times New Roman"/>
          <w:bCs/>
          <w:i w:val="0"/>
          <w:iCs w:val="0"/>
          <w:sz w:val="20"/>
          <w:szCs w:val="20"/>
          <w:lang w:val="en-US"/>
        </w:rPr>
        <w:t>NA: not applicable</w:t>
      </w:r>
    </w:p>
    <w:p w14:paraId="0D6B0985" w14:textId="77777777" w:rsidR="00CF69B7" w:rsidRDefault="00CF69B7" w:rsidP="00CF69B7">
      <w:pPr>
        <w:pStyle w:val="Beschriftung"/>
        <w:spacing w:line="480" w:lineRule="auto"/>
        <w:rPr>
          <w:rFonts w:ascii="Times New Roman" w:hAnsi="Times New Roman" w:cs="Times New Roman"/>
          <w:b/>
          <w:bCs/>
          <w:lang w:val="en-US"/>
        </w:rPr>
      </w:pPr>
      <w:bookmarkStart w:id="1" w:name="_Hlk89769304"/>
    </w:p>
    <w:p w14:paraId="6D10CDF5" w14:textId="4F4EE113" w:rsidR="00CF69B7" w:rsidRPr="00CF69B7" w:rsidRDefault="009E3B80" w:rsidP="00CF69B7">
      <w:pPr>
        <w:pStyle w:val="Beschriftung"/>
        <w:spacing w:line="480" w:lineRule="auto"/>
        <w:rPr>
          <w:rFonts w:ascii="Times New Roman" w:hAnsi="Times New Roman" w:cs="Times New Roman"/>
          <w:i w:val="0"/>
          <w:iCs w:val="0"/>
          <w:lang w:val="en-US"/>
        </w:rPr>
      </w:pPr>
      <w:r>
        <w:rPr>
          <w:rFonts w:ascii="Times New Roman" w:hAnsi="Times New Roman" w:cs="Times New Roman"/>
          <w:b/>
          <w:bCs/>
          <w:i w:val="0"/>
          <w:iCs w:val="0"/>
          <w:lang w:val="en-US"/>
        </w:rPr>
        <w:t xml:space="preserve">Supplementary </w:t>
      </w:r>
      <w:r w:rsidR="00CF69B7" w:rsidRPr="00CF69B7">
        <w:rPr>
          <w:rFonts w:ascii="Times New Roman" w:hAnsi="Times New Roman" w:cs="Times New Roman"/>
          <w:b/>
          <w:bCs/>
          <w:i w:val="0"/>
          <w:iCs w:val="0"/>
          <w:lang w:val="en-US"/>
        </w:rPr>
        <w:t xml:space="preserve">Table </w:t>
      </w:r>
      <w:r>
        <w:rPr>
          <w:rFonts w:ascii="Times New Roman" w:hAnsi="Times New Roman" w:cs="Times New Roman"/>
          <w:b/>
          <w:bCs/>
          <w:i w:val="0"/>
          <w:iCs w:val="0"/>
          <w:lang w:val="en-US"/>
        </w:rPr>
        <w:t>4</w:t>
      </w:r>
      <w:r w:rsidR="00CF69B7" w:rsidRPr="00CF69B7">
        <w:rPr>
          <w:rFonts w:ascii="Times New Roman" w:hAnsi="Times New Roman" w:cs="Times New Roman"/>
          <w:b/>
          <w:bCs/>
          <w:i w:val="0"/>
          <w:iCs w:val="0"/>
          <w:lang w:val="en-US"/>
        </w:rPr>
        <w:t>.</w:t>
      </w:r>
      <w:r w:rsidR="00CF69B7" w:rsidRPr="00CF69B7">
        <w:rPr>
          <w:rFonts w:ascii="Times New Roman" w:hAnsi="Times New Roman" w:cs="Times New Roman"/>
          <w:i w:val="0"/>
          <w:iCs w:val="0"/>
          <w:lang w:val="en-US"/>
        </w:rPr>
        <w:t xml:space="preserve"> Quality Assessment of controlled intervention studies (NIH Quality Assessment Scale) </w:t>
      </w:r>
    </w:p>
    <w:tbl>
      <w:tblPr>
        <w:tblStyle w:val="Tabellenraster"/>
        <w:tblW w:w="15309" w:type="dxa"/>
        <w:tblLayout w:type="fixed"/>
        <w:tblLook w:val="04A0" w:firstRow="1" w:lastRow="0" w:firstColumn="1" w:lastColumn="0" w:noHBand="0" w:noVBand="1"/>
      </w:tblPr>
      <w:tblGrid>
        <w:gridCol w:w="2552"/>
        <w:gridCol w:w="737"/>
        <w:gridCol w:w="737"/>
        <w:gridCol w:w="737"/>
        <w:gridCol w:w="737"/>
        <w:gridCol w:w="737"/>
        <w:gridCol w:w="737"/>
        <w:gridCol w:w="737"/>
        <w:gridCol w:w="737"/>
        <w:gridCol w:w="737"/>
        <w:gridCol w:w="737"/>
        <w:gridCol w:w="737"/>
        <w:gridCol w:w="737"/>
        <w:gridCol w:w="737"/>
        <w:gridCol w:w="737"/>
        <w:gridCol w:w="738"/>
        <w:gridCol w:w="1701"/>
      </w:tblGrid>
      <w:tr w:rsidR="00CF69B7" w:rsidRPr="0024611F" w14:paraId="36EF67F3" w14:textId="77777777" w:rsidTr="00E9231F">
        <w:trPr>
          <w:trHeight w:val="283"/>
          <w:tblHeader/>
        </w:trPr>
        <w:tc>
          <w:tcPr>
            <w:tcW w:w="2552" w:type="dxa"/>
            <w:tcBorders>
              <w:top w:val="single" w:sz="4" w:space="0" w:color="auto"/>
              <w:bottom w:val="single" w:sz="4" w:space="0" w:color="auto"/>
            </w:tcBorders>
            <w:noWrap/>
            <w:hideMark/>
          </w:tcPr>
          <w:p w14:paraId="38BA1562" w14:textId="77777777" w:rsidR="00CF69B7" w:rsidRPr="00B41419" w:rsidRDefault="00CF69B7" w:rsidP="00E9231F">
            <w:pPr>
              <w:spacing w:after="0" w:line="480" w:lineRule="auto"/>
              <w:rPr>
                <w:rFonts w:ascii="Times New Roman" w:eastAsia="Times New Roman" w:hAnsi="Times New Roman" w:cs="Times New Roman"/>
                <w:b/>
                <w:bCs/>
                <w:color w:val="000000"/>
                <w:lang w:val="en-US" w:eastAsia="de-CH"/>
              </w:rPr>
            </w:pPr>
            <w:r w:rsidRPr="00B41419">
              <w:rPr>
                <w:rFonts w:ascii="Times New Roman" w:eastAsia="Times New Roman" w:hAnsi="Times New Roman" w:cs="Times New Roman"/>
                <w:b/>
                <w:bCs/>
                <w:color w:val="000000"/>
                <w:lang w:val="en-US" w:eastAsia="de-CH"/>
              </w:rPr>
              <w:t>Author</w:t>
            </w:r>
          </w:p>
        </w:tc>
        <w:tc>
          <w:tcPr>
            <w:tcW w:w="737" w:type="dxa"/>
            <w:tcBorders>
              <w:top w:val="single" w:sz="4" w:space="0" w:color="auto"/>
              <w:bottom w:val="single" w:sz="4" w:space="0" w:color="auto"/>
            </w:tcBorders>
            <w:noWrap/>
            <w:hideMark/>
          </w:tcPr>
          <w:p w14:paraId="55D3214C"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1</w:t>
            </w:r>
            <w:r>
              <w:rPr>
                <w:rFonts w:ascii="Times New Roman" w:eastAsia="Times New Roman" w:hAnsi="Times New Roman" w:cs="Times New Roman"/>
                <w:b/>
                <w:bCs/>
                <w:color w:val="000000"/>
                <w:vertAlign w:val="superscript"/>
                <w:lang w:val="en-US" w:eastAsia="de-CH"/>
              </w:rPr>
              <w:t>a</w:t>
            </w:r>
          </w:p>
        </w:tc>
        <w:tc>
          <w:tcPr>
            <w:tcW w:w="737" w:type="dxa"/>
            <w:tcBorders>
              <w:top w:val="single" w:sz="4" w:space="0" w:color="auto"/>
              <w:bottom w:val="single" w:sz="4" w:space="0" w:color="auto"/>
            </w:tcBorders>
            <w:noWrap/>
            <w:hideMark/>
          </w:tcPr>
          <w:p w14:paraId="1FB15281"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2</w:t>
            </w:r>
            <w:r>
              <w:rPr>
                <w:rFonts w:ascii="Times New Roman" w:eastAsia="Times New Roman" w:hAnsi="Times New Roman" w:cs="Times New Roman"/>
                <w:b/>
                <w:bCs/>
                <w:color w:val="000000"/>
                <w:vertAlign w:val="superscript"/>
                <w:lang w:val="en-US" w:eastAsia="de-CH"/>
              </w:rPr>
              <w:t>b</w:t>
            </w:r>
          </w:p>
        </w:tc>
        <w:tc>
          <w:tcPr>
            <w:tcW w:w="737" w:type="dxa"/>
            <w:tcBorders>
              <w:top w:val="single" w:sz="4" w:space="0" w:color="auto"/>
              <w:bottom w:val="single" w:sz="4" w:space="0" w:color="auto"/>
            </w:tcBorders>
            <w:noWrap/>
            <w:hideMark/>
          </w:tcPr>
          <w:p w14:paraId="70B6D5EF"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3</w:t>
            </w:r>
            <w:r>
              <w:rPr>
                <w:rFonts w:ascii="Times New Roman" w:eastAsia="Times New Roman" w:hAnsi="Times New Roman" w:cs="Times New Roman"/>
                <w:b/>
                <w:bCs/>
                <w:color w:val="000000"/>
                <w:vertAlign w:val="superscript"/>
                <w:lang w:val="en-US" w:eastAsia="de-CH"/>
              </w:rPr>
              <w:t>c</w:t>
            </w:r>
          </w:p>
        </w:tc>
        <w:tc>
          <w:tcPr>
            <w:tcW w:w="737" w:type="dxa"/>
            <w:tcBorders>
              <w:top w:val="single" w:sz="4" w:space="0" w:color="auto"/>
              <w:bottom w:val="single" w:sz="4" w:space="0" w:color="auto"/>
            </w:tcBorders>
            <w:noWrap/>
            <w:hideMark/>
          </w:tcPr>
          <w:p w14:paraId="313A1F12"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4</w:t>
            </w:r>
            <w:r>
              <w:rPr>
                <w:rFonts w:ascii="Times New Roman" w:eastAsia="Times New Roman" w:hAnsi="Times New Roman" w:cs="Times New Roman"/>
                <w:b/>
                <w:bCs/>
                <w:color w:val="000000"/>
                <w:vertAlign w:val="superscript"/>
                <w:lang w:val="en-US" w:eastAsia="de-CH"/>
              </w:rPr>
              <w:t>d</w:t>
            </w:r>
          </w:p>
        </w:tc>
        <w:tc>
          <w:tcPr>
            <w:tcW w:w="737" w:type="dxa"/>
            <w:tcBorders>
              <w:top w:val="single" w:sz="4" w:space="0" w:color="auto"/>
              <w:bottom w:val="single" w:sz="4" w:space="0" w:color="auto"/>
            </w:tcBorders>
            <w:noWrap/>
            <w:hideMark/>
          </w:tcPr>
          <w:p w14:paraId="1DC6C916"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5</w:t>
            </w:r>
            <w:r>
              <w:rPr>
                <w:rFonts w:ascii="Times New Roman" w:eastAsia="Times New Roman" w:hAnsi="Times New Roman" w:cs="Times New Roman"/>
                <w:b/>
                <w:bCs/>
                <w:color w:val="000000"/>
                <w:vertAlign w:val="superscript"/>
                <w:lang w:val="en-US" w:eastAsia="de-CH"/>
              </w:rPr>
              <w:t>e</w:t>
            </w:r>
          </w:p>
        </w:tc>
        <w:tc>
          <w:tcPr>
            <w:tcW w:w="737" w:type="dxa"/>
            <w:tcBorders>
              <w:top w:val="single" w:sz="4" w:space="0" w:color="auto"/>
              <w:bottom w:val="single" w:sz="4" w:space="0" w:color="auto"/>
            </w:tcBorders>
            <w:noWrap/>
            <w:hideMark/>
          </w:tcPr>
          <w:p w14:paraId="6E1D18C5"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6</w:t>
            </w:r>
            <w:r>
              <w:rPr>
                <w:rFonts w:ascii="Times New Roman" w:eastAsia="Times New Roman" w:hAnsi="Times New Roman" w:cs="Times New Roman"/>
                <w:b/>
                <w:bCs/>
                <w:color w:val="000000"/>
                <w:vertAlign w:val="superscript"/>
                <w:lang w:val="en-US" w:eastAsia="de-CH"/>
              </w:rPr>
              <w:t>f</w:t>
            </w:r>
          </w:p>
        </w:tc>
        <w:tc>
          <w:tcPr>
            <w:tcW w:w="737" w:type="dxa"/>
            <w:tcBorders>
              <w:top w:val="single" w:sz="4" w:space="0" w:color="auto"/>
              <w:bottom w:val="single" w:sz="4" w:space="0" w:color="auto"/>
            </w:tcBorders>
            <w:noWrap/>
            <w:hideMark/>
          </w:tcPr>
          <w:p w14:paraId="6D4C3E37"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7</w:t>
            </w:r>
            <w:r>
              <w:rPr>
                <w:rFonts w:ascii="Times New Roman" w:eastAsia="Times New Roman" w:hAnsi="Times New Roman" w:cs="Times New Roman"/>
                <w:b/>
                <w:bCs/>
                <w:color w:val="000000"/>
                <w:vertAlign w:val="superscript"/>
                <w:lang w:val="en-US" w:eastAsia="de-CH"/>
              </w:rPr>
              <w:t>g</w:t>
            </w:r>
          </w:p>
        </w:tc>
        <w:tc>
          <w:tcPr>
            <w:tcW w:w="737" w:type="dxa"/>
            <w:tcBorders>
              <w:top w:val="single" w:sz="4" w:space="0" w:color="auto"/>
              <w:bottom w:val="single" w:sz="4" w:space="0" w:color="auto"/>
            </w:tcBorders>
            <w:noWrap/>
            <w:hideMark/>
          </w:tcPr>
          <w:p w14:paraId="20FBBF8A"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8</w:t>
            </w:r>
            <w:r>
              <w:rPr>
                <w:rFonts w:ascii="Times New Roman" w:eastAsia="Times New Roman" w:hAnsi="Times New Roman" w:cs="Times New Roman"/>
                <w:b/>
                <w:bCs/>
                <w:color w:val="000000"/>
                <w:vertAlign w:val="superscript"/>
                <w:lang w:val="en-US" w:eastAsia="de-CH"/>
              </w:rPr>
              <w:t>h</w:t>
            </w:r>
          </w:p>
        </w:tc>
        <w:tc>
          <w:tcPr>
            <w:tcW w:w="737" w:type="dxa"/>
            <w:tcBorders>
              <w:top w:val="single" w:sz="4" w:space="0" w:color="auto"/>
              <w:bottom w:val="single" w:sz="4" w:space="0" w:color="auto"/>
            </w:tcBorders>
            <w:noWrap/>
            <w:hideMark/>
          </w:tcPr>
          <w:p w14:paraId="74EFD8D6"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9</w:t>
            </w:r>
            <w:r>
              <w:rPr>
                <w:rFonts w:ascii="Times New Roman" w:eastAsia="Times New Roman" w:hAnsi="Times New Roman" w:cs="Times New Roman"/>
                <w:b/>
                <w:bCs/>
                <w:color w:val="000000"/>
                <w:vertAlign w:val="superscript"/>
                <w:lang w:val="en-US" w:eastAsia="de-CH"/>
              </w:rPr>
              <w:t>i</w:t>
            </w:r>
          </w:p>
        </w:tc>
        <w:tc>
          <w:tcPr>
            <w:tcW w:w="737" w:type="dxa"/>
            <w:tcBorders>
              <w:top w:val="single" w:sz="4" w:space="0" w:color="auto"/>
              <w:bottom w:val="single" w:sz="4" w:space="0" w:color="auto"/>
            </w:tcBorders>
            <w:noWrap/>
            <w:hideMark/>
          </w:tcPr>
          <w:p w14:paraId="305E836D"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10</w:t>
            </w:r>
            <w:r>
              <w:rPr>
                <w:rFonts w:ascii="Times New Roman" w:eastAsia="Times New Roman" w:hAnsi="Times New Roman" w:cs="Times New Roman"/>
                <w:b/>
                <w:bCs/>
                <w:color w:val="000000"/>
                <w:vertAlign w:val="superscript"/>
                <w:lang w:val="en-US" w:eastAsia="de-CH"/>
              </w:rPr>
              <w:t>j</w:t>
            </w:r>
          </w:p>
        </w:tc>
        <w:tc>
          <w:tcPr>
            <w:tcW w:w="737" w:type="dxa"/>
            <w:tcBorders>
              <w:top w:val="single" w:sz="4" w:space="0" w:color="auto"/>
              <w:bottom w:val="single" w:sz="4" w:space="0" w:color="auto"/>
            </w:tcBorders>
            <w:noWrap/>
            <w:hideMark/>
          </w:tcPr>
          <w:p w14:paraId="34E4C5D7"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11</w:t>
            </w:r>
            <w:r>
              <w:rPr>
                <w:rFonts w:ascii="Times New Roman" w:eastAsia="Times New Roman" w:hAnsi="Times New Roman" w:cs="Times New Roman"/>
                <w:b/>
                <w:bCs/>
                <w:color w:val="000000"/>
                <w:vertAlign w:val="superscript"/>
                <w:lang w:val="en-US" w:eastAsia="de-CH"/>
              </w:rPr>
              <w:t>k</w:t>
            </w:r>
          </w:p>
        </w:tc>
        <w:tc>
          <w:tcPr>
            <w:tcW w:w="737" w:type="dxa"/>
            <w:tcBorders>
              <w:top w:val="single" w:sz="4" w:space="0" w:color="auto"/>
              <w:bottom w:val="single" w:sz="4" w:space="0" w:color="auto"/>
            </w:tcBorders>
            <w:noWrap/>
            <w:hideMark/>
          </w:tcPr>
          <w:p w14:paraId="47868965"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12</w:t>
            </w:r>
            <w:r>
              <w:rPr>
                <w:rFonts w:ascii="Times New Roman" w:eastAsia="Times New Roman" w:hAnsi="Times New Roman" w:cs="Times New Roman"/>
                <w:b/>
                <w:bCs/>
                <w:color w:val="000000"/>
                <w:vertAlign w:val="superscript"/>
                <w:lang w:val="en-US" w:eastAsia="de-CH"/>
              </w:rPr>
              <w:t>l</w:t>
            </w:r>
          </w:p>
        </w:tc>
        <w:tc>
          <w:tcPr>
            <w:tcW w:w="737" w:type="dxa"/>
            <w:tcBorders>
              <w:top w:val="single" w:sz="4" w:space="0" w:color="auto"/>
              <w:bottom w:val="single" w:sz="4" w:space="0" w:color="auto"/>
            </w:tcBorders>
            <w:noWrap/>
            <w:hideMark/>
          </w:tcPr>
          <w:p w14:paraId="0F51BBB0"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13</w:t>
            </w:r>
            <w:r>
              <w:rPr>
                <w:rFonts w:ascii="Times New Roman" w:eastAsia="Times New Roman" w:hAnsi="Times New Roman" w:cs="Times New Roman"/>
                <w:b/>
                <w:bCs/>
                <w:color w:val="000000"/>
                <w:vertAlign w:val="superscript"/>
                <w:lang w:val="en-US" w:eastAsia="de-CH"/>
              </w:rPr>
              <w:t>m</w:t>
            </w:r>
          </w:p>
        </w:tc>
        <w:tc>
          <w:tcPr>
            <w:tcW w:w="737" w:type="dxa"/>
            <w:tcBorders>
              <w:top w:val="single" w:sz="4" w:space="0" w:color="auto"/>
              <w:bottom w:val="single" w:sz="4" w:space="0" w:color="auto"/>
            </w:tcBorders>
            <w:noWrap/>
            <w:hideMark/>
          </w:tcPr>
          <w:p w14:paraId="4D9A1A2A" w14:textId="77777777" w:rsidR="00CF69B7" w:rsidRPr="002B1482" w:rsidRDefault="00CF69B7" w:rsidP="00E9231F">
            <w:pPr>
              <w:spacing w:after="0" w:line="480" w:lineRule="auto"/>
              <w:jc w:val="center"/>
              <w:rPr>
                <w:rFonts w:ascii="Times New Roman" w:eastAsia="Times New Roman" w:hAnsi="Times New Roman" w:cs="Times New Roman"/>
                <w:b/>
                <w:bCs/>
                <w:color w:val="000000"/>
                <w:vertAlign w:val="superscript"/>
                <w:lang w:val="en-US" w:eastAsia="de-CH"/>
              </w:rPr>
            </w:pPr>
            <w:r w:rsidRPr="00B41419">
              <w:rPr>
                <w:rFonts w:ascii="Times New Roman" w:eastAsia="Times New Roman" w:hAnsi="Times New Roman" w:cs="Times New Roman"/>
                <w:b/>
                <w:bCs/>
                <w:color w:val="000000"/>
                <w:lang w:val="en-US" w:eastAsia="de-CH"/>
              </w:rPr>
              <w:t>14</w:t>
            </w:r>
            <w:r>
              <w:rPr>
                <w:rFonts w:ascii="Times New Roman" w:eastAsia="Times New Roman" w:hAnsi="Times New Roman" w:cs="Times New Roman"/>
                <w:b/>
                <w:bCs/>
                <w:color w:val="000000"/>
                <w:vertAlign w:val="superscript"/>
                <w:lang w:val="en-US" w:eastAsia="de-CH"/>
              </w:rPr>
              <w:t>n</w:t>
            </w:r>
          </w:p>
        </w:tc>
        <w:tc>
          <w:tcPr>
            <w:tcW w:w="738" w:type="dxa"/>
            <w:tcBorders>
              <w:top w:val="single" w:sz="4" w:space="0" w:color="auto"/>
              <w:bottom w:val="single" w:sz="4" w:space="0" w:color="auto"/>
            </w:tcBorders>
            <w:noWrap/>
            <w:hideMark/>
          </w:tcPr>
          <w:p w14:paraId="2BEAA52F" w14:textId="77777777" w:rsidR="00CF69B7" w:rsidRPr="00B41419" w:rsidRDefault="00CF69B7" w:rsidP="00E9231F">
            <w:pPr>
              <w:spacing w:after="0" w:line="480" w:lineRule="auto"/>
              <w:jc w:val="center"/>
              <w:rPr>
                <w:rFonts w:ascii="Times New Roman" w:eastAsia="Times New Roman" w:hAnsi="Times New Roman" w:cs="Times New Roman"/>
                <w:b/>
                <w:bCs/>
                <w:color w:val="000000"/>
                <w:lang w:val="en-US" w:eastAsia="de-CH"/>
              </w:rPr>
            </w:pPr>
            <w:r w:rsidRPr="00B41419">
              <w:rPr>
                <w:rFonts w:ascii="Times New Roman" w:eastAsia="Times New Roman" w:hAnsi="Times New Roman" w:cs="Times New Roman"/>
                <w:b/>
                <w:bCs/>
                <w:color w:val="000000"/>
                <w:lang w:val="en-US" w:eastAsia="de-CH"/>
              </w:rPr>
              <w:t>points</w:t>
            </w:r>
          </w:p>
        </w:tc>
        <w:tc>
          <w:tcPr>
            <w:tcW w:w="1701" w:type="dxa"/>
            <w:tcBorders>
              <w:top w:val="single" w:sz="4" w:space="0" w:color="auto"/>
              <w:bottom w:val="single" w:sz="4" w:space="0" w:color="auto"/>
            </w:tcBorders>
            <w:noWrap/>
            <w:hideMark/>
          </w:tcPr>
          <w:p w14:paraId="63CFD370" w14:textId="77777777" w:rsidR="00CF69B7" w:rsidRPr="00B41419" w:rsidRDefault="00CF69B7" w:rsidP="00E9231F">
            <w:pPr>
              <w:spacing w:after="0" w:line="480" w:lineRule="auto"/>
              <w:jc w:val="center"/>
              <w:rPr>
                <w:rFonts w:ascii="Times New Roman" w:eastAsia="Times New Roman" w:hAnsi="Times New Roman" w:cs="Times New Roman"/>
                <w:b/>
                <w:bCs/>
                <w:color w:val="000000"/>
                <w:lang w:val="en-US" w:eastAsia="de-CH"/>
              </w:rPr>
            </w:pPr>
            <w:r w:rsidRPr="00B41419">
              <w:rPr>
                <w:rFonts w:ascii="Times New Roman" w:eastAsia="Times New Roman" w:hAnsi="Times New Roman" w:cs="Times New Roman"/>
                <w:b/>
                <w:bCs/>
                <w:color w:val="000000"/>
                <w:lang w:val="en-US" w:eastAsia="de-CH"/>
              </w:rPr>
              <w:t>Quality</w:t>
            </w:r>
          </w:p>
        </w:tc>
      </w:tr>
      <w:tr w:rsidR="00CF69B7" w:rsidRPr="00E9231F" w14:paraId="70857B4A" w14:textId="77777777" w:rsidTr="00E9231F">
        <w:trPr>
          <w:trHeight w:val="283"/>
        </w:trPr>
        <w:tc>
          <w:tcPr>
            <w:tcW w:w="2552" w:type="dxa"/>
            <w:tcBorders>
              <w:top w:val="single" w:sz="4" w:space="0" w:color="auto"/>
            </w:tcBorders>
            <w:noWrap/>
            <w:hideMark/>
          </w:tcPr>
          <w:p w14:paraId="19739D36" w14:textId="0DF20081" w:rsidR="00CF69B7" w:rsidRPr="00B41419" w:rsidRDefault="005B4838"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Brown et al. (2016)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{"citationItems":[{"id":"ITEM-1","itemData":{"DOI":"10.1001/jamainternmed.2016.1870","ISSN":"2168-6114 (Electronic)","PMID":"27243899","abstract":"IMPORTANCE: Low mobility is common during hospitalization and associated with loss  or declines in ability to perform activities of daily living (ADL) and limitations in community mobility. OBJECTIVE: To examine the effect of an in-hospital mobility program (MP) on posthospitalization function and community mobility. DESIGN, SETTING, AND PARTICIPANTS: This single-blind randomized clinical trial used masked assessors to compare a MP with usual care (UC). Patients admitted to the medical wards of the Birmingham Veterans Affairs Medical Center from January 12, 2010, through June 29, 2011, were followed up throughout hospitalization with 1-month posthospitalization telephone follow-up. One hundred hospitalized patients 65 years or older were randomly assigned to the MP or UC groups. Patients were cognitively intact and able to walk 2 weeks before hospitalization. Data analysis was performed from November 21, 2012, to March 14, 2016. INTERVENTIONS: Patients in the MP group were assisted with ambulation up to twice daily, and a behavioral strategy was used to encourage mobility. Patients in the UC group received twice-daily visits. MAIN OUTCOMES AND MEASURES: Changes in self-reported ADL and community mobility were assessed using the Katz ADL scale and the University of Alabama at Birmingham Study of Aging Life-Space Assessment (LSA), respectively. The LSA measures community mobility based on the distance through which a person reports moving during the preceding 4 weeks. RESULTS: Of 100 patients, 8 did not complete the study (6 in the MP group and 2 in the UC group). Patients (mean age, 73.9 years; 97 male [97.0%]; and 19 black [19.0%]) had a median length of stay of 3 days. No significant differences were found between groups at baseline. For all periods, groups were similar in ability to perform ADL; however, at 1-month after hospitalization, the LSA score was significantly higher in the MP (LSA score, 52.5) compared with the UC group (LSA score, 41.6) (P = .02). For the MP group, the 1-month posthospitalization LSA score was similar to the LSA score measured at admission. For the UC group, the LSA score decreased by approximately 10 points. CONCLUSIONS AND RELEVANCE: A simple MP intervention had no effect on ADL function. However, the MP intervention enabled patients to maintain their prehospitalization community mobility, whereas those in the UC group experienced clinically significant declines. Lower life-space mobility is associated with increased risk…","author":[{"dropping-particle":"","family":"Brown","given":"Cynthia J","non-dropping-particle":"","parse-names":false,"suffix":""},{"dropping-particle":"","family":"Foley","given":"Kathleen T","non-dropping-particle":"","parse-names":false,"suffix":""},{"dropping-particle":"","family":"Lowman","given":"John D Jr","non-dropping-particle":"","parse-names":false,"suffix":""},{"dropping-particle":"","family":"MacLennan","given":"Paul A","non-dropping-particle":"","parse-names":false,"suffix":""},{"dropping-particle":"","family":"Razjouyan","given":"Javad","non-dropping-particle":"","parse-names":false,"suffix":""},{"dropping-particle":"","family":"Najafi","given":"Bijan","non-dropping-particle":"","parse-names":false,"suffix":""},{"dropping-particle":"","family":"Locher","given":"Julie","non-dropping-particle":"","parse-names":false,"suffix":""},{"dropping-particle":"","family":"Allman","given":"Richard M","non-dropping-particle":"","parse-names":false,"suffix":""}],"container-title":"JAMA internal medicine","id":"ITEM-1","issue":"7","issued":{"date-parts":[["2016","7"]]},"language":"eng","page":"921-927","publisher-place":"United States","title":"Comparison of Posthospitalization Function and Community Mobility in Hospital  Mobility Program and Usual Care Patients: A Randomized Clinical Trial.","type":"article-journal","volume":"176"},"uris":["http://www.mendeley.com/documents/?uuid=aa57217d-6cfd-4e41-a4e7-9c47b554c5b3"]}],"mendeley":{"formattedCitation":"[8]","plainTextFormattedCitation":"[8]","previouslyFormattedCitation":"[8]"},"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[8]</w:t>
            </w:r>
            <w:r w:rsidR="00CF69B7">
              <w:rPr>
                <w:rFonts w:ascii="Times New Roman" w:eastAsia="Times New Roman" w:hAnsi="Times New Roman" w:cs="Times New Roman"/>
                <w:color w:val="000000"/>
                <w:lang w:val="en-US" w:eastAsia="de-CH"/>
              </w:rPr>
              <w:fldChar w:fldCharType="end"/>
            </w:r>
          </w:p>
        </w:tc>
        <w:tc>
          <w:tcPr>
            <w:tcW w:w="737" w:type="dxa"/>
            <w:tcBorders>
              <w:top w:val="single" w:sz="4" w:space="0" w:color="auto"/>
            </w:tcBorders>
            <w:noWrap/>
            <w:hideMark/>
          </w:tcPr>
          <w:p w14:paraId="0362E27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0397559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5FBA36B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05D24701" w14:textId="77777777" w:rsidR="00CF69B7" w:rsidRPr="00BA3DED" w:rsidRDefault="00CF69B7" w:rsidP="00E9231F">
            <w:pPr>
              <w:spacing w:after="0" w:line="480" w:lineRule="auto"/>
              <w:jc w:val="center"/>
              <w:rPr>
                <w:rFonts w:ascii="Times New Roman" w:eastAsia="Times New Roman" w:hAnsi="Times New Roman" w:cs="Times New Roman"/>
                <w:color w:val="000000"/>
                <w:vertAlign w:val="superscript"/>
                <w:lang w:val="en-US" w:eastAsia="de-CH"/>
              </w:rPr>
            </w:pPr>
            <w:proofErr w:type="spellStart"/>
            <w:r w:rsidRPr="00B41419">
              <w:rPr>
                <w:rFonts w:ascii="Times New Roman" w:eastAsia="Times New Roman" w:hAnsi="Times New Roman" w:cs="Times New Roman"/>
                <w:color w:val="000000"/>
                <w:lang w:val="en-US" w:eastAsia="de-CH"/>
              </w:rPr>
              <w:t>NA</w:t>
            </w:r>
            <w:r>
              <w:rPr>
                <w:rFonts w:ascii="Times New Roman" w:eastAsia="Times New Roman" w:hAnsi="Times New Roman" w:cs="Times New Roman"/>
                <w:color w:val="000000"/>
                <w:vertAlign w:val="superscript"/>
                <w:lang w:val="en-US" w:eastAsia="de-CH"/>
              </w:rPr>
              <w:t>o</w:t>
            </w:r>
            <w:proofErr w:type="spellEnd"/>
          </w:p>
        </w:tc>
        <w:tc>
          <w:tcPr>
            <w:tcW w:w="737" w:type="dxa"/>
            <w:tcBorders>
              <w:top w:val="single" w:sz="4" w:space="0" w:color="auto"/>
            </w:tcBorders>
            <w:noWrap/>
            <w:hideMark/>
          </w:tcPr>
          <w:p w14:paraId="6EFAA52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209E1D4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6CD55C6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50466C5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38B794A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tcBorders>
              <w:top w:val="single" w:sz="4" w:space="0" w:color="auto"/>
            </w:tcBorders>
            <w:noWrap/>
            <w:hideMark/>
          </w:tcPr>
          <w:p w14:paraId="75CDDFD1" w14:textId="77777777" w:rsidR="00CF69B7" w:rsidRPr="00BA3DED" w:rsidRDefault="00CF69B7" w:rsidP="00E9231F">
            <w:pPr>
              <w:spacing w:after="0" w:line="480" w:lineRule="auto"/>
              <w:jc w:val="center"/>
              <w:rPr>
                <w:rFonts w:ascii="Times New Roman" w:eastAsia="Times New Roman" w:hAnsi="Times New Roman" w:cs="Times New Roman"/>
                <w:color w:val="000000"/>
                <w:vertAlign w:val="superscript"/>
                <w:lang w:val="en-US" w:eastAsia="de-CH"/>
              </w:rPr>
            </w:pPr>
            <w:proofErr w:type="spellStart"/>
            <w:r w:rsidRPr="00B41419">
              <w:rPr>
                <w:rFonts w:ascii="Times New Roman" w:eastAsia="Times New Roman" w:hAnsi="Times New Roman" w:cs="Times New Roman"/>
                <w:color w:val="000000"/>
                <w:lang w:val="en-US" w:eastAsia="de-CH"/>
              </w:rPr>
              <w:t>NR</w:t>
            </w:r>
            <w:r>
              <w:rPr>
                <w:rFonts w:ascii="Times New Roman" w:eastAsia="Times New Roman" w:hAnsi="Times New Roman" w:cs="Times New Roman"/>
                <w:color w:val="000000"/>
                <w:vertAlign w:val="superscript"/>
                <w:lang w:val="en-US" w:eastAsia="de-CH"/>
              </w:rPr>
              <w:t>p</w:t>
            </w:r>
            <w:proofErr w:type="spellEnd"/>
          </w:p>
        </w:tc>
        <w:tc>
          <w:tcPr>
            <w:tcW w:w="737" w:type="dxa"/>
            <w:tcBorders>
              <w:top w:val="single" w:sz="4" w:space="0" w:color="auto"/>
            </w:tcBorders>
            <w:noWrap/>
            <w:hideMark/>
          </w:tcPr>
          <w:p w14:paraId="7610546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6B81E60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71627DD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top w:val="single" w:sz="4" w:space="0" w:color="auto"/>
            </w:tcBorders>
            <w:noWrap/>
            <w:hideMark/>
          </w:tcPr>
          <w:p w14:paraId="6A81D50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tcBorders>
              <w:top w:val="single" w:sz="4" w:space="0" w:color="auto"/>
            </w:tcBorders>
            <w:noWrap/>
            <w:hideMark/>
          </w:tcPr>
          <w:p w14:paraId="11D745F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w:t>
            </w:r>
          </w:p>
        </w:tc>
        <w:tc>
          <w:tcPr>
            <w:tcW w:w="1701" w:type="dxa"/>
            <w:tcBorders>
              <w:top w:val="single" w:sz="4" w:space="0" w:color="auto"/>
            </w:tcBorders>
            <w:noWrap/>
            <w:hideMark/>
          </w:tcPr>
          <w:p w14:paraId="0AA4D4D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7C7921" w14:paraId="156A6404" w14:textId="77777777" w:rsidTr="00E9231F">
        <w:trPr>
          <w:trHeight w:val="283"/>
        </w:trPr>
        <w:tc>
          <w:tcPr>
            <w:tcW w:w="2552" w:type="dxa"/>
            <w:noWrap/>
            <w:hideMark/>
          </w:tcPr>
          <w:p w14:paraId="4BD7C184" w14:textId="2E9CD15D" w:rsidR="00CF69B7" w:rsidRPr="00B41419" w:rsidRDefault="005B4838" w:rsidP="00E9231F">
            <w:pPr>
              <w:spacing w:after="0" w:line="480" w:lineRule="auto"/>
              <w:rPr>
                <w:rFonts w:ascii="Times New Roman" w:eastAsia="Times New Roman" w:hAnsi="Times New Roman" w:cs="Times New Roman"/>
                <w:color w:val="000000"/>
                <w:lang w:val="en-US" w:eastAsia="de-CH"/>
              </w:rPr>
            </w:pPr>
            <w:proofErr w:type="spellStart"/>
            <w:r>
              <w:rPr>
                <w:rFonts w:ascii="Times New Roman" w:eastAsia="Times New Roman" w:hAnsi="Times New Roman" w:cs="Times New Roman"/>
                <w:color w:val="000000"/>
                <w:lang w:val="en-US" w:eastAsia="de-CH"/>
              </w:rPr>
              <w:t>Brienza</w:t>
            </w:r>
            <w:proofErr w:type="spellEnd"/>
            <w:r>
              <w:rPr>
                <w:rFonts w:ascii="Times New Roman" w:eastAsia="Times New Roman" w:hAnsi="Times New Roman" w:cs="Times New Roman"/>
                <w:color w:val="000000"/>
                <w:lang w:val="en-US" w:eastAsia="de-CH"/>
              </w:rPr>
              <w:t xml:space="preserve"> et al. (2018)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{"citationItems":[{"id":"ITEM-1","itemData":{"DOI":"10.1111/jgs.15495","ISSN":"15325415","PMID":"30094810","abstract":"Objectives: To evaluate the effectiveness of wheelchair assessment and configuration on pressure injury incidence, mobility, and functioning in a wheelchair. Design: Randomized controlled trial with participants individually randomized into intervention and control groups. Setting: Nursing home. Participants: Nursing home residents aged 60 and older who used wheelchairs and were at risk for pressure injuries (N=258). Intervention: Treatment and evaluation, individually configured wheelchair and skin protection cushion; control and evaluation, facility-provided wheelchair and skin protection cushion. Measurements: Pressure injury incidence, Nursing Home Life Space Diameter score, Functioning Every Day in a Wheelchair—Capacity (FEW-C) score, and Wheelchair Skills Test (WST) score. Results: No differences in pressure injuries (p=.77) were found. Pelvic rotation (odds ratio (OR)=0.15, 95% confidence interval (CI)=0.03–0.70, p=.02) and Day 14 WST skill score (OR=0.74, 95% CI=0.60–0.91, p=.004) were significant predictors of pressure injuries. Significant differences were observed between groups in change in FEW-C independence scores between before randomization and endpoint (p=.03) and before randomization and 14 days (p=.04). Conclusion: Participants with individually configured wheelchairs improved more in the safe and effective use of their wheelchairs than residents with facility-provided wheelchairs. The outcomes indicated that nursing home residents functioned safely at a higher level in their wheelchairs if their devices were individually configured using a comprehensive wheelchair and seating assessment process. There was no difference in the incidence of pressure injuries between the two groups. Trial registration: NCT01275313.","author":[{"dropping-particle":"","family":"Brienza","given":"David M.","non-dropping-particle":"","parse-names":false,"suffix":""},{"dropping-particle":"","family":"Karg","given":"Patricia E.","non-dropping-particle":"","parse-names":false,"suffix":""},{"dropping-particle":"","family":"Bertolet","given":"Marnie","non-dropping-particle":"","parse-names":false,"suffix":""},{"dropping-particle":"","family":"Schmeler","given":"Mark","non-dropping-particle":"","parse-names":false,"suffix":""},{"dropping-particle":"","family":"Poojary-Mazzotta","given":"Prerna","non-dropping-particle":"","parse-names":false,"suffix":""},{"dropping-particle":"","family":"Vlachos","given":"Helen","non-dropping-particle":"","parse-names":false,"suffix":""},{"dropping-particle":"","family":"Wilkinson","given":"Debora","non-dropping-particle":"","parse-names":false,"suffix":""}],"container-title":"Journal of the American Geriatrics Society","id":"ITEM-1","issue":"9","issued":{"date-parts":[["2018","9"]]},"language":"eng","page":"1752-1759","publisher-place":"United States","title":"A Randomized Clinical Trial of Wheeled Mobility for Pressure Injury Prevention and Better Function.","type":"article-journal","volume":"66"},"uris":["http://www.mendeley.com/documents/?uuid=a92d33da-9628-49db-80c9-b1abd62110c3"]}],"mendeley":{"formattedCitation":"[9]","plainTextFormattedCitation":"[9]","previouslyFormattedCitation":"[9]"},"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[9]</w:t>
            </w:r>
            <w:r w:rsidR="00CF69B7">
              <w:rPr>
                <w:rFonts w:ascii="Times New Roman" w:eastAsia="Times New Roman" w:hAnsi="Times New Roman" w:cs="Times New Roman"/>
                <w:color w:val="000000"/>
                <w:lang w:val="en-US" w:eastAsia="de-CH"/>
              </w:rPr>
              <w:fldChar w:fldCharType="end"/>
            </w:r>
          </w:p>
        </w:tc>
        <w:tc>
          <w:tcPr>
            <w:tcW w:w="737" w:type="dxa"/>
            <w:noWrap/>
            <w:hideMark/>
          </w:tcPr>
          <w:p w14:paraId="2F27B3B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125D68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3A5017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C352F8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0F6E3CD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31FFCC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D31833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F83806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2E3300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10B5CF8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9E6A82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0CD0E8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25B1F86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79442B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8" w:type="dxa"/>
            <w:noWrap/>
            <w:hideMark/>
          </w:tcPr>
          <w:p w14:paraId="4DD04D8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8</w:t>
            </w:r>
          </w:p>
        </w:tc>
        <w:tc>
          <w:tcPr>
            <w:tcW w:w="1701" w:type="dxa"/>
            <w:noWrap/>
            <w:hideMark/>
          </w:tcPr>
          <w:p w14:paraId="4B3A44B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Fair</w:t>
            </w:r>
          </w:p>
        </w:tc>
      </w:tr>
      <w:tr w:rsidR="00CF69B7" w:rsidRPr="007C7921" w14:paraId="1310BF4E" w14:textId="77777777" w:rsidTr="00E9231F">
        <w:trPr>
          <w:trHeight w:val="283"/>
        </w:trPr>
        <w:tc>
          <w:tcPr>
            <w:tcW w:w="2552" w:type="dxa"/>
            <w:noWrap/>
            <w:hideMark/>
          </w:tcPr>
          <w:p w14:paraId="2D8BB0E4" w14:textId="3D07FB8B" w:rsidR="00CF69B7" w:rsidRPr="00B41419" w:rsidRDefault="005B4838"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Collins et al. (2018)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{"citationItems":[{"id":"ITEM-1","itemData":{"DOI":"10.1093/geroni/igy022","ISSN":"2399-5300 (Electronic)","PMID":"30480143","abstract":"BACKGROUND AND OBJECTIVES: Mobility limitation is common and has been linked to high energetic requirements of daily activities, including walking. The study objective was to determine whether two separate forms of exercise could reduce the energy cost of walking and secondary outcomes related to activity and participation domains among older adults with mobility limitation. RESEARCH DESIGN AND METHODS: Community-dwelling older adults with self-reported mobility limitation (n = 72) were randomized to 12 weeks of twice-weekly, group-based, instructor-led timing and coordination, aerobic walking, or stretching and relaxation (active control) programs. The primary outcome was the energy cost of walking (mL O(2)/kg/m), assessed by a 5-minute treadmill walking test (0.8 m/s). Secondary outcomes were fatigability, physical activity, endurance, physical function, and life-space. Baseline-adjusted ANCOVAs were used to determine mean differences between exercise and control groups at 12 and 24 weeks. RESULTS: Exercise session attendance was high: 86% for timing and coordination, 81% for aerobic walking, and 90% for stretching and relaxation. At 12 weeks, timing and coordination reduced the mean energy cost of walking by 15% versus stretching and relaxation (p = .008). Among those with high baseline cost, timing and coordination reduced mean energy cost by 20% versus stretching and relaxation (p = .055). Reductions were sustained at 24 weeks. Aerobic walking had no effect on the energy cost of walking at 12 or 24 weeks. At 12 weeks, there was a trend toward faster gait speed (by 0.1 m/s) in timing and coordination versus stretching and relaxation (p = .074). Fatigability, physical activity, endurance, physical function, and life-space did not change with timing and coordination or aerobic walking versus stretching and relaxation at 12 or 24 weeks. DISCUSSION AND IMPLICATIONS: Twelve weeks of timing and coordination, but not aerobic walking, reduced the energy cost of walking among older adults with mobility limitation, particularly among those with high baseline energy cost; reductions in energy cost were sustained following training cessation. Timing and coordination also led to a trend toward faster gait speed.","author":[{"dropping-particle":"","family":"Collins","given":"Kristina J","non-dropping-particle":"","parse-names":false,"suffix":""},{"dropping-particle":"","family":"Schrack","given":"Jennifer A","non-dropping-particle":"","parse-names":false,"suffix":""},{"dropping-particle":"","family":"VanSwearingen","given":"Jessie M","non-dropping-particle":"","parse-names":false,"suffix":""},{"dropping-particle":"","family":"Glynn","given":"Nancy W","non-dropping-particle":"","parse-names":false,"suffix":""},{"dropping-particle":"","family":"Pospisil","given":"Michelle C","non-dropping-particle":"","parse-names":false,"suffix":""},{"dropping-particle":"","family":"Gant","given":"Veronica E","non-dropping-particle":"","parse-names":false,"suffix":""},{"dropping-particle":"","family":"Mackey","given":"Dawn C","non-dropping-particle":"","parse-names":false,"suffix":""}],"container-title":"Innovation in aging","id":"ITEM-1","issue":"3","issued":{"date-parts":[["2018","9"]]},"language":"eng","page":"1-10","title":"Randomized Controlled Trial of Exercise to Improve Walking Energetics in Older Adults.","type":"article-journal","volume":"2"},"uris":["http://www.mendeley.com/documents/?uuid=e36d4c3a-4f67-472e-a6e6-7c7f071d3dc2"]}],"mendeley":{"formattedCitation":"[10]","plainTextFormattedCitation":"[10]","previouslyFormattedCitation":"[10]"},"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[10]</w:t>
            </w:r>
            <w:r w:rsidR="00CF69B7">
              <w:rPr>
                <w:rFonts w:ascii="Times New Roman" w:eastAsia="Times New Roman" w:hAnsi="Times New Roman" w:cs="Times New Roman"/>
                <w:color w:val="000000"/>
                <w:lang w:val="en-US" w:eastAsia="de-CH"/>
              </w:rPr>
              <w:fldChar w:fldCharType="end"/>
            </w:r>
          </w:p>
        </w:tc>
        <w:tc>
          <w:tcPr>
            <w:tcW w:w="737" w:type="dxa"/>
            <w:noWrap/>
            <w:hideMark/>
          </w:tcPr>
          <w:p w14:paraId="630DE09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66DB87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A4A0B7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5A5A49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partly</w:t>
            </w:r>
          </w:p>
        </w:tc>
        <w:tc>
          <w:tcPr>
            <w:tcW w:w="737" w:type="dxa"/>
            <w:noWrap/>
            <w:hideMark/>
          </w:tcPr>
          <w:p w14:paraId="1EA8646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3D21006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618B38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CACFD0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3745A2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1B344D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3564A83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19579E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E736B4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CE7C8D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631049C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11,5</w:t>
            </w:r>
          </w:p>
        </w:tc>
        <w:tc>
          <w:tcPr>
            <w:tcW w:w="1701" w:type="dxa"/>
            <w:noWrap/>
            <w:hideMark/>
          </w:tcPr>
          <w:p w14:paraId="02EB2C5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B41419" w14:paraId="0416D29F" w14:textId="77777777" w:rsidTr="00E9231F">
        <w:trPr>
          <w:trHeight w:val="283"/>
        </w:trPr>
        <w:tc>
          <w:tcPr>
            <w:tcW w:w="2552" w:type="dxa"/>
            <w:noWrap/>
            <w:hideMark/>
          </w:tcPr>
          <w:p w14:paraId="0487C193" w14:textId="3EB0C2CF"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Crist et al. (2021)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10.1016/j.healthplace.2021.102573","ISSN":"1353-8292","author":[{"dropping-particle":"","family":"Crist","given":"Katie","non-dropping-particle":"","parse-names":false,"suffix":""},{"dropping-particle":"","family":"Jankowska","given":"Marta M","non-dropping-particle":"","parse-names":false,"suffix":""},{"dropping-particle":"","family":"Schipperijn","given":"Jasper","non-dropping-particle":"","parse-names":false,"suffix":""},{"dropping-particle":"","family":"Rosenberg","given":"Dori E","non-dropping-particle":"","parse-names":false,"suffix":""},{"dropping-particle":"","family":"Takemoto","given":"Michelle","non-dropping-particle":"","parse-names":false,"suffix":""},{"dropping-particle":"","family":"Zlatar","given":"Zvinka Z","non-dropping-particle":"","parse-names":false,"suffix":""},{"dropping-particle":"","family":"Natarajan","given":"Loki","non-dropping-particle":"","parse-names":false,"suffix":""},{"dropping-particle":"","family":"Benmarhnia","given":"Tarik","non-dropping-particle":"","parse-names":false,"suffix":""}],"container-title":"Health and Place","id":"ITEM-1","issue":"April","issued":{"date-parts":[["2021"]]},"page":"102573","publisher":"Elsevier Ltd","title":"Change in GPS-assessed walking locations following a cluster-randomized controlled physical activity trial in older adults , results from the MIPARC trial","type":"article-journal","volume":"69"},"uris":["http://www.mendeley.com/documents/?uuid=1c34fe7c-bde0-47f2-adbc-688fb728919f"]}],"mendeley":{"formattedCitation":"[11]","plainTextFormattedCitation":"[11]","previouslyFormattedCitation":"[11]"},"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[11]</w:t>
            </w:r>
            <w:r w:rsidR="00CF69B7">
              <w:rPr>
                <w:rFonts w:ascii="Times New Roman" w:eastAsia="Times New Roman" w:hAnsi="Times New Roman" w:cs="Times New Roman"/>
                <w:color w:val="000000"/>
                <w:lang w:val="en-US" w:eastAsia="de-CH"/>
              </w:rPr>
              <w:fldChar w:fldCharType="end"/>
            </w:r>
          </w:p>
        </w:tc>
        <w:tc>
          <w:tcPr>
            <w:tcW w:w="737" w:type="dxa"/>
            <w:noWrap/>
            <w:hideMark/>
          </w:tcPr>
          <w:p w14:paraId="6719CB4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398BA2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529ABE6" w14:textId="1B8094AC" w:rsidR="00CF69B7" w:rsidRPr="001F4F7D" w:rsidRDefault="00CF69B7" w:rsidP="00E9231F">
            <w:pPr>
              <w:spacing w:after="0" w:line="480" w:lineRule="auto"/>
              <w:jc w:val="center"/>
              <w:rPr>
                <w:rFonts w:ascii="Times New Roman" w:eastAsia="Times New Roman" w:hAnsi="Times New Roman" w:cs="Times New Roman"/>
                <w:color w:val="000000"/>
                <w:vertAlign w:val="superscript"/>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5AB498E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5D5BBE6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3A4240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6B06D34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7FE3D6C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2B392E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E1725B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790FDFF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10FB67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2D79B7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47412E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1405E64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7</w:t>
            </w:r>
          </w:p>
        </w:tc>
        <w:tc>
          <w:tcPr>
            <w:tcW w:w="1701" w:type="dxa"/>
            <w:noWrap/>
            <w:hideMark/>
          </w:tcPr>
          <w:p w14:paraId="415F679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Fair</w:t>
            </w:r>
          </w:p>
        </w:tc>
      </w:tr>
      <w:tr w:rsidR="00CF69B7" w:rsidRPr="00D05814" w14:paraId="4A46575D" w14:textId="77777777" w:rsidTr="00E9231F">
        <w:trPr>
          <w:trHeight w:val="283"/>
        </w:trPr>
        <w:tc>
          <w:tcPr>
            <w:tcW w:w="2552" w:type="dxa"/>
            <w:noWrap/>
            <w:hideMark/>
          </w:tcPr>
          <w:p w14:paraId="7A9AD667" w14:textId="1E6373BF"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lastRenderedPageBreak/>
              <w:t xml:space="preserve">Crotty et al. (2019)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{"citationItems":[{"id":"ITEM-1","itemData":{"DOI":"10.1093/ageing/afz005","ISSN":"1468-2834 (Electronic)","PMID":"30794284","abstract":"OBJECTIVE: to determine whether a 4-week postoperative rehabilitation program  delivered in Nursing Care Facilities (NCFs) would improve quality of life and mobility compared with receiving usual care. DESIGN: parallel randomised controlled trial with integrated health economic study. SETTING: NCFs, in Adelaide South Australia. SUBJECTS: people aged 70 years and older who were recovering from hip fracture surgery and were walking prior to hip fracture. MEASUREMENTS: primary outcomes: mobility (Nursing Home Life-Space Diameter (NHLSD)) and quality of life (DEMQOL) at 4 weeks and 12 months. RESULTS: participants were randomised to treatment (n = 121) or control (n = 119) groups. At 4 weeks, the treatment group had better mobility (NHLSD mean difference -1.9; 95% CI: -3.3, -0.57; P = 0.0055) and were more likely to be alive (log rank test P = 0.048) but there were no differences in quality of life. At 12 months, the treatment group had better quality of life (DEMQOL sum score mean difference = -7.4; 95% CI: -12.5 to -2.3; P = 0.0051), but there were no other differences between treatment and control groups. Quality adjusted life years (QALYs) gained over 12 months were 0.0063 higher per participant (95% CI: -0.0547 to 0.0686). The resulting incremental cost effectiveness ratios (ICERs) were $5,545 Australian dollars per unit increase in the NHLSD (95% CI: $244 to $15,159) and $328,685 per QALY gained (95% CI: $82,654 to $75,007,056). CONCLUSIONS: the benefits did not persist once the rehabilitation program ended but quality of life at 12 months in survivors was slightly higher. The case for funding outreach home rehabilitation in NCFs is weak from a traditional health economic perspective. TRIAL REGISTRATION: ACTRN12612000112864 registered on the Australian and New Zealand Clinical Trials Registry. Trial protocol available at https://www.anzctr.org.au/Trial/Registration/TrialReview.aspx?id = 361980.","author":[{"dropping-particle":"","family":"Crotty","given":"Maria","non-dropping-particle":"","parse-names":false,"suffix":""},{"dropping-particle":"","family":"Killington","given":"Maggie","non-dropping-particle":"","parse-names":false,"suffix":""},{"dropping-particle":"","family":"Liu","given":"Enwu","non-dropping-particle":"","parse-names":false,"suffix":""},{"dropping-particle":"","family":"Cameron","given":"Ian D","non-dropping-particle":"","parse-names":false,"suffix":""},{"dropping-particle":"","family":"Kurrle","given":"Susan","non-dropping-particle":"","parse-names":false,"suffix":""},{"dropping-particle":"","family":"Kaambwa","given":"Billingsley","non-dropping-particle":"","parse-names":false,"suffix":""},{"dropping-particle":"","family":"Davies","given":"Owen","non-dropping-particle":"","parse-names":false,"suffix":""},{"dropping-particle":"","family":"Miller","given":"Michelle","non-dropping-particle":"","parse-names":false,"suffix":""},{"dropping-particle":"","family":"Chehade","given":"Mellick","non-dropping-particle":"","parse-names":false,"suffix":""},{"dropping-particle":"","family":"Ratcliffe","given":"Julie","non-dropping-particle":"","parse-names":false,"suffix":""}],"container-title":"Age and ageing","id":"ITEM-1","issue":"3","issued":{"date-parts":[["2019","5"]]},"language":"eng","page":"373-380","title":"Should we provide outreach rehabilitation to very old people living in Nursing Care  Facilities after a hip fracture? A randomised controlled trial.","type":"article-journal","volume":"48"},"uris":["http://www.mendeley.com/documents/?uuid=2dea501c-83f2-42f4-8275-71ab30a75ce3"]}],"mendeley":{"formattedCitation":"[12]","plainTextFormattedCitation":"[12]","previouslyFormattedCitation":"[12]"},"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[12]</w:t>
            </w:r>
            <w:r w:rsidR="00CF69B7">
              <w:rPr>
                <w:rFonts w:ascii="Times New Roman" w:eastAsia="Times New Roman" w:hAnsi="Times New Roman" w:cs="Times New Roman"/>
                <w:color w:val="000000"/>
                <w:lang w:val="en-US" w:eastAsia="de-CH"/>
              </w:rPr>
              <w:fldChar w:fldCharType="end"/>
            </w:r>
          </w:p>
        </w:tc>
        <w:tc>
          <w:tcPr>
            <w:tcW w:w="737" w:type="dxa"/>
            <w:noWrap/>
            <w:hideMark/>
          </w:tcPr>
          <w:p w14:paraId="212039E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C5A694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38677A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8A9230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4BB08EF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F697D0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CEDA96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648932B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E6C06F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1155676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46C197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21964D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33E3C9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5A70DF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64CFEE6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w:t>
            </w:r>
          </w:p>
        </w:tc>
        <w:tc>
          <w:tcPr>
            <w:tcW w:w="1701" w:type="dxa"/>
            <w:noWrap/>
            <w:hideMark/>
          </w:tcPr>
          <w:p w14:paraId="17F9192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B41419" w14:paraId="05DCBDE2" w14:textId="77777777" w:rsidTr="00E9231F">
        <w:trPr>
          <w:trHeight w:val="283"/>
        </w:trPr>
        <w:tc>
          <w:tcPr>
            <w:tcW w:w="2552" w:type="dxa"/>
            <w:noWrap/>
            <w:hideMark/>
          </w:tcPr>
          <w:p w14:paraId="07926A19" w14:textId="18A83843" w:rsidR="00CF69B7" w:rsidRPr="00B41419" w:rsidRDefault="00D05814" w:rsidP="00E9231F">
            <w:pPr>
              <w:spacing w:after="0" w:line="480" w:lineRule="auto"/>
              <w:rPr>
                <w:rFonts w:ascii="Times New Roman" w:eastAsia="Times New Roman" w:hAnsi="Times New Roman" w:cs="Times New Roman"/>
                <w:color w:val="000000"/>
                <w:lang w:val="en-US" w:eastAsia="de-CH"/>
              </w:rPr>
            </w:pPr>
            <w:proofErr w:type="spellStart"/>
            <w:r>
              <w:rPr>
                <w:rFonts w:ascii="Times New Roman" w:eastAsia="Times New Roman" w:hAnsi="Times New Roman" w:cs="Times New Roman"/>
                <w:color w:val="000000"/>
                <w:lang w:val="en-US" w:eastAsia="de-CH"/>
              </w:rPr>
              <w:t>Fairhall</w:t>
            </w:r>
            <w:proofErr w:type="spellEnd"/>
            <w:r>
              <w:rPr>
                <w:rFonts w:ascii="Times New Roman" w:eastAsia="Times New Roman" w:hAnsi="Times New Roman" w:cs="Times New Roman"/>
                <w:color w:val="000000"/>
                <w:lang w:val="en-US" w:eastAsia="de-CH"/>
              </w:rPr>
              <w:t xml:space="preserve"> et al. (2012)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{"citationItems":[{"id":"ITEM-1","itemData":{"DOI":"10.1186/1741-7015-10-120","ISBN":"1260800050738","ISSN":"1741-7015","PMID":"23067364","abstract":"Interventions that enhance mobility in frail older people are needed to maintain health and independence, yet definitive evidence of effective interventions is lacking. Our objective was to assess the impact of a multifactorial intervention on mobility-related disability in frail older people.","author":[{"dropping-particle":"","family":"Fairhall","given":"Nicola","non-dropping-particle":"","parse-names":false,"suffix":""},{"dropping-particle":"","family":"Sherrington","given":"Catherine","non-dropping-particle":"","parse-names":false,"suffix":""},{"dropping-particle":"","family":"Kurrle","given":"Susan E.","non-dropping-particle":"","parse-names":false,"suffix":""},{"dropping-particle":"","family":"Lord","given":"Stephen R.","non-dropping-particle":"","parse-names":false,"suffix":""},{"dropping-particle":"","family":"Lockwood","given":"Keri","non-dropping-particle":"","parse-names":false,"suffix":""},{"dropping-particle":"","family":"Cameron","given":"Ian D.","non-dropping-particle":"","parse-names":false,"suffix":""}],"container-title":"BMC Medicine","id":"ITEM-1","issued":{"date-parts":[["2012"]]},"title":"Effect of a multifactorial interdisciplinary intervention on mobility-related disability in frail older people: randomised controlled trial","type":"article-journal","volume":"10"},"uris":["http://www.mendeley.com/documents/?uuid=18d2cd3a-fa4e-4787-afac-b8816059b169"]}],"mendeley":{"formattedCitation":"[13]","plainTextFormattedCitation":"[13]","previouslyFormattedCitation":"[13]"},"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[13]</w:t>
            </w:r>
            <w:r w:rsidR="00CF69B7">
              <w:rPr>
                <w:rFonts w:ascii="Times New Roman" w:eastAsia="Times New Roman" w:hAnsi="Times New Roman" w:cs="Times New Roman"/>
                <w:color w:val="000000"/>
                <w:lang w:val="en-US" w:eastAsia="de-CH"/>
              </w:rPr>
              <w:fldChar w:fldCharType="end"/>
            </w:r>
          </w:p>
        </w:tc>
        <w:tc>
          <w:tcPr>
            <w:tcW w:w="737" w:type="dxa"/>
            <w:noWrap/>
            <w:hideMark/>
          </w:tcPr>
          <w:p w14:paraId="16FCF65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183E08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B49118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D323F4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0BB1BCC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CA3735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58D673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CBC835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7067CF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7EF4CE9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10A6864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F79D20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F7AD23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5DEB3D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4BA5F34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10</w:t>
            </w:r>
          </w:p>
        </w:tc>
        <w:tc>
          <w:tcPr>
            <w:tcW w:w="1701" w:type="dxa"/>
            <w:noWrap/>
            <w:hideMark/>
          </w:tcPr>
          <w:p w14:paraId="3871EEA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D05814" w14:paraId="55CA5CEF" w14:textId="77777777" w:rsidTr="00E9231F">
        <w:trPr>
          <w:trHeight w:val="283"/>
        </w:trPr>
        <w:tc>
          <w:tcPr>
            <w:tcW w:w="2552" w:type="dxa"/>
            <w:noWrap/>
            <w:hideMark/>
          </w:tcPr>
          <w:p w14:paraId="006D3257" w14:textId="18EF24B0"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Hewitt et al. (2018) </w:t>
            </w:r>
            <w:r w:rsidR="00CF69B7">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{"citationItems":[{"id":"ITEM-1","itemData":{"DOI":"10.1016/j.jamda.2017.12.014","ISSN":"1538-9375 (Electronic)","PMID":"29402651","abstract":"BACKGROUND: Falls prevention is an international priority, and residents of  long-term aged care fall approximately 3 times more often than community dwellers. There is a relative scarcity of published trials in this setting. OBJECTIVES: Our objective was to undertake a randomized controlled trial to test the effect of published best practice exercise in long-term residential aged care. The trial was designed to determine if combined high level balance and moderate intensity progressive resistance training (the Sunbeam Program) is effective in reducing the rate of falls in residents of aged care facilities. METHOD: A cluster randomized controlled trial of 16 residential aged care facilities and 221 participants was conducted. The broad inclusion criterion was permanent residents of aged care. Exclusions were diagnosed terminal illness, no medical clearance, permanent bed- or wheelchair-bound status, advanced Parkinson's disease, or insufficient cognition to participate in group exercise. Assessments were taken at baseline, after intervention, and at 12 months. Randomization was performed by computer-generated sequence to receive either the Sunbeam program or usual care. A cluster refers to an aged care facility. INTERVENTION: The program consisted of individually prescribed progressive resistance training plus balance exercise performed in a group setting for 50 hours over a 25-week period, followed by a maintenance period for 6 months. OUTCOME MEASURES: The primary outcome measure was the rate of falls (number of falls and days followed up). Secondary outcomes included physical performance (Short Physical Performance Battery), quality of life (36-item Short-Form Health Survey), functional mobility (University of Alabama Life Space Assessment), fear of falling (Falls Efficacy Scale International), and cognition (Addenbrooke's Cognitive Evaluation-revised). RESULTS: The rate of falls was reduced by 55% in the exercise group (incidence rate ratio = 0.45, 95% confidence interval 0.17-0.74); an improvement was also seen in physical performance (P = .02). There were no serious adverse events. CONCLUSION: The Sunbeam Program significantly reduced the rate of falls and improved physical performance in residents of aged care. This finding is important as prior work in this setting has returned inconsistent outcomes, resulting in best practice guidelines being cautious about recommending exercise in this setting. This work provides an opportunity to improve clin…","author":[{"dropping-particle":"","family":"Hewitt","given":"Jennifer","non-dropping-particle":"","parse-names":false,"suffix":""},{"dropping-particle":"","family":"Goodall","given":"Stephen","non-dropping-particle":"","parse-names":false,"suffix":""},{"dropping-particle":"","family":"Clemson","given":"Lindy","non-dropping-particle":"","parse-names":false,"suffix":""},{"dropping-particle":"","family":"Henwood","given":"Timothy","non-dropping-particle":"","parse-names":false,"suffix":""},{"dropping-particle":"","family":"Refshauge","given":"Kathryn","non-dropping-particle":"","parse-names":false,"suffix":""}],"container-title":"Journal of the American Medical Directors Association","id":"ITEM-1","issue":"4","issued":{"date-parts":[["2018","4"]]},"language":"eng","page":"361-369","publisher-place":"United States","title":"Progressive Resistance and Balance Training for Falls Prevention in Long-Term  Residential Aged Care: A Cluster Randomized Trial of the Sunbeam Program.","type":"article-journal","volume":"19"},"uris":["http://www.mendeley.com/documents/?uuid=38d3f039-e63d-482c-8428-7a88d90ae028"]}],"mendeley":{"formattedCitation":"[14]","plainTextFormattedCitation":"[14]","previouslyFormattedCitation":"[14]"},"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[14]</w:t>
            </w:r>
            <w:r w:rsidR="00CF69B7">
              <w:rPr>
                <w:rFonts w:ascii="Times New Roman" w:eastAsia="Times New Roman" w:hAnsi="Times New Roman" w:cs="Times New Roman"/>
                <w:color w:val="000000"/>
                <w:lang w:val="en-US" w:eastAsia="de-CH"/>
              </w:rPr>
              <w:fldChar w:fldCharType="end"/>
            </w:r>
          </w:p>
        </w:tc>
        <w:tc>
          <w:tcPr>
            <w:tcW w:w="737" w:type="dxa"/>
            <w:noWrap/>
            <w:hideMark/>
          </w:tcPr>
          <w:p w14:paraId="7830DFA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6014F1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B4495C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133AEE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06C93D5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143FF2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89FC03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39D405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2B92A7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549EABD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63308B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EE1EB0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C02859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7CC037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08ACDD1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w:t>
            </w:r>
          </w:p>
        </w:tc>
        <w:tc>
          <w:tcPr>
            <w:tcW w:w="1701" w:type="dxa"/>
            <w:noWrap/>
            <w:hideMark/>
          </w:tcPr>
          <w:p w14:paraId="6AABA44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7C7921" w14:paraId="7CC06771" w14:textId="77777777" w:rsidTr="00E9231F">
        <w:trPr>
          <w:trHeight w:val="283"/>
        </w:trPr>
        <w:tc>
          <w:tcPr>
            <w:tcW w:w="2552" w:type="dxa"/>
            <w:noWrap/>
            <w:hideMark/>
          </w:tcPr>
          <w:p w14:paraId="4F5C238D" w14:textId="4E9664E1" w:rsidR="00CF69B7" w:rsidRPr="00B41419" w:rsidRDefault="00D05814" w:rsidP="00E9231F">
            <w:pPr>
              <w:spacing w:after="0" w:line="480" w:lineRule="auto"/>
              <w:rPr>
                <w:rFonts w:ascii="Times New Roman" w:eastAsia="Times New Roman" w:hAnsi="Times New Roman" w:cs="Times New Roman"/>
                <w:color w:val="000000"/>
                <w:lang w:val="en-US" w:eastAsia="de-CH"/>
              </w:rPr>
            </w:pPr>
            <w:proofErr w:type="spellStart"/>
            <w:r>
              <w:rPr>
                <w:rFonts w:ascii="Times New Roman" w:eastAsia="Times New Roman" w:hAnsi="Times New Roman" w:cs="Times New Roman"/>
                <w:color w:val="000000"/>
                <w:lang w:val="en-US" w:eastAsia="de-CH"/>
              </w:rPr>
              <w:t>Hiyama</w:t>
            </w:r>
            <w:proofErr w:type="spellEnd"/>
            <w:r>
              <w:rPr>
                <w:rFonts w:ascii="Times New Roman" w:eastAsia="Times New Roman" w:hAnsi="Times New Roman" w:cs="Times New Roman"/>
                <w:color w:val="000000"/>
                <w:lang w:val="en-US" w:eastAsia="de-CH"/>
              </w:rPr>
              <w:t xml:space="preserve"> et al. (2019)</w:t>
            </w:r>
            <w:r>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{"citationItems":[{"id":"ITEM-1","itemData":{"DOI":"10.1055/s-0038-1672199","ISSN":"1938-2480 (Electronic)","PMID":"30282100","abstract":"Life-space mobility describes the spatial areas through which an individual moves,  and the frequency and need for assistance. Although patients with knee osteoarthritis (OA) have shown restricted life-space mobility, total knee arthroplasty (TKA) does not improve it beyond preoperative levels. Life-space mobility after TKA was influenced by self-efficacy for walking tasks; thus, an intervention to improve self-efficacy for walking tasks may contribute to better life-space mobility. We provided a walking event including several walking tasks as the intervention. We assessed the effect of the walking event on life-space mobility and self-efficacy for walking tasks in patients following TKA. In this nonrandomized controlled trial, patients who underwent primary TKA were recruited. After recruitment, patients who could not participate in the walking event due to scheduling conflicts were included in the control group. The walking event consisted of 3.5 km of walking course and included walking tasks as follows: crossing at the crosswalk, walking up- and downstairs without a railing, walking along dirt roads, and walking up and down a slope. The primary outcome was life-space mobility measured using Life-Space Assessment (LSA) and self-efficacy for walking tasks measured using the modified Gait Efficacy Scale (mGES). We enrolled 104 patients, of whom 36 were assigned to the intervention group and participated in the walking event. Participants in the intervention group had significantly better LSA score (adjusted mean difference between groups: 13.9; 95% confidence interval: 12.4-15.5; p &lt; 0.001) and mGES score (adjusted mean difference between groups: 13.8; 95% confidence interval: 12.4-15.1; p &lt; 0.001) than the control group even after adjusting for age, gender, body mass index, elapsed time from surgery, the severity of knee OA of nonoperated limb, and patient-reported functional outcome. The walking event including various walking tasks improved life-space mobility and self-efficacy in patients following TKA. It is important to design a program that can improve self-efficacy for walking tasks through mastery experiences to improve life-space mobility after TKA.","author":[{"dropping-particle":"","family":"Hiyama","given":"Yoshinori","non-dropping-particle":"","parse-names":false,"suffix":""},{"dropping-particle":"","family":"Kamitani","given":"Tsukasa","non-dropping-particle":"","parse-names":false,"suffix":""},{"dropping-particle":"","family":"Mori","given":"Kazuaki","non-dropping-particle":"","parse-names":false,"suffix":""}],"container-title":"The journal of knee surgery","id":"ITEM-1","issue":"10","issued":{"date-parts":[["2019","10"]]},"language":"eng","page":"966-971","publisher-place":"Germany","title":"Effects of an Intervention to Improve Life-Space Mobility and Self-Efficacy in  Patients following Total Knee Arthroplasty.","type":"article-journal","volume":"32"},"uris":["http://www.mendeley.com/documents/?uuid=29e5527e-d137-49fc-b071-58a22db651dc"]}],"mendeley":{"formattedCitation":"[15]","plainTextFormattedCitation":"[15]","previouslyFormattedCitation":"[15]"},"properties":{"noteIndex":0},"schema":"https://github.com/citation-style-language/schema/raw/master/csl-citation.json"}</w:instrText>
            </w:r>
            <w:r>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[15]</w:t>
            </w:r>
            <w:r>
              <w:rPr>
                <w:rFonts w:ascii="Times New Roman" w:eastAsia="Times New Roman" w:hAnsi="Times New Roman" w:cs="Times New Roman"/>
                <w:color w:val="000000"/>
                <w:lang w:val="en-US" w:eastAsia="de-CH"/>
              </w:rPr>
              <w:fldChar w:fldCharType="end"/>
            </w:r>
          </w:p>
        </w:tc>
        <w:tc>
          <w:tcPr>
            <w:tcW w:w="737" w:type="dxa"/>
            <w:noWrap/>
            <w:hideMark/>
          </w:tcPr>
          <w:p w14:paraId="1CCCB33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7402FF8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32125FC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05F1E8F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2C82BC4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E7E796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504AE2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F98DA9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605B77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45BC19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F1FBA7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F42436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1C21635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7EE04E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113E35F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7</w:t>
            </w:r>
          </w:p>
        </w:tc>
        <w:tc>
          <w:tcPr>
            <w:tcW w:w="1701" w:type="dxa"/>
            <w:noWrap/>
            <w:hideMark/>
          </w:tcPr>
          <w:p w14:paraId="1AA9BCE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Fair</w:t>
            </w:r>
          </w:p>
        </w:tc>
      </w:tr>
      <w:tr w:rsidR="00DC0CD4" w:rsidRPr="007C7921" w14:paraId="5EAF062C" w14:textId="77777777" w:rsidTr="00E9231F">
        <w:trPr>
          <w:trHeight w:val="283"/>
        </w:trPr>
        <w:tc>
          <w:tcPr>
            <w:tcW w:w="2552" w:type="dxa"/>
            <w:noWrap/>
          </w:tcPr>
          <w:p w14:paraId="542A634E" w14:textId="025D3B64" w:rsidR="00DC0CD4" w:rsidRDefault="00DC0CD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Jansen et al. (2018) </w:t>
            </w:r>
            <w:r>
              <w:rPr>
                <w:rFonts w:ascii="Times New Roman" w:eastAsia="Times New Roman" w:hAnsi="Times New Roman" w:cs="Times New Roman"/>
                <w:color w:val="000000"/>
                <w:lang w:val="en-US" w:eastAsia="de-CH"/>
              </w:rPr>
              <w:fldChar w:fldCharType="begin" w:fldLock="1"/>
            </w:r>
            <w:r w:rsidR="001F4F7D">
              <w:rPr>
                <w:rFonts w:ascii="Times New Roman" w:eastAsia="Times New Roman" w:hAnsi="Times New Roman" w:cs="Times New Roman"/>
                <w:color w:val="000000"/>
                <w:lang w:val="en-US" w:eastAsia="de-CH"/>
              </w:rPr>
              <w:instrText>ADDIN CSL_CITATION {"citationItems":[{"id":"ITEM-1","itemData":{"DOI":"10.1093/geront/gnx136","ISSN":"17585341","PMID":"28958082","abstract":"Background and Objectives To determine whether a multicomponent, individually tailored intervention to promote physical activity (PA) enhances life-space (LS) utilization in nursing home (NH) residents and whether intervention effects can be sustained at follow-up after continuation of the program as part of institutional daily routines. Research Design and Methods Pre-post-assessed controlled trial in two highly similar NHs with a 3month follow-up in 143 NH residents (intervention group: n = 78; control group: n = 65) and LS as primary outcome. The PA promoting intervention consisted of several components (group sessions; individual exercise; serious games training; competence training for staff) tailored to residents' individual functional capacity. LS was innovatively assessed via an indoor wireless sensor network including three assessment-specific LS parameters: overall LS score (LSSc), time spent away from the private room (TAFR), and the maximally distal zone from private room visited (MaxZ). To exploit the available intervention-control comparative data in the best way possible, a generalized linear mixed model approach was applied. Results At post-test, intervention participants had a significantly higher overall LSSc, spent more TAFR, and had extended their MaxZ as compared to controls. At follow-up, a significant group difference remained for MaxZ. Discussion and Implications A PA intervention in the NH setting impacts on LS utilization as measured using sensor-based assessment. The program has proven its practical sustainability when being handed over to NH personnel for continuation in daily practice. Further research is needed to determine whether an increase in LS utilization also impacts on social participation and quality of life.","author":[{"dropping-particle":"","family":"Jansen","given":"Carl Philipp","non-dropping-particle":"","parse-names":false,"suffix":""},{"dropping-particle":"","family":"Diegelmann","given":"Mona","non-dropping-particle":"","parse-names":false,"suffix":""},{"dropping-particle":"","family":"Schilling","given":"Oliver K.","non-dropping-particle":"","parse-names":false,"suffix":""},{"dropping-particle":"","family":"Werner","given":"Christian","non-dropping-particle":"","parse-names":false,"suffix":""},{"dropping-particle":"","family":"Schnabel","given":"Eva Luisa","non-dropping-particle":"","parse-names":false,"suffix":""},{"dropping-particle":"","family":"Wahl","given":"Hans Werner","non-dropping-particle":"","parse-names":false,"suffix":""},{"dropping-particle":"","family":"Hauer","given":"Klaus","non-dropping-particle":"","parse-names":false,"suffix":""}],"container-title":"Gerontologist","id":"ITEM-1","issue":"5","issued":{"date-parts":[["2018"]]},"page":"979-988","title":"Pushing the Boundaries: A Physical Activity Intervention Extends Sensor-Assessed Life-Space in Nursing Home Residents","type":"article-journal","volume":"58"},"uris":["http://www.mendeley.com/documents/?uuid=e6230385-6745-49ce-a704-52dbf97152e4"]}],"mendeley":{"formattedCitation":"[16]","plainTextFormattedCitation":"[16]","previouslyFormattedCitation":"[16]"},"properties":{"noteIndex":0},"schema":"https://github.com/citation-style-language/schema/raw/master/csl-citation.json"}</w:instrText>
            </w:r>
            <w:r>
              <w:rPr>
                <w:rFonts w:ascii="Times New Roman" w:eastAsia="Times New Roman" w:hAnsi="Times New Roman" w:cs="Times New Roman"/>
                <w:color w:val="000000"/>
                <w:lang w:val="en-US" w:eastAsia="de-CH"/>
              </w:rPr>
              <w:fldChar w:fldCharType="separate"/>
            </w:r>
            <w:r w:rsidR="001F4F7D" w:rsidRPr="001F4F7D">
              <w:rPr>
                <w:rFonts w:ascii="Times New Roman" w:eastAsia="Times New Roman" w:hAnsi="Times New Roman" w:cs="Times New Roman"/>
                <w:noProof/>
                <w:color w:val="000000"/>
                <w:lang w:val="en-US" w:eastAsia="de-CH"/>
              </w:rPr>
              <w:t>[16]</w:t>
            </w:r>
            <w:r>
              <w:rPr>
                <w:rFonts w:ascii="Times New Roman" w:eastAsia="Times New Roman" w:hAnsi="Times New Roman" w:cs="Times New Roman"/>
                <w:color w:val="000000"/>
                <w:lang w:val="en-US" w:eastAsia="de-CH"/>
              </w:rPr>
              <w:fldChar w:fldCharType="end"/>
            </w:r>
          </w:p>
        </w:tc>
        <w:tc>
          <w:tcPr>
            <w:tcW w:w="737" w:type="dxa"/>
            <w:noWrap/>
          </w:tcPr>
          <w:p w14:paraId="793090FB" w14:textId="651E88C1" w:rsidR="00DC0CD4" w:rsidRPr="00B41419" w:rsidRDefault="00DC0CD4"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5736F1BB" w14:textId="5C51EA9F"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w:t>
            </w:r>
            <w:r w:rsidR="00DC0CD4">
              <w:rPr>
                <w:rFonts w:ascii="Times New Roman" w:eastAsia="Times New Roman" w:hAnsi="Times New Roman" w:cs="Times New Roman"/>
                <w:color w:val="000000"/>
                <w:lang w:val="en-US" w:eastAsia="de-CH"/>
              </w:rPr>
              <w:t>o</w:t>
            </w:r>
          </w:p>
        </w:tc>
        <w:tc>
          <w:tcPr>
            <w:tcW w:w="737" w:type="dxa"/>
            <w:noWrap/>
          </w:tcPr>
          <w:p w14:paraId="71E47935" w14:textId="16E6B782" w:rsidR="00DC0CD4" w:rsidRPr="00B41419" w:rsidRDefault="00DC0CD4"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650AE422" w14:textId="1D366151" w:rsidR="00DC0CD4" w:rsidRPr="00B41419" w:rsidRDefault="00DC0CD4"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NA</w:t>
            </w:r>
          </w:p>
        </w:tc>
        <w:tc>
          <w:tcPr>
            <w:tcW w:w="737" w:type="dxa"/>
            <w:noWrap/>
          </w:tcPr>
          <w:p w14:paraId="6DDECC2F" w14:textId="179BB2D8" w:rsidR="00DC0CD4" w:rsidRPr="00B41419" w:rsidRDefault="00DC0CD4"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NR</w:t>
            </w:r>
          </w:p>
        </w:tc>
        <w:tc>
          <w:tcPr>
            <w:tcW w:w="737" w:type="dxa"/>
            <w:noWrap/>
          </w:tcPr>
          <w:p w14:paraId="174C0D21" w14:textId="5F3EE4FD" w:rsidR="00DC0CD4" w:rsidRPr="00B41419" w:rsidRDefault="00DC0CD4"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5BA06DBF" w14:textId="1BE27794"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349F3285" w14:textId="6AAD7442"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5A61F500" w14:textId="3A8F1C6F"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7B00F549" w14:textId="5CA454A2"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NR</w:t>
            </w:r>
          </w:p>
        </w:tc>
        <w:tc>
          <w:tcPr>
            <w:tcW w:w="737" w:type="dxa"/>
            <w:noWrap/>
          </w:tcPr>
          <w:p w14:paraId="6ECEEE1F" w14:textId="23B245FE"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13921E2A" w14:textId="402CA7E4"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679BF152" w14:textId="2A572566"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6485BC3D" w14:textId="28DC26B1"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8" w:type="dxa"/>
            <w:noWrap/>
          </w:tcPr>
          <w:p w14:paraId="79936E1D" w14:textId="0E7CC00A"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7</w:t>
            </w:r>
          </w:p>
        </w:tc>
        <w:tc>
          <w:tcPr>
            <w:tcW w:w="1701" w:type="dxa"/>
            <w:noWrap/>
          </w:tcPr>
          <w:p w14:paraId="27F43557" w14:textId="4E4BB1CD" w:rsidR="00DC0CD4" w:rsidRPr="00B41419" w:rsidRDefault="001F4F7D"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Fair</w:t>
            </w:r>
          </w:p>
        </w:tc>
      </w:tr>
      <w:tr w:rsidR="00CF69B7" w:rsidRPr="007C7921" w14:paraId="58373A0C" w14:textId="77777777" w:rsidTr="00E9231F">
        <w:trPr>
          <w:trHeight w:val="283"/>
        </w:trPr>
        <w:tc>
          <w:tcPr>
            <w:tcW w:w="2552" w:type="dxa"/>
            <w:noWrap/>
            <w:hideMark/>
          </w:tcPr>
          <w:p w14:paraId="7C4D5A79" w14:textId="7A98D7A4"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Kamga et al. (2017)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{"citationItems":[{"id":"ITEM-1","itemData":{"DOI":"10.1111/ceo.12890","ISSN":"1442-9071 (Electronic)","PMID":"27928888","abstract":"BACKGROUND: Depression is very common in people with age-related eye disease. Our  goal was to determine if self-care tools plus limited telephone support could reduce depressive symptoms in patients with age-related macular degeneration or diabetic retinopathy. DESIGN: A single-blind randomized controlled clinical trial was conducted at Maisonneuve-Rosemont Hospital in Montreal, Canada. PARTICIPANTS: Eighty participants were recruited. METHODS: To be eligible, participants must have had either late stage age-related macular degeneration or diabetic retinopathy, at least mild depressive symptoms, and visual acuity better than 20/200. Half were randomized to the intervention arm and half to delayed intervention/usual care. The intervention consisted of large print written and audio tools incorporating cognitive-behavioral principles plus three 10-minute telephone calls from a lay coach. Eight-week follow-up data were collected by telephone. MAIN OUTCOME MEASURES: The primary outcome was the 8-week change in depressive symptoms as measured by the Patient Health Questionnaire-9. Secondary outcomes included anxiety, life space and self-efficacy. RESULTS: The baseline mean logMAR visual acuity was 0.37 (SD = 0.20), and the baseline mean Patient Health Questionnaire-9 score was 9.5 (SD = 3.9) indicating moderate depressive symptoms. After adjusting for baseline imbalances in visual acuity, the intervention reduced depressive symptoms by 2.1 points more than usual care (P = 0.040). The intervention was not associated with the secondary outcomes (P &gt; 0.05). CONCLUSIONS: Self-care tools plus telephone coaching led to a modest improvement in depressive symptoms in patients with age-related eye disease. Additional research on how to maximize their effect is necessary.","author":[{"dropping-particle":"","family":"Kamga","given":"Hortence","non-dropping-particle":"","parse-names":false,"suffix":""},{"dropping-particle":"","family":"McCusker","given":"Jane","non-dropping-particle":"","parse-names":false,"suffix":""},{"dropping-particle":"","family":"Yaffe","given":"Mark","non-dropping-particle":"","parse-names":false,"suffix":""},{"dropping-particle":"","family":"Sewitch","given":"Maida","non-dropping-particle":"","parse-names":false,"suffix":""},{"dropping-particle":"","family":"Sussman","given":"Tamara","non-dropping-particle":"","parse-names":false,"suffix":""},{"dropping-particle":"","family":"Strumpf","given":"Erin","non-dropping-particle":"","parse-names":false,"suffix":""},{"dropping-particle":"","family":"Olivier","given":"Sébastien","non-dropping-particle":"","parse-names":false,"suffix":""},{"dropping-particle":"","family":"Wittich","given":"Walter","non-dropping-particle":"","parse-names":false,"suffix":""},{"dropping-particle":"","family":"Moghadaszadeh","given":"Solmaz","non-dropping-particle":"","parse-names":false,"suffix":""},{"dropping-particle":"","family":"Freeman","given":"Ellen E.","non-dropping-particle":"","parse-names":false,"suffix":""}],"container-title":"Clinical &amp; experimental ophthalmology","id":"ITEM-1","issue":"4","issued":{"date-parts":[["2017","5"]]},"language":"eng","page":"371-378","publisher-place":"Australia","title":"Self-care tools to treat depressive symptoms in patients with age-related eye  disease: a randomized controlled clinical trial.","type":"article-journal","volume":"45"},"uris":["http://www.mendeley.com/documents/?uuid=5c9bef14-f819-40dd-a3de-0109deee8c6e"]}],"mendeley":{"formattedCitation":"[17]","plainTextFormattedCitation":"[17]","previouslyFormattedCitation":"[17]"},"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[17]</w:t>
            </w:r>
            <w:r w:rsidR="00CF69B7">
              <w:rPr>
                <w:rFonts w:ascii="Times New Roman" w:eastAsia="Times New Roman" w:hAnsi="Times New Roman" w:cs="Times New Roman"/>
                <w:color w:val="000000"/>
                <w:lang w:val="en-US" w:eastAsia="de-CH"/>
              </w:rPr>
              <w:fldChar w:fldCharType="end"/>
            </w:r>
          </w:p>
        </w:tc>
        <w:tc>
          <w:tcPr>
            <w:tcW w:w="737" w:type="dxa"/>
            <w:noWrap/>
            <w:hideMark/>
          </w:tcPr>
          <w:p w14:paraId="3E94E10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08A646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83A6B2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42CB55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0234C69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DB31A0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AFA0E2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5FCF07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3A0DA7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5CEA090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19685C4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3A905B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64DAD0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CF3B41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6C4FD7C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w:t>
            </w:r>
          </w:p>
        </w:tc>
        <w:tc>
          <w:tcPr>
            <w:tcW w:w="1701" w:type="dxa"/>
            <w:noWrap/>
            <w:hideMark/>
          </w:tcPr>
          <w:p w14:paraId="4E16B55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7C7921" w14:paraId="1561CF80" w14:textId="77777777" w:rsidTr="00E9231F">
        <w:trPr>
          <w:trHeight w:val="283"/>
        </w:trPr>
        <w:tc>
          <w:tcPr>
            <w:tcW w:w="2552" w:type="dxa"/>
            <w:noWrap/>
            <w:hideMark/>
          </w:tcPr>
          <w:p w14:paraId="59BAB2BA" w14:textId="07065A33"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Liddle et al. (2014)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{"citationItems":[{"id":"ITEM-1","itemData":{"DOI":"10.1093/geront/gnt019","ISSN":"0016-9013","PMID":"23512770","abstract":"Objectives: The UQDRIVE program, a group education and support program,\nwas developed to meet the needs associated with driving cessation for\nolder adults. The current study investigated the effect of the program\non community mobility. Design and Methods: A prospective, parallel,\nstratified randomized controlled trial was undertaken with a waitlist\ncontrol group receiving current clinical practice (no intervention).\nData were collected pre, post, and 3 months following the intervention.\nParticipants were adults aged 60 years or older who had ceased driving\nor planned to cease driving within 12 months. Results: A total of 131\nparticipants were included in analyses (67 intervention, 64 control).\nParticipating in the intervention was significantly associated with a\nhigher number of episodes away from home per week at immediately\npostintervention (z = 2.56, p = .01). This was not significantly\nmaintained at 3-month follow-up. Participation in the intervention also\nsignificantly predicted higher use of public transport at immediately\npostintervention (z = 2.12, p = .034), higher use of walking at\nimmediately postintervention (z = 2.69, p = .007), increased aspects of\ncommunity mobility self-efficacy (z = 3.81, p = .0001), and higher\nsatisfaction with transport at 3-month follow-up (z = 2.07, p = .038).\nImplications: The program increased community mobility immediately\npostintervention and transport satisfaction at 3 months\npostintervention. Due to a high attrition rate, further research is\nrequired to clarify the long-term impact of the intervention.","author":[{"dropping-particle":"","family":"Liddle","given":"Jacki","non-dropping-particle":"","parse-names":false,"suffix":""},{"dropping-particle":"","family":"Haynes","given":"Michele","non-dropping-particle":"","parse-names":false,"suffix":""},{"dropping-particle":"","family":"Pachana","given":"Nancy A.","non-dropping-particle":"","parse-names":false,"suffix":""},{"dropping-particle":"","family":"Mitchell","given":"Geoffrey","non-dropping-particle":"","parse-names":false,"suffix":""},{"dropping-particle":"","family":"McKenna","given":"Kryss","non-dropping-particle":"","parse-names":false,"suffix":""},{"dropping-particle":"","family":"Gustafsson","given":"Louise","non-dropping-particle":"","parse-names":false,"suffix":""}],"container-title":"GERONTOLOGIST","id":"ITEM-1","issue":"3","issued":{"date-parts":[["2014","6"]]},"page":"409-422","publisher":"OXFORD UNIV PRESS INC","publisher-place":"JOURNALS DEPT, 2001 EVANS RD, CARY, NC 27513 USA","title":"Effect of a Group Intervention to Promote Older Adults' Adjustment to Driving Cessation on Community Mobility: A Randomized Controlled Trial","type":"article-journal","volume":"54"},"uris":["http://www.mendeley.com/documents/?uuid=f4aeec50-afd8-4d51-a044-8daf8422f4fb"]}],"mendeley":{"formattedCitation":"[18]","plainTextFormattedCitation":"[18]","previouslyFormattedCitation":"[18]"},"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[18]</w:t>
            </w:r>
            <w:r w:rsidR="00CF69B7">
              <w:rPr>
                <w:rFonts w:ascii="Times New Roman" w:eastAsia="Times New Roman" w:hAnsi="Times New Roman" w:cs="Times New Roman"/>
                <w:color w:val="000000"/>
                <w:lang w:val="en-US" w:eastAsia="de-CH"/>
              </w:rPr>
              <w:fldChar w:fldCharType="end"/>
            </w:r>
          </w:p>
        </w:tc>
        <w:tc>
          <w:tcPr>
            <w:tcW w:w="737" w:type="dxa"/>
            <w:noWrap/>
            <w:hideMark/>
          </w:tcPr>
          <w:p w14:paraId="6A6777A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E65A1E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C00CDC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5E3CB6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0EFEDC0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24CA9F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220B73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2C211D4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D6C3EE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0CB4DF4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11E79B9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yes/no</w:t>
            </w:r>
          </w:p>
        </w:tc>
        <w:tc>
          <w:tcPr>
            <w:tcW w:w="737" w:type="dxa"/>
            <w:noWrap/>
            <w:hideMark/>
          </w:tcPr>
          <w:p w14:paraId="7D47B02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yes/no</w:t>
            </w:r>
          </w:p>
        </w:tc>
        <w:tc>
          <w:tcPr>
            <w:tcW w:w="737" w:type="dxa"/>
            <w:noWrap/>
            <w:hideMark/>
          </w:tcPr>
          <w:p w14:paraId="423F093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07514C7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54F0122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8</w:t>
            </w:r>
          </w:p>
        </w:tc>
        <w:tc>
          <w:tcPr>
            <w:tcW w:w="1701" w:type="dxa"/>
            <w:noWrap/>
            <w:hideMark/>
          </w:tcPr>
          <w:p w14:paraId="18F54B9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Fair</w:t>
            </w:r>
          </w:p>
        </w:tc>
      </w:tr>
      <w:tr w:rsidR="00CF69B7" w:rsidRPr="007C7921" w14:paraId="506503A4" w14:textId="77777777" w:rsidTr="00E9231F">
        <w:trPr>
          <w:trHeight w:val="283"/>
        </w:trPr>
        <w:tc>
          <w:tcPr>
            <w:tcW w:w="2552" w:type="dxa"/>
            <w:noWrap/>
            <w:hideMark/>
          </w:tcPr>
          <w:p w14:paraId="64622DB3" w14:textId="4C0EE6E5"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Liu et al. (2021)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{"citationItems":[{"id":"ITEM-1","itemData":{"DOI":"10.1111/jgs.16808","ISSN":"1532-5415 (Electronic)","PMID":"32951215","abstract":"OBJECTIVES: To evaluate the effects of a home-based disability prevention program on  life-space and falls efficacy among low-income older adults. DESIGN: Single-blind two-arm randomized controlled trial. SETTING: Participants' homes. PARTICIPANTS: Participants were low-income cognitively intact older adults (≥65 years old) with restricted daily activities. Our analytic sample for life-space (n = 194) and falls efficacy (n = 233) varied as the life-space measure was introduced 4 months after the trial began. INTERVENTION: Up to six 1-hour home visits with an occupational therapist; up to four 1-hour home visits with a registered nurse; and up to $1,300 worth of home repairs, modifications, and assistive devices with a handyman, during a course of 4 months. MEASUREMENTS: Life-space was measured by the Homebound Mobility Assessment; falls efficacy was measured using the 10-item Tinetti Falls Efficacy Scale at baseline and 5 months. RESULTS: Participants were on average 75 years old, predominantly Black (86%) and female (85%-86%). Compared with participants in the control group, participants receiving the intervention were more likely to have improved versus decreased life-space in areas of bathroom (adjusted odds ratio (OR) = 3.95; 95% confidence interval (CI) = 1.20-12.97), front or back porch, patio, or deck (adjusted OR = 2.67; 95% CI = 1.05-6.79), stairs (adjusted OR = 4.09; 95% CI = 1.34-12.48), leaving the house for any reason other than for health care (adjusted OR = 2.40; 95% CI = 1.01-5.73), and overall life-space (adjusted OR = 2.15; 95% CI = 1.10-4.19). Participants who received the intervention also had an 11% improvement in falls efficacy in performing daily activities (exponentiated coefficient = 1.12; 95% CI = 1.04-1.21). CONCLUSION: Life-space and falls efficacy were improved through a multicomponent, person-directed, home-based disability prevention intervention. Findings suggest that this intervention should be translated into different settings to promote independent aging.","author":[{"dropping-particle":"","family":"Liu","given":"Minhui","non-dropping-particle":"","parse-names":false,"suffix":""},{"dropping-particle":"","family":"Xue","given":"Qian-Li Li","non-dropping-particle":"","parse-names":false,"suffix":""},{"dropping-particle":"","family":"Gitlin","given":"Laura N.","non-dropping-particle":"","parse-names":false,"suffix":""},{"dropping-particle":"","family":"Wolff","given":"Jennifer L.","non-dropping-particle":"","parse-names":false,"suffix":""},{"dropping-particle":"","family":"Guralnik","given":"Jack","non-dropping-particle":"","parse-names":false,"suffix":""},{"dropping-particle":"","family":"Leff","given":"Bruce","non-dropping-particle":"","parse-names":false,"suffix":""},{"dropping-particle":"","family":"Szanton","given":"Sarah L.","non-dropping-particle":"","parse-names":false,"suffix":""}],"container-title":"Journal of the American Geriatrics Society","id":"ITEM-1","issue":"1","issued":{"date-parts":[["2021","1"]]},"language":"eng","page":"85-90","publisher-place":"United States","title":"Disability Prevention Program Improves Life-Space and Falls Efficacy: A Randomized  Controlled Trial.","type":"article-journal","volume":"69"},"uris":["http://www.mendeley.com/documents/?uuid=5341b362-2ece-465d-b725-208d6e57e611"]}],"mendeley":{"formattedCitation":"[19]","plainTextFormattedCitation":"[19]","previouslyFormattedCitation":"[19]"},"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[19]</w:t>
            </w:r>
            <w:r w:rsidR="00CF69B7">
              <w:rPr>
                <w:rFonts w:ascii="Times New Roman" w:eastAsia="Times New Roman" w:hAnsi="Times New Roman" w:cs="Times New Roman"/>
                <w:color w:val="000000"/>
                <w:lang w:val="en-US" w:eastAsia="de-CH"/>
              </w:rPr>
              <w:fldChar w:fldCharType="end"/>
            </w:r>
          </w:p>
        </w:tc>
        <w:tc>
          <w:tcPr>
            <w:tcW w:w="737" w:type="dxa"/>
            <w:noWrap/>
            <w:hideMark/>
          </w:tcPr>
          <w:p w14:paraId="258021D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F9E171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EE8576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26DA49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634F379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113E7A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3A9F48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4A171F1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7410575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31F4C32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15F0BCA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4F82906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5EE9FC8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188D93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0A01486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5</w:t>
            </w:r>
          </w:p>
        </w:tc>
        <w:tc>
          <w:tcPr>
            <w:tcW w:w="1701" w:type="dxa"/>
            <w:noWrap/>
            <w:hideMark/>
          </w:tcPr>
          <w:p w14:paraId="6E4461B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Low</w:t>
            </w:r>
          </w:p>
        </w:tc>
      </w:tr>
      <w:tr w:rsidR="00CF69B7" w:rsidRPr="007C7921" w14:paraId="42338430" w14:textId="77777777" w:rsidTr="00E9231F">
        <w:trPr>
          <w:trHeight w:val="283"/>
        </w:trPr>
        <w:tc>
          <w:tcPr>
            <w:tcW w:w="2552" w:type="dxa"/>
            <w:noWrap/>
            <w:hideMark/>
          </w:tcPr>
          <w:p w14:paraId="4E498EE8" w14:textId="78BD7C33" w:rsidR="00CF69B7" w:rsidRDefault="00D05814" w:rsidP="00E9231F">
            <w:pPr>
              <w:spacing w:after="0" w:line="480" w:lineRule="auto"/>
              <w:rPr>
                <w:rFonts w:ascii="Times New Roman" w:eastAsia="Times New Roman" w:hAnsi="Times New Roman" w:cs="Times New Roman"/>
                <w:color w:val="000000"/>
                <w:lang w:val="en-US" w:eastAsia="de-CH"/>
              </w:rPr>
            </w:pPr>
            <w:proofErr w:type="spellStart"/>
            <w:r>
              <w:rPr>
                <w:rFonts w:ascii="Times New Roman" w:eastAsia="Times New Roman" w:hAnsi="Times New Roman" w:cs="Times New Roman"/>
                <w:color w:val="000000"/>
                <w:lang w:val="en-US" w:eastAsia="de-CH"/>
              </w:rPr>
              <w:t>Makizako</w:t>
            </w:r>
            <w:proofErr w:type="spellEnd"/>
            <w:r>
              <w:rPr>
                <w:rFonts w:ascii="Times New Roman" w:eastAsia="Times New Roman" w:hAnsi="Times New Roman" w:cs="Times New Roman"/>
                <w:color w:val="000000"/>
                <w:lang w:val="en-US" w:eastAsia="de-CH"/>
              </w:rPr>
              <w:t xml:space="preserve"> et al. (2019)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{"citationItems":[{"id":"ITEM-1","itemData":{"DOI":"10.3390/jcm9010099","ISSN":"2077-0383 (Print)","PMID":"31906021","abstract":"Depressive symptoms and memory problems are risk factors for dementia. Exercise can  reduce these in older people, and horticultural activity can benefit people with dementia. This study assessed the efficacy of exercise and horticultural interventions for community-dwelling older adults with depressive symptoms and mild memory decline. In this randomized controlled trial, older adults (n = 89) were assigned to exercise, horticultural, or control groups. Exercise and horticultural programs included 20 weekly 90-minute sessions. The control group attended two 90-minute classes. Outcomes were assessed at baseline, and then 6- and 12-months post-intervention. Primary outcome measures were the Geriatric Depression Scale-15 (GDS-15) and Wechsler Memory Scale-Revised. Walking speed, two-minute walking test scores, social network, life space, and subjective daily physical activity were secondary outcome measures. Compared with the control group, the exercise group obtained higher immediate and delayed recall logical memory scores, and the increase in immediate recall scores remained 12-months post-intervention. Two-minute walking performance improved in the exercise group, but not after 12 months. GDS-15 scores showed no significant improvements. The horticultural and control groups showed no differences. Exercise may improve memory, while horticultural activity may not. The effects of exercise and horticultural interventions on depressive symptoms remain unclear.","author":[{"dropping-particle":"","family":"Makizako","given":"Hyuma","non-dropping-particle":"","parse-names":false,"suffix":""},{"dropping-particle":"","family":"Tsutsumimoto","given":"Kota","non-dropping-particle":"","parse-names":false,"suffix":""},{"dropping-particle":"","family":"Doi","given":"Takehiko","non-dropping-particle":"","parse-names":false,"suffix":""},{"dropping-particle":"","family":"Makino","given":"Keitaro","non-dropping-particle":"","parse-names":false,"suffix":""},{"dropping-particle":"","family":"Nakakubo","given":"Sho","non-dropping-particle":"","parse-names":false,"suffix":""},{"dropping-particle":"","family":"Liu-Ambrose","given":"Teresa","non-dropping-particle":"","parse-names":false,"suffix":""},{"dropping-particle":"","family":"Shimada","given":"Hiroyuki","non-dropping-particle":"","parse-names":false,"suffix":""}],"container-title":"Journal of clinical medicine","id":"ITEM-1","issue":"1","issued":{"date-parts":[["2019","12"]]},"language":"eng","publisher":"MDPI","publisher-place":"ST ALBAN-ANLAGE 66, CH-4052 BASEL, SWITZERLAND","title":"Exercise and Horticultural Programs for Older Adults with Depressive Symptoms and  Memory Problems: A Randomized Controlled Trial.","type":"article-journal","volume":"9"},"uris":["http://www.mendeley.com/documents/?uuid=85f03190-ac7c-497d-a6a2-bbec432086de"]}],"mendeley":{"formattedCitation":"[20]","plainTextFormattedCitation":"[20]","previouslyFormattedCitation":"[20]"},"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[20]</w:t>
            </w:r>
            <w:r w:rsidR="00CF69B7">
              <w:rPr>
                <w:rFonts w:ascii="Times New Roman" w:eastAsia="Times New Roman" w:hAnsi="Times New Roman" w:cs="Times New Roman"/>
                <w:color w:val="000000"/>
                <w:lang w:val="en-US" w:eastAsia="de-CH"/>
              </w:rPr>
              <w:fldChar w:fldCharType="end"/>
            </w:r>
          </w:p>
          <w:p w14:paraId="76FC3C6F" w14:textId="77777777" w:rsidR="00CF69B7" w:rsidRPr="00B41419" w:rsidRDefault="00CF69B7" w:rsidP="00E9231F">
            <w:pPr>
              <w:spacing w:after="0" w:line="480" w:lineRule="auto"/>
              <w:rPr>
                <w:rFonts w:ascii="Times New Roman" w:eastAsia="Times New Roman" w:hAnsi="Times New Roman" w:cs="Times New Roman"/>
                <w:color w:val="000000"/>
                <w:lang w:val="en-US" w:eastAsia="de-CH"/>
              </w:rPr>
            </w:pPr>
          </w:p>
        </w:tc>
        <w:tc>
          <w:tcPr>
            <w:tcW w:w="737" w:type="dxa"/>
            <w:noWrap/>
            <w:hideMark/>
          </w:tcPr>
          <w:p w14:paraId="45A76C9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2FD462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9791E9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69720D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6ED44C8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18877C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B68426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9C7F78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76EEF6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5E2E64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CAA3EC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A36A56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D74C6E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3FF34E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309D697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12</w:t>
            </w:r>
          </w:p>
        </w:tc>
        <w:tc>
          <w:tcPr>
            <w:tcW w:w="1701" w:type="dxa"/>
            <w:noWrap/>
            <w:hideMark/>
          </w:tcPr>
          <w:p w14:paraId="21E3FB7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7C7921" w14:paraId="4594BBB1" w14:textId="77777777" w:rsidTr="00E9231F">
        <w:trPr>
          <w:trHeight w:val="283"/>
        </w:trPr>
        <w:tc>
          <w:tcPr>
            <w:tcW w:w="2552" w:type="dxa"/>
            <w:noWrap/>
            <w:hideMark/>
          </w:tcPr>
          <w:p w14:paraId="4D62EB7F" w14:textId="7D68C907"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Murabayashi et al. (2019)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{"citationItems":[{"id":"ITEM-1","itemData":{"DOI":"10.1159/000496456","abstract":"Background: Music therapy (MT) may exert beneficial preventive effects\nin frail elderly individuals in psychophysiological health. Objectives:\nOne hundred and fifteen frail elderly individuals (65-89 years old)\nparticipated. Methods: Subjects were randomly divided into 2 groups for\na controlled crossover trial. The MT-first group participated in group\nsessions of 45-50 min conducted by a certified music therapist for 12\nweeks, followed by a 12-week waiting period. The waiting-first group\nparticipated in the reverse order. Cognitive function was assessed by\nthe Verbal Fluency Test (VFT) and Yamaguchi Kanji Symbol Substitution\nTest (YKSST). Physical function was assessed by the Timed Up and Go test\n(TUG). Psychophysical health was assessed by the Geriatric Depression\nScale 15-item version (GDS-15), General Health Questionnaire 12-item\nversion (GHQ-12), Instrumental Activity of Daily Living (IADL) scale,\nand Life Space Assessment (LSA) scale. We also evaluated the outcome of\nMT using the Clinical Global Impressions of Improvement (CGI-I) scale.\nResults: After 12 weeks of MT, significant improvements were observed in\nTUG, GDS-15, and GHQ-12 scores. However, no improvements were noted in\nother scores. CGI-I scores revealed the significant benefits of MT.\nConclusions: MT may improve physical function, depressive mood, and\nquality of life in frail elderly individuals. (C) 2019 The Author(s)\nPublished by S. Karger AG, Basel","author":[{"dropping-particle":"","family":"Murabayashi","given":"Nobuyuki","non-dropping-particle":"","parse-names":false,"suffix":""},{"dropping-particle":"","family":"Akahoshi","given":"Takako","non-dropping-particle":"","parse-names":false,"suffix":""},{"dropping-particle":"","family":"Ishimine","given":"Risa","non-dropping-particle":"","parse-names":false,"suffix":""},{"dropping-particle":"","family":"Saji","given":"Nobuko","non-dropping-particle":"","parse-names":false,"suffix":""},{"dropping-particle":"","family":"Takeda","given":"Chiyomi","non-dropping-particle":"","parse-names":false,"suffix":""},{"dropping-particle":"","family":"Nakayama","given":"Hisako","non-dropping-particle":"","parse-names":false,"suffix":""},{"dropping-particle":"","family":"Noro","given":"Megumi","non-dropping-particle":"","parse-names":false,"suffix":""},{"dropping-particle":"","family":"Fujimoto","given":"Hiroko","non-dropping-particle":"","parse-names":false,"suffix":""},{"dropping-particle":"","family":"Misaki","given":"Megumi","non-dropping-particle":"","parse-names":false,"suffix":""},{"dropping-particle":"","family":"Miyamoto","given":"Keiko","non-dropping-particle":"","parse-names":false,"suffix":""},{"dropping-particle":"","family":"Yamada","given":"Yukiko","non-dropping-particle":"","parse-names":false,"suffix":""},{"dropping-particle":"","family":"Kohya","given":"Itaru","non-dropping-particle":"","parse-names":false,"suffix":""},{"dropping-particle":"","family":"Kondo","given":"Mayu","non-dropping-particle":"","parse-names":false,"suffix":""},{"dropping-particle":"","family":"Yamaguchi","given":"Haruyasu","non-dropping-particle":"","parse-names":false,"suffix":""},{"dropping-particle":"","family":"Sasaki","given":"Daisuke","non-dropping-particle":"","parse-names":false,"suffix":""},{"dropping-particle":"","family":"Murai","given":"Yasuji","non-dropping-particle":"","parse-names":false,"suffix":""}],"container-title":"DEMENTIA AND GERIATRIC COGNITIVE DISORDERS EXTRA","id":"ITEM-1","issue":"1","issued":{"date-parts":[["2019"]]},"page":"87-99","publisher":"KARGER","publisher-place":"ALLSCHWILERSTRASSE 10, CH-4009 BASEL, SWITZERLAND","title":"Effects of Music Therapy in Frail Elderlies: Controlled Crossover Study","type":"article-journal","volume":"9"},"uris":["http://www.mendeley.com/documents/?uuid=1e335d3f-4771-4bc2-91ac-12393bffdceb"]}],"mendeley":{"formattedCitation":"[21]","plainTextFormattedCitation":"[21]","previouslyFormattedCitation":"[21]"},"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[21]</w:t>
            </w:r>
            <w:r w:rsidR="00CF69B7">
              <w:rPr>
                <w:rFonts w:ascii="Times New Roman" w:eastAsia="Times New Roman" w:hAnsi="Times New Roman" w:cs="Times New Roman"/>
                <w:color w:val="000000"/>
                <w:lang w:val="en-US" w:eastAsia="de-CH"/>
              </w:rPr>
              <w:fldChar w:fldCharType="end"/>
            </w:r>
          </w:p>
        </w:tc>
        <w:tc>
          <w:tcPr>
            <w:tcW w:w="737" w:type="dxa"/>
            <w:noWrap/>
            <w:hideMark/>
          </w:tcPr>
          <w:p w14:paraId="66F13A9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F62337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55DFA7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15E2F4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15476E7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0647D6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A2BBF0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B4C79A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FE332F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A27E66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17BEFD1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5006F5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4CBC2C7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A03364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8" w:type="dxa"/>
            <w:noWrap/>
            <w:hideMark/>
          </w:tcPr>
          <w:p w14:paraId="184672E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9</w:t>
            </w:r>
          </w:p>
        </w:tc>
        <w:tc>
          <w:tcPr>
            <w:tcW w:w="1701" w:type="dxa"/>
            <w:noWrap/>
            <w:hideMark/>
          </w:tcPr>
          <w:p w14:paraId="61B3B0D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7C7921" w14:paraId="17814037" w14:textId="77777777" w:rsidTr="00E9231F">
        <w:trPr>
          <w:trHeight w:val="283"/>
        </w:trPr>
        <w:tc>
          <w:tcPr>
            <w:tcW w:w="2552" w:type="dxa"/>
            <w:noWrap/>
            <w:hideMark/>
          </w:tcPr>
          <w:p w14:paraId="75F151FC" w14:textId="14F1263E" w:rsidR="00CF69B7" w:rsidRPr="00B41419" w:rsidRDefault="00D05814" w:rsidP="00E9231F">
            <w:pPr>
              <w:spacing w:after="0" w:line="480" w:lineRule="auto"/>
              <w:rPr>
                <w:rFonts w:ascii="Times New Roman" w:eastAsia="Times New Roman" w:hAnsi="Times New Roman" w:cs="Times New Roman"/>
                <w:color w:val="000000"/>
                <w:lang w:val="en-US" w:eastAsia="de-CH"/>
              </w:rPr>
            </w:pPr>
            <w:proofErr w:type="spellStart"/>
            <w:r>
              <w:rPr>
                <w:rFonts w:ascii="Times New Roman" w:eastAsia="Times New Roman" w:hAnsi="Times New Roman" w:cs="Times New Roman"/>
                <w:color w:val="000000"/>
                <w:lang w:val="en-US" w:eastAsia="de-CH"/>
              </w:rPr>
              <w:t>Siltanen</w:t>
            </w:r>
            <w:proofErr w:type="spellEnd"/>
            <w:r>
              <w:rPr>
                <w:rFonts w:ascii="Times New Roman" w:eastAsia="Times New Roman" w:hAnsi="Times New Roman" w:cs="Times New Roman"/>
                <w:color w:val="000000"/>
                <w:lang w:val="en-US" w:eastAsia="de-CH"/>
              </w:rPr>
              <w:t xml:space="preserve"> et al. (2020)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{"citationItems":[{"id":"ITEM-1","itemData":{"DOI":"10.1177/0898264320924258","ISSN":"1552-6887 (Electronic)","PMID":"32520654","abstract":"Objectives: The aim of this study was to report preplanned secondary analyses of the effects of a 12-month individualized active aging counseling intervention on six mobility and physical activity outcomes. Methods: A two-arm, single-blinded randomized controlled trial was conducted among 75- and 80-year-old community-dwelling people. The intervention group (IG, n = 101) received counseling aimed at increasing self-selected, primarily out-of-home activity. The control group (CG, n = 103) received general health information. Data were analyzed with generalized estimating equations. Results: Physical performance improved in the IG more than that in the CG (group by time p = .022), self-reported physical activity increased in both groups (time p = .012), and autonomy in outdoor mobility declined in the IG and was enhanced in the CG (group by time p = .011). No change was observed for life-space mobility, proportion of persons perceiving difficulty walking 2 km, or monitored physical activity. Discussion: Individualized counseling aiming at increasing self-selected out-of-home activity had nonsystematic effects on mobility and positively affected physical performance only.","author":[{"dropping-particle":"","family":"Siltanen","given":"Sini","non-dropping-particle":"","parse-names":false,"suffix":""},{"dropping-particle":"","family":"Portegijs","given":"Erja","non-dropping-particle":"","parse-names":false,"suffix":""},{"dropping-particle":"","family":"Pynnö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dropping-particle":"","family":"Pynno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dropping-particle":"","family":"Pynnönen","given":"Katja","non-dropping-particle":"","parse-names":false,"suffix":""},{"dropping-particle":"","family":"Hassandra","given":"Mary","non-dropping-particle":"","parse-names":false,"suffix":""},{"dropping-particle":"","family":"Rantalainen","given":"Timo","non-dropping-particle":"","parse-names":false,"suffix":""},{"dropping-particle":"","family":"Karavirta","given":"Laura","non-dropping-particle":"","parse-names":false,"suffix":""},{"dropping-particle":"","family":"Saajanaho","given":"Milla J","non-dropping-particle":"","parse-names":false,"suffix":""},{"dropping-particle":"","family":"Rantanen","given":"Taina","non-dropping-particle":"","parse-names":false,"suffix":""}],"container-title":"Journal of aging and health","id":"ITEM-1","issue":"10","issued":{"date-parts":[["2020","12"]]},"language":"eng","page":"1316-1324","publisher-place":"United States","title":"Effects of an Individualized Active Aging Counseling Intervention on Mobility and Physical Activity: Secondary Analyses of a Randomized Controlled Trial.","type":"article-journal","volume":"32"},"uris":["http://www.mendeley.com/documents/?uuid=0f034592-09e4-4ea1-aa7a-7361fa6ff9f6"]}],"mendeley":{"formattedCitation":"[22]","plainTextFormattedCitation":"[22]","previouslyFormattedCitation":"[22]"},"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[22]</w:t>
            </w:r>
            <w:r w:rsidR="00CF69B7">
              <w:rPr>
                <w:rFonts w:ascii="Times New Roman" w:eastAsia="Times New Roman" w:hAnsi="Times New Roman" w:cs="Times New Roman"/>
                <w:color w:val="000000"/>
                <w:lang w:val="en-US" w:eastAsia="de-CH"/>
              </w:rPr>
              <w:fldChar w:fldCharType="end"/>
            </w:r>
          </w:p>
        </w:tc>
        <w:tc>
          <w:tcPr>
            <w:tcW w:w="737" w:type="dxa"/>
            <w:noWrap/>
            <w:hideMark/>
          </w:tcPr>
          <w:p w14:paraId="45E324D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608FBF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1B7CF0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38D5F1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718697C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37988A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87B728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2E4E64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2621D5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590D32C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A61ECC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9C4C0F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1C2BB28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36D978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2E59DFE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w:t>
            </w:r>
          </w:p>
        </w:tc>
        <w:tc>
          <w:tcPr>
            <w:tcW w:w="1701" w:type="dxa"/>
            <w:noWrap/>
            <w:hideMark/>
          </w:tcPr>
          <w:p w14:paraId="48EF183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D05814" w14:paraId="64AFCD55" w14:textId="77777777" w:rsidTr="00E9231F">
        <w:trPr>
          <w:trHeight w:val="283"/>
        </w:trPr>
        <w:tc>
          <w:tcPr>
            <w:tcW w:w="2552" w:type="dxa"/>
            <w:noWrap/>
            <w:hideMark/>
          </w:tcPr>
          <w:p w14:paraId="54893AF9" w14:textId="4C7A50EE"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Swan et al. (2019)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{"citationItems":[{"id":"ITEM-1","itemData":{"DOI":"10.1016/j.jpainsymman.2019.02.017","ISSN":"1873-6513 (Electronic)","PMID":"30802635","abstract":"CONTEXT: The battery-operated hand-held fan (\"fan\") and the Calming Hand (CH), a  cognitive strategy, are interventions used in clinical practice to relieve chronic breathlessness. OBJECTIVE: To test the feasibility of a Phase III randomized controlled trial (RCT) evaluating the impact of the fan and/or CH compared with exercise advice alone for the relief of chronic breathlessness due to respiratory conditions. METHODS: A single-site, feasibility \"2 × 2\" factorial, nonblinded, mixed-methods RCT was performed. Participants randomly allocated to four groups: fan + exercise advice, CH + exercise advice, fan + CH + exercise advice, and exercise advice alone. Measures included recruitment, acceptability, data quality and study outcomes (baseline and day 28), modified Incremental Shuttle Walk Test (mISWT), recovery time from exertion-induced breathlessness, life-space questionnaire, General Self-Efficacy Scale, and breathlessness numerical rating scales. Willing participants and carers were interviewed at study end. RESULTS: Recruitment/acceptability/data completion: 53 people were screened, 40 randomized and completed (mean age 72 years (SD 9.8), 70% male). There were few missing data (mISWT, n = 2). Recovery time (seconds) from exertion-induced breathlessness showed most improvement for the fan; mean reduction from baseline -33.5 vs. CH mean increase from baseline 5.7. This represents a recovery speed at day 28 (-20.4%) faster for the fan vs. 4.1% slower for the CH. Qualitative data indicated participants valued the faster recovery and identified the fan as a useful \"medical\" device but found the CH unhelpful. CONCLUSION: A Phase III RCT is feasible. Mixed-methods data synthesis supports recovery time as a novel, meaningful outcome measure.","author":[{"dropping-particle":"","family":"Swan","given":"Flavia","non-dropping-particle":"","parse-names":false,"suffix":""},{"dropping-particle":"","family":"English","given":"Anne","non-dropping-particle":"","parse-names":false,"suffix":""},{"dropping-particle":"","family":"Allgar","given":"Victoria","non-dropping-particle":"","parse-names":false,"suffix":""},{"dropping-particle":"","family":"Hart","given":"Simon P","non-dropping-particle":"","parse-names":false,"suffix":""},{"dropping-particle":"","family":"Johnson","given":"Miriam J","non-dropping-particle":"","parse-names":false,"suffix":""}],"container-title":"Journal of pain and symptom management","id":"ITEM-1","issue":"6","issued":{"date-parts":[["2019","6"]]},"language":"eng","page":"1051-1061.e1","publisher-place":"United States","title":"The Hand-Held Fan and the Calming Hand for People With Chronic Breathlessness: A  Feasibility Trial.","type":"article-journal","volume":"57"},"uris":["http://www.mendeley.com/documents/?uuid=09e516d8-4ac6-4c2c-ae30-28edafab3f9d"]}],"mendeley":{"formattedCitation":"[23]","plainTextFormattedCitation":"[23]","previouslyFormattedCitation":"[23]"},"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[23]</w:t>
            </w:r>
            <w:r w:rsidR="00CF69B7">
              <w:rPr>
                <w:rFonts w:ascii="Times New Roman" w:eastAsia="Times New Roman" w:hAnsi="Times New Roman" w:cs="Times New Roman"/>
                <w:color w:val="000000"/>
                <w:lang w:val="en-US" w:eastAsia="de-CH"/>
              </w:rPr>
              <w:fldChar w:fldCharType="end"/>
            </w:r>
          </w:p>
        </w:tc>
        <w:tc>
          <w:tcPr>
            <w:tcW w:w="737" w:type="dxa"/>
            <w:noWrap/>
            <w:hideMark/>
          </w:tcPr>
          <w:p w14:paraId="2FA836C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3494AD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DC964A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2269A1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1DF1DB7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627C404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3BB373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50430FA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37BB5F9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A4FF8D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590AB5D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AEEA92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00DB67C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C2807E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26C3993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8</w:t>
            </w:r>
          </w:p>
        </w:tc>
        <w:tc>
          <w:tcPr>
            <w:tcW w:w="1701" w:type="dxa"/>
            <w:noWrap/>
            <w:hideMark/>
          </w:tcPr>
          <w:p w14:paraId="38D87FE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Fair</w:t>
            </w:r>
          </w:p>
        </w:tc>
      </w:tr>
      <w:tr w:rsidR="00CF69B7" w:rsidRPr="00B41419" w14:paraId="29126E9E" w14:textId="77777777" w:rsidTr="00E9231F">
        <w:trPr>
          <w:trHeight w:val="283"/>
        </w:trPr>
        <w:tc>
          <w:tcPr>
            <w:tcW w:w="2552" w:type="dxa"/>
            <w:noWrap/>
            <w:hideMark/>
          </w:tcPr>
          <w:p w14:paraId="47651EDA" w14:textId="5E78C259"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Tanaka et al. (2021) </w:t>
            </w:r>
            <w:r>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{"citationItems":[{"id":"ITEM-1","itemData":{"DOI":"10.1111/psyg.12627","ISSN":"1479-8301 (Electronic)","PMID":"33140499","abstract":"BACKGROUND: The aim of this study was to assess the effects of group-based motor and  cognitive-combined intervention on social activity and quality of life. METHODS: This quasi-randomised controlled trial included 31 elderly participants with dementia in a geriatric health service facility. Participants were randomly allocated to the intervention group (n = 16) or the control group (n = 15) by stratification of cognitive function. The 8-week intervention program consisted of group exercise and cognitive stimulation twice per week for 45 min per session. Outcome measures were social activity in daily behaviour, cognitive function, apathy, muscle and grip strength, independence of activity of daily living, life-space, and objective quality of life (QOL). RESULTS: Twenty-five participants were analysed (10 in the control group, 15 in the intervention group). Analysis of covariance with covariates of age, gender, and baseline data showed a significant difference in social activity (F = 8.67, P = 0.008; significant decline in control group vs. maintenance in intervention group) and QOL (F = 9.74, P = 0.006; maintenance in control group vs. tendency of improvement in intervention group). A Wilcoxon signed-rank test revealed that helping behaviour (P = 0.035) increased in the intervention group, whereas interest to the surrounding (P = 0.026) decreased in the control group. CONCLUSIONS: Group-based combined intervention for dementia is effective for maintaining social activity and QOL in a geriatric health service facility.","author":[{"dropping-particle":"","family":"Tanaka","given":"Shigeya","non-dropping-particle":"","parse-names":false,"suffix":""},{"dropping-particle":"","family":"Yamagami","given":"Tetsuya","non-dropping-particle":"","parse-names":false,"suffix":""},{"dropping-particle":"","family":"Yamaguchi","given":"Haruyasu","non-dropping-particle":"","parse-names":false,"suffix":""}],"container-title":"Psychogeriatrics : the official journal of the Japanese Psychogeriatric Society","id":"ITEM-1","issue":"1","issued":{"date-parts":[["2021","1"]]},"language":"eng","page":"71-79","publisher-place":"England","title":"Effects of a group-based physical and cognitive intervention on social activity and  quality of life for elderly people with dementia in a geriatric health service facility: a quasi-randomised controlled trial.","type":"article-journal","volume":"21"},"uris":["http://www.mendeley.com/documents/?uuid=a4afddc8-0e9c-4fac-8d1b-63da8e03ac7f"]}],"mendeley":{"formattedCitation":"[24]","plainTextFormattedCitation":"[24]","previouslyFormattedCitation":"[24]"},"properties":{"noteIndex":0},"schema":"https://github.com/citation-style-language/schema/raw/master/csl-citation.json"}</w:instrText>
            </w:r>
            <w:r>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[24]</w:t>
            </w:r>
            <w:r>
              <w:rPr>
                <w:rFonts w:ascii="Times New Roman" w:eastAsia="Times New Roman" w:hAnsi="Times New Roman" w:cs="Times New Roman"/>
                <w:color w:val="000000"/>
                <w:lang w:val="en-US" w:eastAsia="de-CH"/>
              </w:rPr>
              <w:fldChar w:fldCharType="end"/>
            </w:r>
          </w:p>
        </w:tc>
        <w:tc>
          <w:tcPr>
            <w:tcW w:w="737" w:type="dxa"/>
            <w:noWrap/>
            <w:hideMark/>
          </w:tcPr>
          <w:p w14:paraId="0D5D7D6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6A04A4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5E4D932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61131C74"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35376D7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A6EB06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372B1F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12223A4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462399A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EC9806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735054E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BD6C99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7" w:type="dxa"/>
            <w:noWrap/>
            <w:hideMark/>
          </w:tcPr>
          <w:p w14:paraId="2A00500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90B73A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no</w:t>
            </w:r>
          </w:p>
        </w:tc>
        <w:tc>
          <w:tcPr>
            <w:tcW w:w="738" w:type="dxa"/>
            <w:noWrap/>
            <w:hideMark/>
          </w:tcPr>
          <w:p w14:paraId="7761070A"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7</w:t>
            </w:r>
          </w:p>
        </w:tc>
        <w:tc>
          <w:tcPr>
            <w:tcW w:w="1701" w:type="dxa"/>
            <w:noWrap/>
            <w:hideMark/>
          </w:tcPr>
          <w:p w14:paraId="6057F30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Fair</w:t>
            </w:r>
          </w:p>
        </w:tc>
      </w:tr>
      <w:tr w:rsidR="00316926" w:rsidRPr="00B41419" w14:paraId="6211B2EC" w14:textId="77777777" w:rsidTr="00E9231F">
        <w:trPr>
          <w:trHeight w:val="283"/>
        </w:trPr>
        <w:tc>
          <w:tcPr>
            <w:tcW w:w="2552" w:type="dxa"/>
            <w:noWrap/>
          </w:tcPr>
          <w:p w14:paraId="148D5D87" w14:textId="51456F91" w:rsidR="00316926" w:rsidRDefault="00316926"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 xml:space="preserve">Tay et al. (2022) </w:t>
            </w:r>
            <w:r>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{"citationItems":[{"id":"ITEM-1","itemData":{"DOI":"10.3389/fmed.2022.971497","ISSN":"2296858X","abstract":"Background: The differential risk profiles associated with prefrailty may be attributable to underlying intrinsic capacity (IC). Objectives: We examine (i) effect of a multi-domain physical exercise and nutrition intervention on pre-frailty reversal in community-dwelling older adults at 1-year, and (ii) whether IC contributes to pre-frailty reversal. Methods: Prefrail participants in this non-randomized study were invited to attend a 4-month exercise and nutritional intervention following a frailty screen in the community. Prefrailty was operationalized as (i) FRAIL score 1–2 or (ii) 0 positive response on FRAIL but with weak grip strength or slow gait speed based on the Asian Working Group for Sarcopenia cut-offs. Participants who fulfilled operational criteria for prefrailty but declined enrolment in the intervention programme served as the control group. All participants completed baseline IC assessment: locomotion (Short Physical Performance Battery, 6-minute walk test), vitality (nutritional status, muscle mass), sensory (self-reported hearing and vision), cognition (self-reported memory, age- and education adjusted cognitive performance), psychological (Geriatric Depression Scale-15, self-reported anxiety/ depression). Reversal of prefrailty was defined as achieving a FRAIL score of 0, with unimpaired grip strength and gait speed at 1-year follow-up. Results: Of 81 participants (70.0 ± 6.6 years, 79.0% female), 52 participants (64.2%) were enrolled in the multi-domain intervention, and 29 participants (35.8%) who declined intervention constituted the control group. There was no difference in age, gender and baseline composite IC between groups. Reversal to robustness at 1-year was similar between intervention and control groups (30.8% vs. 44.8% respectively, p = 0.206). Reduced prevalence of depression was observed among participants in the intervention group at 1-year relative to baseline (7.8% vs. 23.1%, p = 0.022). In multiple logistic regression, intervention had no effect on prefrailty reversal, while higher composite IC exhibited reduced likelihood of remaining prefrail at 1-year (OR = 0.67, 95% CI 0.45–1.00, p = 0.049). Conclusion: Focusing only on the locomotion and vitality domains through a combined exercise and nutritional intervention may not adequately address component domain losses to optimize prefrailty reversal. Future studies should examine whether an IC-guided approach to target identified domain declines may be more effective i…","author":[{"dropping-particle":"","family":"Tay","given":"Laura","non-dropping-particle":"","parse-names":false,"suffix":""},{"dropping-particle":"","family":"Tay","given":"Ee Ling","non-dropping-particle":"","parse-names":false,"suffix":""},{"dropping-particle":"","family":"Mah","given":"Shi Min","non-dropping-particle":"","parse-names":false,"suffix":""},{"dropping-particle":"","family":"Latib","given":"Aisyah","non-dropping-particle":"","parse-names":false,"suffix":""},{"dropping-particle":"","family":"Ng","given":"Yee Sien","non-dropping-particle":"","parse-names":false,"suffix":""}],"container-title":"Frontiers in Medicine","id":"ITEM-1","issued":{"date-parts":[["2022"]]},"title":"Intrinsic capacity rather than intervention exposure influences reversal to robustness among prefrail community-dwelling older adults: A non-randomized controlled study of a multidomain exercise and nutrition intervention","type":"article-journal","volume":"9"},"uris":["http://www.mendeley.com/documents/?uuid=478524bb-f57b-491f-8619-5914b3e7dae5"]}],"mendeley":{"formattedCitation":"[25]","plainTextFormattedCitation":"[25]","previouslyFormattedCitation":"[25]"},"properties":{"noteIndex":0},"schema":"https://github.com/citation-style-language/schema/raw/master/csl-citation.json"}</w:instrText>
            </w:r>
            <w:r>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[25]</w:t>
            </w:r>
            <w:r>
              <w:rPr>
                <w:rFonts w:ascii="Times New Roman" w:eastAsia="Times New Roman" w:hAnsi="Times New Roman" w:cs="Times New Roman"/>
                <w:color w:val="000000"/>
                <w:lang w:val="en-US" w:eastAsia="de-CH"/>
              </w:rPr>
              <w:fldChar w:fldCharType="end"/>
            </w:r>
          </w:p>
        </w:tc>
        <w:tc>
          <w:tcPr>
            <w:tcW w:w="737" w:type="dxa"/>
            <w:noWrap/>
          </w:tcPr>
          <w:p w14:paraId="0E49C4DC" w14:textId="2E4199E7"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3F11E3F8" w14:textId="6E34B863"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NA</w:t>
            </w:r>
          </w:p>
        </w:tc>
        <w:tc>
          <w:tcPr>
            <w:tcW w:w="737" w:type="dxa"/>
            <w:noWrap/>
          </w:tcPr>
          <w:p w14:paraId="2C6375D7" w14:textId="70BCC646"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7EAC7D49" w14:textId="0C5EAF11"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NA</w:t>
            </w:r>
          </w:p>
        </w:tc>
        <w:tc>
          <w:tcPr>
            <w:tcW w:w="737" w:type="dxa"/>
            <w:noWrap/>
          </w:tcPr>
          <w:p w14:paraId="3A4F64F6" w14:textId="6209FD09"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12E10C8F" w14:textId="48B1F82B"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5EAB7F99" w14:textId="7D0617FD"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744AEC84" w14:textId="59C7E10B"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NR</w:t>
            </w:r>
          </w:p>
        </w:tc>
        <w:tc>
          <w:tcPr>
            <w:tcW w:w="737" w:type="dxa"/>
            <w:noWrap/>
          </w:tcPr>
          <w:p w14:paraId="79607F48" w14:textId="5D3FB407"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yes/no</w:t>
            </w:r>
          </w:p>
        </w:tc>
        <w:tc>
          <w:tcPr>
            <w:tcW w:w="737" w:type="dxa"/>
            <w:noWrap/>
          </w:tcPr>
          <w:p w14:paraId="05FFECC3" w14:textId="0B1D38CD"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NR</w:t>
            </w:r>
          </w:p>
        </w:tc>
        <w:tc>
          <w:tcPr>
            <w:tcW w:w="737" w:type="dxa"/>
            <w:noWrap/>
          </w:tcPr>
          <w:p w14:paraId="462AB534" w14:textId="76F305A2"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6F7666DA" w14:textId="07CC7A8F"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no</w:t>
            </w:r>
          </w:p>
        </w:tc>
        <w:tc>
          <w:tcPr>
            <w:tcW w:w="737" w:type="dxa"/>
            <w:noWrap/>
          </w:tcPr>
          <w:p w14:paraId="2C54A6AB" w14:textId="699D3A39"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7" w:type="dxa"/>
            <w:noWrap/>
          </w:tcPr>
          <w:p w14:paraId="468AB022" w14:textId="5873C295"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yes</w:t>
            </w:r>
          </w:p>
        </w:tc>
        <w:tc>
          <w:tcPr>
            <w:tcW w:w="738" w:type="dxa"/>
            <w:noWrap/>
          </w:tcPr>
          <w:p w14:paraId="5193E32A" w14:textId="7E917E86" w:rsidR="00316926" w:rsidRPr="00B41419" w:rsidRDefault="0031692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4.5</w:t>
            </w:r>
          </w:p>
        </w:tc>
        <w:tc>
          <w:tcPr>
            <w:tcW w:w="1701" w:type="dxa"/>
            <w:noWrap/>
          </w:tcPr>
          <w:p w14:paraId="317EA1CB" w14:textId="240CC099" w:rsidR="00316926" w:rsidRPr="00B41419" w:rsidRDefault="00CF2FB6" w:rsidP="00E9231F">
            <w:pPr>
              <w:spacing w:after="0" w:line="480" w:lineRule="auto"/>
              <w:jc w:val="center"/>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Low</w:t>
            </w:r>
          </w:p>
        </w:tc>
      </w:tr>
      <w:tr w:rsidR="00CF69B7" w:rsidRPr="007C7921" w14:paraId="3905CEC6" w14:textId="77777777" w:rsidTr="00E9231F">
        <w:trPr>
          <w:trHeight w:val="283"/>
        </w:trPr>
        <w:tc>
          <w:tcPr>
            <w:tcW w:w="2552" w:type="dxa"/>
            <w:shd w:val="clear" w:color="auto" w:fill="auto"/>
            <w:noWrap/>
            <w:hideMark/>
          </w:tcPr>
          <w:p w14:paraId="432A638A" w14:textId="2F99A525" w:rsidR="00CF69B7" w:rsidRPr="00B41419" w:rsidRDefault="00D05814" w:rsidP="00E9231F">
            <w:pPr>
              <w:spacing w:after="0" w:line="480" w:lineRule="auto"/>
              <w:rPr>
                <w:rFonts w:ascii="Times New Roman" w:eastAsia="Times New Roman" w:hAnsi="Times New Roman" w:cs="Times New Roman"/>
                <w:color w:val="000000"/>
                <w:lang w:val="en-US" w:eastAsia="de-CH"/>
              </w:rPr>
            </w:pPr>
            <w:proofErr w:type="spellStart"/>
            <w:r>
              <w:rPr>
                <w:rFonts w:ascii="Times New Roman" w:eastAsia="Times New Roman" w:hAnsi="Times New Roman" w:cs="Times New Roman"/>
                <w:color w:val="000000"/>
                <w:lang w:val="en-US" w:eastAsia="de-CH"/>
              </w:rPr>
              <w:t>Uemura</w:t>
            </w:r>
            <w:proofErr w:type="spellEnd"/>
            <w:r>
              <w:rPr>
                <w:rFonts w:ascii="Times New Roman" w:eastAsia="Times New Roman" w:hAnsi="Times New Roman" w:cs="Times New Roman"/>
                <w:color w:val="000000"/>
                <w:lang w:val="en-US" w:eastAsia="de-CH"/>
              </w:rPr>
              <w:t xml:space="preserve"> et al. (2021) </w:t>
            </w:r>
            <w:r>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{"citationItems":[{"id":"ITEM-1","itemData":{"DOI":"10.1159/000511357","ISSN":"1423-0003 (Electronic)","PMID":"33271536","abstract":"BACKGROUND: Older adults often have a greater need for health information and health  care services because access to these helps them manage their health and the chronic conditions of aging. Therefore, low health literacy bears a special significance for the population of older adults. OBJECTIVES: The aim of this study was to examine the effects of an active learning program on health literacy, lifestyle behaviors, physical function, and mental health among community-dwelling older adults with low health literacy. METHODS: This single-blind, randomized controlled trial involved 60 participants aged ≥65 years with a low health literacy who were randomly assigned to an intervention (n = 30) or control (n = 30) group. Across 24 weeks, the intervention group attended weekly 90-min active learning program sessions, which involved exploratory learning, group work, and the self-planning of behavior changes that promote a healthy lifestyle. The control group attended a 90-min class, which was taught in accordance with the didactic teaching method. For both groups, the programs focused on the role of exercise, diet/nutrition, and cognitive activity for promoting health among older adults. The outcome measures were administered at baseline and week 24. Comprehensive health literacy (i.e., primary outcome) was assessed using the Health Literacy Scale-14. Lifestyle factors (i.e., physical activity, dietary variety, life-space mobility, and social network size), physical function, and depressive symptoms were measured. We used a linear mixed model to estimate the intervention effects in accordance with the intention-to-treat approach. RESULTS: When compared to the control group, the intervention group demonstrated a significant improvement in communicative health literacy, step count, engagement in moderate-to-vigorous physical activity, dietary variety, life-space mobility, social network size, grip strength, gait speed, and depressive symptoms. CONCLUSIONS: The active learning program can promote a healthy lifestyle and prevent functional decline among older adults who lack the confidence to engage in health communication.","author":[{"dropping-particle":"","family":"Uemura","given":"Kazuki","non-dropping-particle":"","parse-names":false,"suffix":""},{"dropping-particle":"","family":"Yamada","given":"Minoru","non-dropping-particle":"","parse-names":false,"suffix":""},{"dropping-particle":"","family":"Okamoto","given":"Hiroshi","non-dropping-particle":"","parse-names":false,"suffix":""}],"container-title":"Gerontology","id":"ITEM-1","issue":"1","issued":{"date-parts":[["2021"]]},"language":"eng","page":"25-35","publisher-place":"Switzerland","title":"The Effectiveness of an Active Learning Program in Promoting a Healthy Lifestyle  among Older Adults with Low Health Literacy: A Randomized Controlled Trial.","type":"article-journal","volume":"67"},"uris":["http://www.mendeley.com/documents/?uuid=42afa76f-9874-4bc5-b98b-7574ec568714"]}],"mendeley":{"formattedCitation":"[26]","plainTextFormattedCitation":"[26]","previouslyFormattedCitation":"[26]"},"properties":{"noteIndex":0},"schema":"https://github.com/citation-style-language/schema/raw/master/csl-citation.json"}</w:instrText>
            </w:r>
            <w:r>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[26]</w:t>
            </w:r>
            <w:r>
              <w:rPr>
                <w:rFonts w:ascii="Times New Roman" w:eastAsia="Times New Roman" w:hAnsi="Times New Roman" w:cs="Times New Roman"/>
                <w:color w:val="000000"/>
                <w:lang w:val="en-US" w:eastAsia="de-CH"/>
              </w:rPr>
              <w:fldChar w:fldCharType="end"/>
            </w:r>
          </w:p>
        </w:tc>
        <w:tc>
          <w:tcPr>
            <w:tcW w:w="737" w:type="dxa"/>
            <w:noWrap/>
            <w:hideMark/>
          </w:tcPr>
          <w:p w14:paraId="4C396B3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51D20A4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1E0E03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2B0788E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noWrap/>
            <w:hideMark/>
          </w:tcPr>
          <w:p w14:paraId="5B1D0D9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49E753B"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4E040E1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C9D179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19DEAA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223F9509"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noWrap/>
            <w:hideMark/>
          </w:tcPr>
          <w:p w14:paraId="7C452C9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04CDB781"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30582B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noWrap/>
            <w:hideMark/>
          </w:tcPr>
          <w:p w14:paraId="6575734F"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8" w:type="dxa"/>
            <w:noWrap/>
            <w:hideMark/>
          </w:tcPr>
          <w:p w14:paraId="65D5980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11</w:t>
            </w:r>
          </w:p>
        </w:tc>
        <w:tc>
          <w:tcPr>
            <w:tcW w:w="1701" w:type="dxa"/>
            <w:noWrap/>
            <w:hideMark/>
          </w:tcPr>
          <w:p w14:paraId="4E3742AD"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r w:rsidR="00CF69B7" w:rsidRPr="007C7921" w14:paraId="5741F987" w14:textId="77777777" w:rsidTr="00E9231F">
        <w:trPr>
          <w:trHeight w:val="283"/>
        </w:trPr>
        <w:tc>
          <w:tcPr>
            <w:tcW w:w="2552" w:type="dxa"/>
            <w:tcBorders>
              <w:bottom w:val="single" w:sz="4" w:space="0" w:color="auto"/>
            </w:tcBorders>
            <w:noWrap/>
            <w:hideMark/>
          </w:tcPr>
          <w:p w14:paraId="2EDA594C" w14:textId="1922BBA0" w:rsidR="00CF69B7" w:rsidRPr="00B41419" w:rsidRDefault="00D05814" w:rsidP="00E9231F">
            <w:pPr>
              <w:spacing w:after="0" w:line="480" w:lineRule="auto"/>
              <w:rPr>
                <w:rFonts w:ascii="Times New Roman" w:eastAsia="Times New Roman" w:hAnsi="Times New Roman" w:cs="Times New Roman"/>
                <w:color w:val="000000"/>
                <w:lang w:val="en-US" w:eastAsia="de-CH"/>
              </w:rPr>
            </w:pPr>
            <w:r>
              <w:rPr>
                <w:rFonts w:ascii="Times New Roman" w:eastAsia="Times New Roman" w:hAnsi="Times New Roman" w:cs="Times New Roman"/>
                <w:color w:val="000000"/>
                <w:lang w:val="en-US" w:eastAsia="de-CH"/>
              </w:rPr>
              <w:t>Ullrich et al. (202</w:t>
            </w:r>
            <w:r w:rsidR="00164F46">
              <w:rPr>
                <w:rFonts w:ascii="Times New Roman" w:eastAsia="Times New Roman" w:hAnsi="Times New Roman" w:cs="Times New Roman"/>
                <w:color w:val="000000"/>
                <w:lang w:val="en-US" w:eastAsia="de-CH"/>
              </w:rPr>
              <w:t>1</w:t>
            </w:r>
            <w:r>
              <w:rPr>
                <w:rFonts w:ascii="Times New Roman" w:eastAsia="Times New Roman" w:hAnsi="Times New Roman" w:cs="Times New Roman"/>
                <w:color w:val="000000"/>
                <w:lang w:val="en-US" w:eastAsia="de-CH"/>
              </w:rPr>
              <w:t xml:space="preserve">) </w:t>
            </w:r>
            <w:r w:rsidR="00CF69B7">
              <w:rPr>
                <w:rFonts w:ascii="Times New Roman" w:eastAsia="Times New Roman" w:hAnsi="Times New Roman" w:cs="Times New Roman"/>
                <w:color w:val="000000"/>
                <w:lang w:val="en-US" w:eastAsia="de-CH"/>
              </w:rPr>
              <w:fldChar w:fldCharType="begin" w:fldLock="1"/>
            </w:r>
            <w:r w:rsidR="00DC0CD4">
              <w:rPr>
                <w:rFonts w:ascii="Times New Roman" w:eastAsia="Times New Roman" w:hAnsi="Times New Roman" w:cs="Times New Roman"/>
                <w:color w:val="000000"/>
                <w:lang w:val="en-US" w:eastAsia="de-CH"/>
              </w:rPr>
              <w:instrText>ADDIN CSL_CITATION {"citationItems":[{"id":"ITEM-1","itemData":{"DOI":"10.1093/gerona/glaa254","ISSN":"1758-535X (Electronic)","PMID":"33021670","abstract":"BACKGROUND: Community-dwelling older persons with cognitive impairment (CI)  following discharge from geriatric rehabilitation are at high risk for losing life-space mobility (LSM). Interventions to improve their LSM are, however, still lacking. The study aim was to evaluate the effects of a CI-specific, home-based physical training and activity promotion program on LSM. METHODS: Older persons with mild-to-moderate CI (Mini-Mental State Examination [MMSE]: 17-26 points) discharged home from rehabilitation were included in this double-blinded, randomized, placebo-controlled trial with a 12-week intervention period and 12-week follow-up period. The intervention group (IG) received a CI-specific, home-based strength, balance and walking training supported by tailored motivational strategies. The control group (CG) received a placebo activity. LSM was evaluated by the Life-Space Assessment in Persons with Cognitive Impairment (LSA-CI), including a composite score for LSM and three sub-scores for maximal, equipment-assisted and independent life-space. Mixed-model repeated-measures analyses were used. RESULTS: One hundred eighteen participants (82.3±6.0 years) with CI (MMSE: 23.3±2.4) were randomized. After the intervention, the home-based training program resulted in a significant benefit in the LSA-CI composite scores (b=8.15; 95% confidence interval: 2.89-13.41; p=.003) and independent life-space sub-scores (b= 0.39; 95% confidence interval: 0.00-0.78; p=.048) in the IG (n=63) compared to CG (n=55). Other sub-scores and follow-up results were not significantly different. CONCLUSIONS: The home-based training program improved LSM and independent life-space significantly in this vulnerable population. Effects were not sustained over the follow-up. The program may represent a model for improved transition from rehabilitation to the community to prevent high risk of LSM restriction.","author":[{"dropping-particle":"","family":"Ullrich","given":"Phoebe","non-dropping-particle":"","parse-names":false,"suffix":""},{"dropping-particle":"","family":"Werner","given":"Christian","non-dropping-particle":"","parse-names":false,"suffix":""},{"dropping-particle":"","family":"Bongartz","given":"Martin","non-dropping-particle":"","parse-names":false,"suffix":""},{"dropping-particle":"","family":"Eckert","given":"Tobias","non-dropping-particle":"","parse-names":false,"suffix":""},{"dropping-particle":"","family":"Abel","given":"Bastian","non-dropping-particle":"","parse-names":false,"suffix":""},{"dropping-particle":"","family":"Schönstein","given":"Anton","non-dropping-particle":"","parse-names":false,"suffix":""},{"dropping-particle":"","family":"Kiss","given":"Rainer","non-dropping-particle":"","parse-names":false,"suffix":""},{"dropping-particle":"","family":"Hauer","given":"Klaus","non-dropping-particle":"","parse-names":false,"suffix":""}],"container-title":"The journals of gerontology. Series A, Biological sciences and medical sciences","id":"ITEM-1","issued":{"date-parts":[["2020","10"]]},"language":"eng","publisher-place":"United States","title":"Increasing Life-Space Mobility in community-dwelling older persons with cognitive  impairment following rehabilitation: A randomized controlled trial.","type":"article-journal"},"uris":["http://www.mendeley.com/documents/?uuid=9ff4c983-9403-477a-a703-2f7dd29786e8"]}],"mendeley":{"formattedCitation":"[27]","plainTextFormattedCitation":"[27]","previouslyFormattedCitation":"[27]"},"properties":{"noteIndex":0},"schema":"https://github.com/citation-style-language/schema/raw/master/csl-citation.json"}</w:instrText>
            </w:r>
            <w:r w:rsidR="00CF69B7">
              <w:rPr>
                <w:rFonts w:ascii="Times New Roman" w:eastAsia="Times New Roman" w:hAnsi="Times New Roman" w:cs="Times New Roman"/>
                <w:color w:val="000000"/>
                <w:lang w:val="en-US" w:eastAsia="de-CH"/>
              </w:rPr>
              <w:fldChar w:fldCharType="separate"/>
            </w:r>
            <w:r w:rsidR="002E6171" w:rsidRPr="002E6171">
              <w:rPr>
                <w:rFonts w:ascii="Times New Roman" w:eastAsia="Times New Roman" w:hAnsi="Times New Roman" w:cs="Times New Roman"/>
                <w:noProof/>
                <w:color w:val="000000"/>
                <w:lang w:val="en-US" w:eastAsia="de-CH"/>
              </w:rPr>
              <w:t>[27]</w:t>
            </w:r>
            <w:r w:rsidR="00CF69B7">
              <w:rPr>
                <w:rFonts w:ascii="Times New Roman" w:eastAsia="Times New Roman" w:hAnsi="Times New Roman" w:cs="Times New Roman"/>
                <w:color w:val="000000"/>
                <w:lang w:val="en-US" w:eastAsia="de-CH"/>
              </w:rPr>
              <w:fldChar w:fldCharType="end"/>
            </w:r>
          </w:p>
        </w:tc>
        <w:tc>
          <w:tcPr>
            <w:tcW w:w="737" w:type="dxa"/>
            <w:tcBorders>
              <w:bottom w:val="single" w:sz="4" w:space="0" w:color="auto"/>
            </w:tcBorders>
            <w:noWrap/>
            <w:hideMark/>
          </w:tcPr>
          <w:p w14:paraId="09A08A8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6EEE652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4AAB97C2"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tcBorders>
              <w:bottom w:val="single" w:sz="4" w:space="0" w:color="auto"/>
            </w:tcBorders>
            <w:noWrap/>
            <w:hideMark/>
          </w:tcPr>
          <w:p w14:paraId="33E9BA6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28A1D65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63A8B34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59F2854E"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47F0EB5C"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0082031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16BD3498"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7" w:type="dxa"/>
            <w:tcBorders>
              <w:bottom w:val="single" w:sz="4" w:space="0" w:color="auto"/>
            </w:tcBorders>
            <w:noWrap/>
            <w:hideMark/>
          </w:tcPr>
          <w:p w14:paraId="73975746"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0FFC1CA5"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NA</w:t>
            </w:r>
          </w:p>
        </w:tc>
        <w:tc>
          <w:tcPr>
            <w:tcW w:w="737" w:type="dxa"/>
            <w:tcBorders>
              <w:bottom w:val="single" w:sz="4" w:space="0" w:color="auto"/>
            </w:tcBorders>
            <w:noWrap/>
            <w:hideMark/>
          </w:tcPr>
          <w:p w14:paraId="55E399B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yes</w:t>
            </w:r>
          </w:p>
        </w:tc>
        <w:tc>
          <w:tcPr>
            <w:tcW w:w="737" w:type="dxa"/>
            <w:tcBorders>
              <w:bottom w:val="single" w:sz="4" w:space="0" w:color="auto"/>
            </w:tcBorders>
            <w:noWrap/>
            <w:hideMark/>
          </w:tcPr>
          <w:p w14:paraId="178CEF07"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NR</w:t>
            </w:r>
          </w:p>
        </w:tc>
        <w:tc>
          <w:tcPr>
            <w:tcW w:w="738" w:type="dxa"/>
            <w:tcBorders>
              <w:bottom w:val="single" w:sz="4" w:space="0" w:color="auto"/>
            </w:tcBorders>
            <w:noWrap/>
            <w:hideMark/>
          </w:tcPr>
          <w:p w14:paraId="14BAA873"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10</w:t>
            </w:r>
          </w:p>
        </w:tc>
        <w:tc>
          <w:tcPr>
            <w:tcW w:w="1701" w:type="dxa"/>
            <w:tcBorders>
              <w:bottom w:val="single" w:sz="4" w:space="0" w:color="auto"/>
            </w:tcBorders>
            <w:noWrap/>
            <w:hideMark/>
          </w:tcPr>
          <w:p w14:paraId="57DD1380" w14:textId="77777777" w:rsidR="00CF69B7" w:rsidRPr="00B41419" w:rsidRDefault="00CF69B7" w:rsidP="00E9231F">
            <w:pPr>
              <w:spacing w:after="0" w:line="480" w:lineRule="auto"/>
              <w:jc w:val="center"/>
              <w:rPr>
                <w:rFonts w:ascii="Times New Roman" w:eastAsia="Times New Roman" w:hAnsi="Times New Roman" w:cs="Times New Roman"/>
                <w:color w:val="000000"/>
                <w:lang w:val="en-US" w:eastAsia="de-CH"/>
              </w:rPr>
            </w:pPr>
            <w:r w:rsidRPr="00B41419">
              <w:rPr>
                <w:rFonts w:ascii="Times New Roman" w:eastAsia="Times New Roman" w:hAnsi="Times New Roman" w:cs="Times New Roman"/>
                <w:color w:val="000000"/>
                <w:lang w:val="en-US" w:eastAsia="de-CH"/>
              </w:rPr>
              <w:t>Good</w:t>
            </w:r>
          </w:p>
        </w:tc>
      </w:tr>
    </w:tbl>
    <w:p w14:paraId="190E9CB1" w14:textId="77777777" w:rsidR="00CF69B7" w:rsidRPr="00BA3DED" w:rsidRDefault="00CF69B7" w:rsidP="00CF69B7">
      <w:pPr>
        <w:spacing w:after="0" w:line="240" w:lineRule="auto"/>
        <w:jc w:val="both"/>
        <w:rPr>
          <w:rFonts w:ascii="Times New Roman" w:hAnsi="Times New Roman" w:cs="Times New Roman"/>
          <w:bCs/>
          <w:sz w:val="20"/>
          <w:szCs w:val="20"/>
          <w:lang w:val="en-US"/>
        </w:rPr>
      </w:pPr>
      <w:r w:rsidRPr="00BA3DED">
        <w:rPr>
          <w:rFonts w:ascii="Times New Roman" w:hAnsi="Times New Roman" w:cs="Times New Roman"/>
          <w:bCs/>
          <w:i/>
          <w:iCs/>
          <w:sz w:val="20"/>
          <w:szCs w:val="20"/>
          <w:lang w:val="en-US"/>
        </w:rPr>
        <w:t>Note</w:t>
      </w:r>
      <w:r w:rsidRPr="00BA3DED">
        <w:rPr>
          <w:rFonts w:ascii="Times New Roman" w:hAnsi="Times New Roman" w:cs="Times New Roman"/>
          <w:bCs/>
          <w:sz w:val="20"/>
          <w:szCs w:val="20"/>
          <w:lang w:val="en-US"/>
        </w:rPr>
        <w:t xml:space="preserve">. </w:t>
      </w:r>
      <w:r w:rsidRPr="00BA3DED">
        <w:rPr>
          <w:rFonts w:ascii="Times New Roman" w:hAnsi="Times New Roman" w:cs="Times New Roman"/>
          <w:bCs/>
          <w:sz w:val="20"/>
          <w:szCs w:val="20"/>
          <w:vertAlign w:val="superscript"/>
          <w:lang w:val="en-US"/>
        </w:rPr>
        <w:t>a</w:t>
      </w:r>
      <w:r>
        <w:rPr>
          <w:rFonts w:ascii="Times New Roman" w:hAnsi="Times New Roman" w:cs="Times New Roman"/>
          <w:bCs/>
          <w:sz w:val="20"/>
          <w:szCs w:val="20"/>
          <w:vertAlign w:val="superscript"/>
          <w:lang w:val="en-US"/>
        </w:rPr>
        <w:t xml:space="preserve">  </w:t>
      </w:r>
      <w:r>
        <w:rPr>
          <w:rFonts w:ascii="Times New Roman" w:hAnsi="Times New Roman" w:cs="Times New Roman"/>
          <w:bCs/>
          <w:sz w:val="20"/>
          <w:szCs w:val="20"/>
          <w:lang w:val="en-US"/>
        </w:rPr>
        <w:t xml:space="preserve">1: randomized study; </w:t>
      </w:r>
      <w:r>
        <w:rPr>
          <w:rFonts w:ascii="Times New Roman" w:hAnsi="Times New Roman" w:cs="Times New Roman"/>
          <w:bCs/>
          <w:sz w:val="20"/>
          <w:szCs w:val="20"/>
          <w:vertAlign w:val="superscript"/>
          <w:lang w:val="en-US"/>
        </w:rPr>
        <w:t xml:space="preserve">b </w:t>
      </w:r>
      <w:r>
        <w:rPr>
          <w:rFonts w:ascii="Times New Roman" w:hAnsi="Times New Roman" w:cs="Times New Roman"/>
          <w:bCs/>
          <w:sz w:val="20"/>
          <w:szCs w:val="20"/>
          <w:lang w:val="en-US"/>
        </w:rPr>
        <w:t xml:space="preserve">2: method of randomization adequate; </w:t>
      </w:r>
      <w:r>
        <w:rPr>
          <w:rFonts w:ascii="Times New Roman" w:hAnsi="Times New Roman" w:cs="Times New Roman"/>
          <w:bCs/>
          <w:sz w:val="20"/>
          <w:szCs w:val="20"/>
          <w:vertAlign w:val="superscript"/>
          <w:lang w:val="en-US"/>
        </w:rPr>
        <w:t xml:space="preserve">c </w:t>
      </w:r>
      <w:r>
        <w:rPr>
          <w:rFonts w:ascii="Times New Roman" w:hAnsi="Times New Roman" w:cs="Times New Roman"/>
          <w:bCs/>
          <w:sz w:val="20"/>
          <w:szCs w:val="20"/>
          <w:lang w:val="en-US"/>
        </w:rPr>
        <w:t xml:space="preserve">3: treatment allocation concealed; </w:t>
      </w:r>
      <w:r>
        <w:rPr>
          <w:rFonts w:ascii="Times New Roman" w:hAnsi="Times New Roman" w:cs="Times New Roman"/>
          <w:bCs/>
          <w:sz w:val="20"/>
          <w:szCs w:val="20"/>
          <w:vertAlign w:val="superscript"/>
          <w:lang w:val="en-US"/>
        </w:rPr>
        <w:t>d</w:t>
      </w:r>
      <w:r>
        <w:rPr>
          <w:rFonts w:ascii="Times New Roman" w:hAnsi="Times New Roman" w:cs="Times New Roman"/>
          <w:bCs/>
          <w:sz w:val="20"/>
          <w:szCs w:val="20"/>
          <w:lang w:val="en-US"/>
        </w:rPr>
        <w:t xml:space="preserve"> 4: participants and providers blinded; </w:t>
      </w:r>
      <w:r>
        <w:rPr>
          <w:rFonts w:ascii="Times New Roman" w:hAnsi="Times New Roman" w:cs="Times New Roman"/>
          <w:bCs/>
          <w:sz w:val="20"/>
          <w:szCs w:val="20"/>
          <w:vertAlign w:val="superscript"/>
          <w:lang w:val="en-US"/>
        </w:rPr>
        <w:t xml:space="preserve">e </w:t>
      </w:r>
      <w:r>
        <w:rPr>
          <w:rFonts w:ascii="Times New Roman" w:hAnsi="Times New Roman" w:cs="Times New Roman"/>
          <w:bCs/>
          <w:sz w:val="20"/>
          <w:szCs w:val="20"/>
          <w:lang w:val="en-US"/>
        </w:rPr>
        <w:t xml:space="preserve">5: assessors blinded; </w:t>
      </w:r>
      <w:r>
        <w:rPr>
          <w:rFonts w:ascii="Times New Roman" w:hAnsi="Times New Roman" w:cs="Times New Roman"/>
          <w:bCs/>
          <w:sz w:val="20"/>
          <w:szCs w:val="20"/>
          <w:vertAlign w:val="superscript"/>
          <w:lang w:val="en-US"/>
        </w:rPr>
        <w:t xml:space="preserve">f </w:t>
      </w:r>
      <w:r>
        <w:rPr>
          <w:rFonts w:ascii="Times New Roman" w:hAnsi="Times New Roman" w:cs="Times New Roman"/>
          <w:bCs/>
          <w:sz w:val="20"/>
          <w:szCs w:val="20"/>
          <w:lang w:val="en-US"/>
        </w:rPr>
        <w:t xml:space="preserve">6: groups similar at baseline on important characteristics; </w:t>
      </w:r>
      <w:r>
        <w:rPr>
          <w:rFonts w:ascii="Times New Roman" w:hAnsi="Times New Roman" w:cs="Times New Roman"/>
          <w:bCs/>
          <w:sz w:val="20"/>
          <w:szCs w:val="20"/>
          <w:vertAlign w:val="superscript"/>
          <w:lang w:val="en-US"/>
        </w:rPr>
        <w:t xml:space="preserve">g </w:t>
      </w:r>
      <w:r>
        <w:rPr>
          <w:rFonts w:ascii="Times New Roman" w:hAnsi="Times New Roman" w:cs="Times New Roman"/>
          <w:bCs/>
          <w:sz w:val="20"/>
          <w:szCs w:val="20"/>
          <w:lang w:val="en-US"/>
        </w:rPr>
        <w:t xml:space="preserve">7: overall drop-out rate ≤ 20%; </w:t>
      </w:r>
      <w:r>
        <w:rPr>
          <w:rFonts w:ascii="Times New Roman" w:hAnsi="Times New Roman" w:cs="Times New Roman"/>
          <w:bCs/>
          <w:sz w:val="20"/>
          <w:szCs w:val="20"/>
          <w:vertAlign w:val="superscript"/>
          <w:lang w:val="en-US"/>
        </w:rPr>
        <w:t xml:space="preserve">h </w:t>
      </w:r>
      <w:r>
        <w:rPr>
          <w:rFonts w:ascii="Times New Roman" w:hAnsi="Times New Roman" w:cs="Times New Roman"/>
          <w:bCs/>
          <w:sz w:val="20"/>
          <w:szCs w:val="20"/>
          <w:lang w:val="en-US"/>
        </w:rPr>
        <w:t xml:space="preserve">8: differential drop-out rate ≤ 15%; </w:t>
      </w:r>
      <w:proofErr w:type="spellStart"/>
      <w:r>
        <w:rPr>
          <w:rFonts w:ascii="Times New Roman" w:hAnsi="Times New Roman" w:cs="Times New Roman"/>
          <w:bCs/>
          <w:sz w:val="20"/>
          <w:szCs w:val="20"/>
          <w:vertAlign w:val="superscript"/>
          <w:lang w:val="en-US"/>
        </w:rPr>
        <w:t>i</w:t>
      </w:r>
      <w:proofErr w:type="spellEnd"/>
      <w:r>
        <w:rPr>
          <w:rFonts w:ascii="Times New Roman" w:hAnsi="Times New Roman" w:cs="Times New Roman"/>
          <w:bCs/>
          <w:sz w:val="20"/>
          <w:szCs w:val="20"/>
          <w:vertAlign w:val="superscript"/>
          <w:lang w:val="en-US"/>
        </w:rPr>
        <w:t xml:space="preserve"> </w:t>
      </w:r>
      <w:r>
        <w:rPr>
          <w:rFonts w:ascii="Times New Roman" w:hAnsi="Times New Roman" w:cs="Times New Roman"/>
          <w:bCs/>
          <w:sz w:val="20"/>
          <w:szCs w:val="20"/>
          <w:lang w:val="en-US"/>
        </w:rPr>
        <w:t xml:space="preserve">9: high adherence to the intervention protocols; </w:t>
      </w:r>
      <w:r>
        <w:rPr>
          <w:rFonts w:ascii="Times New Roman" w:hAnsi="Times New Roman" w:cs="Times New Roman"/>
          <w:bCs/>
          <w:sz w:val="20"/>
          <w:szCs w:val="20"/>
          <w:vertAlign w:val="superscript"/>
          <w:lang w:val="en-US"/>
        </w:rPr>
        <w:t xml:space="preserve">j </w:t>
      </w:r>
      <w:r>
        <w:rPr>
          <w:rFonts w:ascii="Times New Roman" w:hAnsi="Times New Roman" w:cs="Times New Roman"/>
          <w:bCs/>
          <w:sz w:val="20"/>
          <w:szCs w:val="20"/>
          <w:lang w:val="en-US"/>
        </w:rPr>
        <w:t xml:space="preserve">10: other interventions avoided or similar; </w:t>
      </w:r>
      <w:r>
        <w:rPr>
          <w:rFonts w:ascii="Times New Roman" w:hAnsi="Times New Roman" w:cs="Times New Roman"/>
          <w:bCs/>
          <w:sz w:val="20"/>
          <w:szCs w:val="20"/>
          <w:vertAlign w:val="superscript"/>
          <w:lang w:val="en-US"/>
        </w:rPr>
        <w:t xml:space="preserve">k </w:t>
      </w:r>
      <w:r>
        <w:rPr>
          <w:rFonts w:ascii="Times New Roman" w:hAnsi="Times New Roman" w:cs="Times New Roman"/>
          <w:bCs/>
          <w:sz w:val="20"/>
          <w:szCs w:val="20"/>
          <w:lang w:val="en-US"/>
        </w:rPr>
        <w:t xml:space="preserve">11: outcomes valid and reliable and implemented consistently; </w:t>
      </w:r>
      <w:r>
        <w:rPr>
          <w:rFonts w:ascii="Times New Roman" w:hAnsi="Times New Roman" w:cs="Times New Roman"/>
          <w:bCs/>
          <w:sz w:val="20"/>
          <w:szCs w:val="20"/>
          <w:vertAlign w:val="superscript"/>
          <w:lang w:val="en-US"/>
        </w:rPr>
        <w:t xml:space="preserve">l  </w:t>
      </w:r>
      <w:r>
        <w:rPr>
          <w:rFonts w:ascii="Times New Roman" w:hAnsi="Times New Roman" w:cs="Times New Roman"/>
          <w:bCs/>
          <w:sz w:val="20"/>
          <w:szCs w:val="20"/>
          <w:lang w:val="en-US"/>
        </w:rPr>
        <w:t xml:space="preserve">12: reported, that the sample size was sufficient for at least 80% power; </w:t>
      </w:r>
      <w:r>
        <w:rPr>
          <w:rFonts w:ascii="Times New Roman" w:hAnsi="Times New Roman" w:cs="Times New Roman"/>
          <w:bCs/>
          <w:sz w:val="20"/>
          <w:szCs w:val="20"/>
          <w:vertAlign w:val="superscript"/>
          <w:lang w:val="en-US"/>
        </w:rPr>
        <w:t>m</w:t>
      </w:r>
      <w:r>
        <w:rPr>
          <w:rFonts w:ascii="Times New Roman" w:hAnsi="Times New Roman" w:cs="Times New Roman"/>
          <w:bCs/>
          <w:sz w:val="20"/>
          <w:szCs w:val="20"/>
          <w:lang w:val="en-US"/>
        </w:rPr>
        <w:t xml:space="preserve"> 13: outcomes reported or subgroups prespecified; </w:t>
      </w:r>
      <w:r>
        <w:rPr>
          <w:rFonts w:ascii="Times New Roman" w:hAnsi="Times New Roman" w:cs="Times New Roman"/>
          <w:bCs/>
          <w:sz w:val="20"/>
          <w:szCs w:val="20"/>
          <w:vertAlign w:val="superscript"/>
          <w:lang w:val="en-US"/>
        </w:rPr>
        <w:t xml:space="preserve">n </w:t>
      </w:r>
      <w:r>
        <w:rPr>
          <w:rFonts w:ascii="Times New Roman" w:hAnsi="Times New Roman" w:cs="Times New Roman"/>
          <w:bCs/>
          <w:sz w:val="20"/>
          <w:szCs w:val="20"/>
          <w:lang w:val="en-US"/>
        </w:rPr>
        <w:t xml:space="preserve">14: intention-to-treat-analysis; </w:t>
      </w:r>
      <w:r>
        <w:rPr>
          <w:rFonts w:ascii="Times New Roman" w:hAnsi="Times New Roman" w:cs="Times New Roman"/>
          <w:bCs/>
          <w:sz w:val="20"/>
          <w:szCs w:val="20"/>
          <w:vertAlign w:val="superscript"/>
          <w:lang w:val="en-US"/>
        </w:rPr>
        <w:t>o</w:t>
      </w:r>
      <w:r>
        <w:rPr>
          <w:rFonts w:ascii="Times New Roman" w:hAnsi="Times New Roman" w:cs="Times New Roman"/>
          <w:bCs/>
          <w:sz w:val="20"/>
          <w:szCs w:val="20"/>
          <w:lang w:val="en-US"/>
        </w:rPr>
        <w:t xml:space="preserve"> </w:t>
      </w:r>
      <w:r w:rsidRPr="00BA3DED">
        <w:rPr>
          <w:rFonts w:ascii="Times New Roman" w:hAnsi="Times New Roman" w:cs="Times New Roman"/>
          <w:bCs/>
          <w:sz w:val="20"/>
          <w:szCs w:val="20"/>
          <w:lang w:val="en-US"/>
        </w:rPr>
        <w:t>N</w:t>
      </w:r>
      <w:r>
        <w:rPr>
          <w:rFonts w:ascii="Times New Roman" w:hAnsi="Times New Roman" w:cs="Times New Roman"/>
          <w:bCs/>
          <w:sz w:val="20"/>
          <w:szCs w:val="20"/>
          <w:lang w:val="en-US"/>
        </w:rPr>
        <w:t>A</w:t>
      </w:r>
      <w:r w:rsidRPr="00BA3DE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not applicable; </w:t>
      </w:r>
      <w:r>
        <w:rPr>
          <w:rFonts w:ascii="Times New Roman" w:hAnsi="Times New Roman" w:cs="Times New Roman"/>
          <w:bCs/>
          <w:sz w:val="20"/>
          <w:szCs w:val="20"/>
          <w:vertAlign w:val="superscript"/>
          <w:lang w:val="en-US"/>
        </w:rPr>
        <w:t xml:space="preserve">p </w:t>
      </w:r>
      <w:r>
        <w:rPr>
          <w:rFonts w:ascii="Times New Roman" w:hAnsi="Times New Roman" w:cs="Times New Roman"/>
          <w:bCs/>
          <w:sz w:val="20"/>
          <w:szCs w:val="20"/>
          <w:lang w:val="en-US"/>
        </w:rPr>
        <w:t xml:space="preserve">NR: </w:t>
      </w:r>
      <w:r w:rsidRPr="00BA3DED">
        <w:rPr>
          <w:rFonts w:ascii="Times New Roman" w:hAnsi="Times New Roman" w:cs="Times New Roman"/>
          <w:bCs/>
          <w:sz w:val="20"/>
          <w:szCs w:val="20"/>
          <w:lang w:val="en-US"/>
        </w:rPr>
        <w:t>not reported</w:t>
      </w:r>
    </w:p>
    <w:p w14:paraId="609DF450" w14:textId="7BA01ECC" w:rsidR="00CF69B7" w:rsidRDefault="00CF69B7" w:rsidP="00CF69B7">
      <w:pPr>
        <w:spacing w:after="0" w:line="480" w:lineRule="auto"/>
        <w:jc w:val="center"/>
        <w:rPr>
          <w:rFonts w:ascii="Times New Roman" w:eastAsia="Times New Roman" w:hAnsi="Times New Roman" w:cs="Times New Roman"/>
          <w:color w:val="000000"/>
          <w:sz w:val="20"/>
          <w:szCs w:val="20"/>
          <w:lang w:val="en-US" w:eastAsia="de-CH"/>
        </w:rPr>
      </w:pPr>
    </w:p>
    <w:p w14:paraId="48CA723E" w14:textId="198D915D" w:rsidR="00CF69B7" w:rsidRDefault="00CF69B7" w:rsidP="00CF69B7">
      <w:pPr>
        <w:spacing w:after="0" w:line="480" w:lineRule="auto"/>
        <w:jc w:val="center"/>
        <w:rPr>
          <w:rFonts w:ascii="Times New Roman" w:eastAsia="Times New Roman" w:hAnsi="Times New Roman" w:cs="Times New Roman"/>
          <w:color w:val="000000"/>
          <w:sz w:val="20"/>
          <w:szCs w:val="20"/>
          <w:lang w:val="en-US" w:eastAsia="de-CH"/>
        </w:rPr>
      </w:pPr>
    </w:p>
    <w:p w14:paraId="4E0D13A4" w14:textId="77777777" w:rsidR="00CF69B7" w:rsidRDefault="00CF69B7" w:rsidP="00CF69B7">
      <w:pPr>
        <w:spacing w:after="0" w:line="480" w:lineRule="auto"/>
        <w:jc w:val="center"/>
        <w:rPr>
          <w:rFonts w:ascii="Times New Roman" w:eastAsia="Times New Roman" w:hAnsi="Times New Roman" w:cs="Times New Roman"/>
          <w:color w:val="000000"/>
          <w:sz w:val="20"/>
          <w:szCs w:val="20"/>
          <w:lang w:val="en-US" w:eastAsia="de-CH"/>
        </w:rPr>
        <w:sectPr w:rsidR="00CF69B7" w:rsidSect="00CF69B7">
          <w:headerReference w:type="default" r:id="rId7"/>
          <w:footerReference w:type="default" r:id="rId8"/>
          <w:pgSz w:w="16838" w:h="11906" w:orient="landscape"/>
          <w:pgMar w:top="720" w:right="720" w:bottom="720" w:left="720" w:header="708" w:footer="708" w:gutter="0"/>
          <w:cols w:space="708"/>
          <w:docGrid w:linePitch="360"/>
        </w:sectPr>
      </w:pPr>
    </w:p>
    <w:p w14:paraId="1077272C" w14:textId="390CCDE3" w:rsidR="00CF69B7" w:rsidRPr="005B4838" w:rsidRDefault="001F4F7D" w:rsidP="001F4F7D">
      <w:pPr>
        <w:pStyle w:val="Listenabsatz"/>
        <w:tabs>
          <w:tab w:val="center" w:pos="5233"/>
          <w:tab w:val="right" w:pos="10466"/>
        </w:tabs>
        <w:spacing w:line="480" w:lineRule="auto"/>
        <w:ind w:left="0"/>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ab/>
      </w:r>
      <w:r w:rsidR="00CF69B7" w:rsidRPr="005B4838">
        <w:rPr>
          <w:rFonts w:ascii="Times New Roman" w:hAnsi="Times New Roman" w:cs="Times New Roman"/>
          <w:b/>
          <w:sz w:val="24"/>
          <w:szCs w:val="24"/>
          <w:lang w:val="en-US"/>
        </w:rPr>
        <w:t>References</w:t>
      </w:r>
      <w:r>
        <w:rPr>
          <w:rFonts w:ascii="Times New Roman" w:hAnsi="Times New Roman" w:cs="Times New Roman"/>
          <w:b/>
          <w:sz w:val="24"/>
          <w:szCs w:val="24"/>
          <w:lang w:val="en-US"/>
        </w:rPr>
        <w:tab/>
      </w:r>
    </w:p>
    <w:p w14:paraId="45C6CDB3" w14:textId="5BFDEE5C" w:rsidR="001F4F7D" w:rsidRPr="00DF7B41" w:rsidRDefault="00CF69B7"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Pr>
          <w:rFonts w:ascii="Times New Roman" w:eastAsia="Times New Roman" w:hAnsi="Times New Roman" w:cs="Times New Roman"/>
          <w:color w:val="000000"/>
          <w:sz w:val="20"/>
          <w:szCs w:val="20"/>
          <w:lang w:val="en-US" w:eastAsia="de-CH"/>
        </w:rPr>
        <w:fldChar w:fldCharType="begin" w:fldLock="1"/>
      </w:r>
      <w:r>
        <w:rPr>
          <w:rFonts w:ascii="Times New Roman" w:eastAsia="Times New Roman" w:hAnsi="Times New Roman" w:cs="Times New Roman"/>
          <w:color w:val="000000"/>
          <w:sz w:val="20"/>
          <w:szCs w:val="20"/>
          <w:lang w:val="en-US" w:eastAsia="de-CH"/>
        </w:rPr>
        <w:instrText xml:space="preserve">ADDIN Mendeley Bibliography CSL_BIBLIOGRAPHY </w:instrText>
      </w:r>
      <w:r>
        <w:rPr>
          <w:rFonts w:ascii="Times New Roman" w:eastAsia="Times New Roman" w:hAnsi="Times New Roman" w:cs="Times New Roman"/>
          <w:color w:val="000000"/>
          <w:sz w:val="20"/>
          <w:szCs w:val="20"/>
          <w:lang w:val="en-US" w:eastAsia="de-CH"/>
        </w:rPr>
        <w:fldChar w:fldCharType="separate"/>
      </w:r>
      <w:r w:rsidR="001F4F7D" w:rsidRPr="00DF7B41">
        <w:rPr>
          <w:rFonts w:ascii="Times New Roman" w:hAnsi="Times New Roman" w:cs="Times New Roman"/>
          <w:noProof/>
          <w:sz w:val="20"/>
          <w:szCs w:val="24"/>
          <w:lang w:val="en-GB"/>
        </w:rPr>
        <w:t>1. Jensen GL, Roy M-A, Buchanan AE, Berg MB. Weight loss intervention for obese older women: improvements in performance and  function. Obes Res. 2004;12:1814–20.</w:t>
      </w:r>
    </w:p>
    <w:p w14:paraId="76CE1587"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 Kamioka Y, Miura Y, Matsuda T, Iijima Y, Suzuki A, Nakazato K, et al. Changes in social participation and life-space mobility in newly enrolled home-based rehabilitation users over 6 months. J Phys Ther Sci. 2020;32:375–84.</w:t>
      </w:r>
    </w:p>
    <w:p w14:paraId="5B1CE383"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3. Kato K, Yoshimi T, Aimoto K, Sato K, Itoh N, Kondo I. A rise-assisting robot extends life space and improves facial expressions of  nursing home residents. BMC Health Serv Res. 2022;22:1588.</w:t>
      </w:r>
    </w:p>
    <w:p w14:paraId="7E510203"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4. Levasseur M, Filiatrault J, Larivière N, Trépanier J, Lévesque M-H, Beaudry M, et al. Influence of Lifestyle Redesign(®) on Health, Social Participation, Leisure, and  Mobility of Older French-Canadians. Am J Occup Ther  Off Publ Am  Occup Ther Assoc. 2019;73:7305205030p1–18.</w:t>
      </w:r>
    </w:p>
    <w:p w14:paraId="04C71CBD"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5. Matsuda K, Ikeda S, Nakahara M, Ikeda T, Okamoto R, Kurosawa K, et al. Factors affecting the coefficient of variation of stride time of the elderly without  falling history: a prospective study. J Phys Ther Sci. 2015;27:1087–90.</w:t>
      </w:r>
    </w:p>
    <w:p w14:paraId="65A624A6"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6. Nakagawa K, Inomata N, Konno Y, Nakazawa R, Hagiwara K, Sakamoto M. The Characteristic of a Simple Exercise Program under the Instruction of Physiotherapists-For General Elderly People and Frail Elderly People. J Phys Ther Sci. 2008;20:197–203.</w:t>
      </w:r>
    </w:p>
    <w:p w14:paraId="31D8D1AB"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7. Todo E, Higuchi Y, Ueda T, Murakami T, Kozuki W. A 3-month multicomponent home-based rehabilitation program for older people with restricted life-space mobility: a pilot study. J Phys Ther Sci. 2021;33:158–63.</w:t>
      </w:r>
    </w:p>
    <w:p w14:paraId="65F04D08"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8. Brown CJ, Foley KT, Lowman JDJ, MacLennan PA, Razjouyan J, Najafi B, et al. Comparison of Posthospitalization Function and Community Mobility in Hospital  Mobility Program and Usual Care Patients: A Randomized Clinical Trial. JAMA Intern Med. 2016;176:921–7.</w:t>
      </w:r>
    </w:p>
    <w:p w14:paraId="4EC829C9"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9. Brienza DM, Karg PE, Bertolet M, Schmeler M, Poojary-Mazzotta P, Vlachos H, et al. A Randomized Clinical Trial of Wheeled Mobility for Pressure Injury Prevention and Better Function. J Am Geriatr Soc. 2018;66:1752–9.</w:t>
      </w:r>
    </w:p>
    <w:p w14:paraId="6FF7E3DA"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10. Collins KJ, Schrack JA, VanSwearingen JM, Glynn NW, Pospisil MC, Gant VE, et al. Randomized Controlled Trial of Exercise to Improve Walking Energetics in Older Adults. Innov aging. 2018;2:1–10.</w:t>
      </w:r>
    </w:p>
    <w:p w14:paraId="13ED0840"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11. Crist K, Jankowska MM, Schipperijn J, Rosenberg DE, Takemoto M, Zlatar ZZ, et al. Change in GPS-assessed walking locations following a cluster-randomized controlled physical activity trial in older adults , results from the MIPARC trial. Heal Place. 2021;69 April:102573.</w:t>
      </w:r>
    </w:p>
    <w:p w14:paraId="07624204"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12. Crotty M, Killington M, Liu E, Cameron ID, Kurrle S, Kaambwa B, et al. Should we provide outreach rehabilitation to very old people living in Nursing Care  Facilities after a hip fracture? A randomised controlled trial. Age Ageing. 2019;48:373–80.</w:t>
      </w:r>
    </w:p>
    <w:p w14:paraId="5F8B40DC"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13. Fairhall N, Sherrington C, Kurrle SE, Lord SR, Lockwood K, Cameron ID. Effect of a multifactorial interdisciplinary intervention on mobility-related disability in frail older people: randomised controlled trial. BMC Med. 2012;10.</w:t>
      </w:r>
    </w:p>
    <w:p w14:paraId="7C44149B"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 xml:space="preserve">14. Hewitt J, Goodall S, Clemson L, Henwood T, Refshauge K. Progressive Resistance and Balance Training for Falls Prevention </w:t>
      </w:r>
      <w:r w:rsidRPr="00DF7B41">
        <w:rPr>
          <w:rFonts w:ascii="Times New Roman" w:hAnsi="Times New Roman" w:cs="Times New Roman"/>
          <w:noProof/>
          <w:sz w:val="20"/>
          <w:szCs w:val="24"/>
          <w:lang w:val="en-GB"/>
        </w:rPr>
        <w:lastRenderedPageBreak/>
        <w:t>in Long-Term  Residential Aged Care: A Cluster Randomized Trial of the Sunbeam Program. J Am Med Dir Assoc. 2018;19:361–9.</w:t>
      </w:r>
    </w:p>
    <w:p w14:paraId="5AD77299" w14:textId="77777777" w:rsidR="001F4F7D" w:rsidRPr="001F4F7D" w:rsidRDefault="001F4F7D" w:rsidP="001F4F7D">
      <w:pPr>
        <w:widowControl w:val="0"/>
        <w:autoSpaceDE w:val="0"/>
        <w:autoSpaceDN w:val="0"/>
        <w:adjustRightInd w:val="0"/>
        <w:spacing w:after="0" w:line="480" w:lineRule="auto"/>
        <w:rPr>
          <w:rFonts w:ascii="Times New Roman" w:hAnsi="Times New Roman" w:cs="Times New Roman"/>
          <w:noProof/>
          <w:sz w:val="20"/>
          <w:szCs w:val="24"/>
        </w:rPr>
      </w:pPr>
      <w:r w:rsidRPr="00DF7B41">
        <w:rPr>
          <w:rFonts w:ascii="Times New Roman" w:hAnsi="Times New Roman" w:cs="Times New Roman"/>
          <w:noProof/>
          <w:sz w:val="20"/>
          <w:szCs w:val="24"/>
          <w:lang w:val="en-GB"/>
        </w:rPr>
        <w:t xml:space="preserve">15. Hiyama Y, Kamitani T, Mori K. Effects of an Intervention to Improve Life-Space Mobility and Self-Efficacy in  Patients following Total Knee Arthroplasty. </w:t>
      </w:r>
      <w:r w:rsidRPr="001F4F7D">
        <w:rPr>
          <w:rFonts w:ascii="Times New Roman" w:hAnsi="Times New Roman" w:cs="Times New Roman"/>
          <w:noProof/>
          <w:sz w:val="20"/>
          <w:szCs w:val="24"/>
        </w:rPr>
        <w:t>J Knee Surg. 2019;32:966–71.</w:t>
      </w:r>
    </w:p>
    <w:p w14:paraId="16542DD4"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1F4F7D">
        <w:rPr>
          <w:rFonts w:ascii="Times New Roman" w:hAnsi="Times New Roman" w:cs="Times New Roman"/>
          <w:noProof/>
          <w:sz w:val="20"/>
          <w:szCs w:val="24"/>
        </w:rPr>
        <w:t xml:space="preserve">16. Jansen CP, Diegelmann M, Schilling OK, Werner C, Schnabel EL, Wahl HW, et al. </w:t>
      </w:r>
      <w:r w:rsidRPr="00DF7B41">
        <w:rPr>
          <w:rFonts w:ascii="Times New Roman" w:hAnsi="Times New Roman" w:cs="Times New Roman"/>
          <w:noProof/>
          <w:sz w:val="20"/>
          <w:szCs w:val="24"/>
          <w:lang w:val="en-GB"/>
        </w:rPr>
        <w:t>Pushing the Boundaries: A Physical Activity Intervention Extends Sensor-Assessed Life-Space in Nursing Home Residents. Gerontologist. 2018;58:979–88.</w:t>
      </w:r>
    </w:p>
    <w:p w14:paraId="366ED41D"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17. Kamga H, McCusker J, Yaffe M, Sewitch M, Sussman T, Strumpf E, et al. Self-care tools to treat depressive symptoms in patients with age-related eye  disease: a randomized controlled clinical trial. Clin Experiment Ophthalmol. 2017;45:371–8.</w:t>
      </w:r>
    </w:p>
    <w:p w14:paraId="54CC3BEB"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18. Liddle J, Haynes M, Pachana NA, Mitchell G, McKenna K, Gustafsson L. Effect of a Group Intervention to Promote Older Adults’ Adjustment to Driving Cessation on Community Mobility: A Randomized Controlled Trial. Gerontologist. 2014;54:409–22.</w:t>
      </w:r>
    </w:p>
    <w:p w14:paraId="3A2388FA"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19. Liu M, Xue Q-LL, Gitlin LN, Wolff JL, Guralnik J, Leff B, et al. Disability Prevention Program Improves Life-Space and Falls Efficacy: A Randomized  Controlled Trial. J Am Geriatr Soc. 2021;69:85–90.</w:t>
      </w:r>
    </w:p>
    <w:p w14:paraId="004ABA2A"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20. Makizako H, Tsutsumimoto K, Doi T, Makino K, Nakakubo S, Liu-Ambrose T, et al. Exercise and Horticultural Programs for Older Adults with Depressive Symptoms and  Memory Problems: A Randomized Controlled Trial. J Clin Med. 2019;9.</w:t>
      </w:r>
    </w:p>
    <w:p w14:paraId="4DD47A7B"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21. Murabayashi N, Akahoshi T, Ishimine R, Saji N, Takeda C, Nakayama H, et al. Effects of Music Therapy in Frail Elderlies: Controlled Crossover Study. Dement Geriatr Cogn Dis Extra. 2019;9:87–99.</w:t>
      </w:r>
    </w:p>
    <w:p w14:paraId="6B6B9461"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22. Siltanen S, Portegijs E, Pynnönen K, Hassandra M, Rantalainen T, Karavirta L, et al. Effects of an Individualized Active Aging Counseling Intervention on Mobility and Physical Activity: Secondary Analyses of a Randomized Controlled Trial. J Aging Health. 2020;32:1316–24.</w:t>
      </w:r>
    </w:p>
    <w:p w14:paraId="19283158"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23. Swan F, English A, Allgar V, Hart SP, Johnson MJ. The Hand-Held Fan and the Calming Hand for People With Chronic Breathlessness: A  Feasibility Trial. J Pain Symptom Manage. 2019;57:1051-1061.e1.</w:t>
      </w:r>
    </w:p>
    <w:p w14:paraId="35F9CA39"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24. Tanaka S, Yamagami T, Yamaguchi H. Effects of a group-based physical and cognitive intervention on social activity and  quality of life for elderly people with dementia in a geriatric health service facility: a quasi-randomised controlled trial. Psychogeriatrics. 2021;21:71–9.</w:t>
      </w:r>
    </w:p>
    <w:p w14:paraId="4ACFAA99" w14:textId="77777777" w:rsidR="001F4F7D" w:rsidRPr="00DF7B41" w:rsidRDefault="001F4F7D" w:rsidP="001F4F7D">
      <w:pPr>
        <w:widowControl w:val="0"/>
        <w:autoSpaceDE w:val="0"/>
        <w:autoSpaceDN w:val="0"/>
        <w:adjustRightInd w:val="0"/>
        <w:spacing w:after="0" w:line="480" w:lineRule="auto"/>
        <w:rPr>
          <w:rFonts w:ascii="Times New Roman" w:hAnsi="Times New Roman" w:cs="Times New Roman"/>
          <w:noProof/>
          <w:sz w:val="20"/>
          <w:szCs w:val="24"/>
          <w:lang w:val="en-GB"/>
        </w:rPr>
      </w:pPr>
      <w:r w:rsidRPr="00DF7B41">
        <w:rPr>
          <w:rFonts w:ascii="Times New Roman" w:hAnsi="Times New Roman" w:cs="Times New Roman"/>
          <w:noProof/>
          <w:sz w:val="20"/>
          <w:szCs w:val="24"/>
          <w:lang w:val="en-GB"/>
        </w:rPr>
        <w:t>25. Tay L, Tay EL, Mah SM, Latib A, Ng YS. Intrinsic capacity rather than intervention exposure influences reversal to robustness among prefrail community-dwelling older adults: A non-randomized controlled study of a multidomain exercise and nutrition intervention. Front Med. 2022;9.</w:t>
      </w:r>
    </w:p>
    <w:p w14:paraId="1BD08AC6" w14:textId="77777777" w:rsidR="001F4F7D" w:rsidRPr="001F4F7D" w:rsidRDefault="001F4F7D" w:rsidP="001F4F7D">
      <w:pPr>
        <w:widowControl w:val="0"/>
        <w:autoSpaceDE w:val="0"/>
        <w:autoSpaceDN w:val="0"/>
        <w:adjustRightInd w:val="0"/>
        <w:spacing w:after="0" w:line="480" w:lineRule="auto"/>
        <w:rPr>
          <w:rFonts w:ascii="Times New Roman" w:hAnsi="Times New Roman" w:cs="Times New Roman"/>
          <w:noProof/>
          <w:sz w:val="20"/>
          <w:szCs w:val="24"/>
        </w:rPr>
      </w:pPr>
      <w:r w:rsidRPr="00DF7B41">
        <w:rPr>
          <w:rFonts w:ascii="Times New Roman" w:hAnsi="Times New Roman" w:cs="Times New Roman"/>
          <w:noProof/>
          <w:sz w:val="20"/>
          <w:szCs w:val="24"/>
          <w:lang w:val="en-GB"/>
        </w:rPr>
        <w:t xml:space="preserve">26. Uemura K, Yamada M, Okamoto H. The Effectiveness of an Active Learning Program in Promoting a Healthy Lifestyle  among Older Adults with Low Health Literacy: A Randomized Controlled Trial. </w:t>
      </w:r>
      <w:r w:rsidRPr="001F4F7D">
        <w:rPr>
          <w:rFonts w:ascii="Times New Roman" w:hAnsi="Times New Roman" w:cs="Times New Roman"/>
          <w:noProof/>
          <w:sz w:val="20"/>
          <w:szCs w:val="24"/>
        </w:rPr>
        <w:t>Gerontology. 2021;67:25–35.</w:t>
      </w:r>
    </w:p>
    <w:p w14:paraId="2A688394" w14:textId="77777777" w:rsidR="001F4F7D" w:rsidRPr="001F4F7D" w:rsidRDefault="001F4F7D" w:rsidP="001F4F7D">
      <w:pPr>
        <w:widowControl w:val="0"/>
        <w:autoSpaceDE w:val="0"/>
        <w:autoSpaceDN w:val="0"/>
        <w:adjustRightInd w:val="0"/>
        <w:spacing w:after="0" w:line="480" w:lineRule="auto"/>
        <w:rPr>
          <w:rFonts w:ascii="Times New Roman" w:hAnsi="Times New Roman" w:cs="Times New Roman"/>
          <w:noProof/>
          <w:sz w:val="20"/>
        </w:rPr>
      </w:pPr>
      <w:r w:rsidRPr="001F4F7D">
        <w:rPr>
          <w:rFonts w:ascii="Times New Roman" w:hAnsi="Times New Roman" w:cs="Times New Roman"/>
          <w:noProof/>
          <w:sz w:val="20"/>
          <w:szCs w:val="24"/>
        </w:rPr>
        <w:t xml:space="preserve">27. Ullrich P, Werner C, Bongartz M, Eckert T, Abel B, Schönstein A, et al. </w:t>
      </w:r>
      <w:r w:rsidRPr="00DF7B41">
        <w:rPr>
          <w:rFonts w:ascii="Times New Roman" w:hAnsi="Times New Roman" w:cs="Times New Roman"/>
          <w:noProof/>
          <w:sz w:val="20"/>
          <w:szCs w:val="24"/>
          <w:lang w:val="en-GB"/>
        </w:rPr>
        <w:t>Increasing Life-Space Mobility in community-</w:t>
      </w:r>
      <w:r w:rsidRPr="00DF7B41">
        <w:rPr>
          <w:rFonts w:ascii="Times New Roman" w:hAnsi="Times New Roman" w:cs="Times New Roman"/>
          <w:noProof/>
          <w:sz w:val="20"/>
          <w:szCs w:val="24"/>
          <w:lang w:val="en-GB"/>
        </w:rPr>
        <w:lastRenderedPageBreak/>
        <w:t xml:space="preserve">dwelling older persons with cognitive  impairment following rehabilitation: A randomized controlled trial. </w:t>
      </w:r>
      <w:r w:rsidRPr="001F4F7D">
        <w:rPr>
          <w:rFonts w:ascii="Times New Roman" w:hAnsi="Times New Roman" w:cs="Times New Roman"/>
          <w:noProof/>
          <w:sz w:val="20"/>
          <w:szCs w:val="24"/>
        </w:rPr>
        <w:t>J Gerontol A Biol Sci Med Sci. 2020. https://doi.org/10.1093/gerona/glaa254.</w:t>
      </w:r>
    </w:p>
    <w:p w14:paraId="670E5248" w14:textId="1766DE4F" w:rsidR="00CF69B7" w:rsidRDefault="00CF69B7" w:rsidP="00CF69B7">
      <w:pPr>
        <w:spacing w:after="0" w:line="480" w:lineRule="auto"/>
        <w:jc w:val="center"/>
        <w:rPr>
          <w:rFonts w:ascii="Times New Roman" w:eastAsia="Times New Roman" w:hAnsi="Times New Roman" w:cs="Times New Roman"/>
          <w:color w:val="000000"/>
          <w:sz w:val="20"/>
          <w:szCs w:val="20"/>
          <w:lang w:val="en-US" w:eastAsia="de-CH"/>
        </w:rPr>
      </w:pPr>
      <w:r>
        <w:rPr>
          <w:rFonts w:ascii="Times New Roman" w:eastAsia="Times New Roman" w:hAnsi="Times New Roman" w:cs="Times New Roman"/>
          <w:color w:val="000000"/>
          <w:sz w:val="20"/>
          <w:szCs w:val="20"/>
          <w:lang w:val="en-US" w:eastAsia="de-CH"/>
        </w:rPr>
        <w:fldChar w:fldCharType="end"/>
      </w:r>
    </w:p>
    <w:p w14:paraId="1E8A6D30" w14:textId="40CD1438" w:rsidR="00CF69B7" w:rsidRDefault="00CF69B7" w:rsidP="00CF69B7">
      <w:pPr>
        <w:spacing w:after="0" w:line="480" w:lineRule="auto"/>
        <w:rPr>
          <w:rFonts w:ascii="Times New Roman" w:eastAsia="Times New Roman" w:hAnsi="Times New Roman" w:cs="Times New Roman"/>
          <w:color w:val="000000"/>
          <w:sz w:val="20"/>
          <w:szCs w:val="20"/>
          <w:lang w:val="en-US" w:eastAsia="de-CH"/>
        </w:rPr>
      </w:pPr>
    </w:p>
    <w:bookmarkEnd w:id="1"/>
    <w:p w14:paraId="563EDC4E" w14:textId="77777777" w:rsidR="007F1E39" w:rsidRPr="00CF69B7" w:rsidRDefault="007F1E39">
      <w:pPr>
        <w:rPr>
          <w:lang w:val="en-US"/>
        </w:rPr>
      </w:pPr>
    </w:p>
    <w:sectPr w:rsidR="007F1E39" w:rsidRPr="00CF69B7" w:rsidSect="00CF69B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4109D" w14:textId="77777777" w:rsidR="00BF68D9" w:rsidRDefault="00BF68D9" w:rsidP="00CF69B7">
      <w:pPr>
        <w:spacing w:after="0" w:line="240" w:lineRule="auto"/>
      </w:pPr>
      <w:r>
        <w:separator/>
      </w:r>
    </w:p>
  </w:endnote>
  <w:endnote w:type="continuationSeparator" w:id="0">
    <w:p w14:paraId="230A2E35" w14:textId="77777777" w:rsidR="00BF68D9" w:rsidRDefault="00BF68D9" w:rsidP="00CF6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Devanagari">
    <w:altName w:val="Cambria"/>
    <w:charset w:val="00"/>
    <w:family w:val="swiss"/>
    <w:pitch w:val="variable"/>
    <w:sig w:usb0="80008023" w:usb1="00002046"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E952" w14:textId="05A50D87" w:rsidR="00CF69B7" w:rsidRPr="00CF69B7" w:rsidRDefault="007C7921" w:rsidP="00CF69B7">
    <w:pPr>
      <w:spacing w:after="0" w:line="480" w:lineRule="auto"/>
      <w:rPr>
        <w:rFonts w:ascii="Times New Roman" w:hAnsi="Times New Roman" w:cs="Times New Roman"/>
        <w:bCs/>
        <w:sz w:val="18"/>
        <w:szCs w:val="18"/>
        <w:lang w:val="en-US"/>
      </w:rPr>
    </w:pPr>
    <w:r>
      <w:rPr>
        <w:rFonts w:ascii="Times New Roman" w:hAnsi="Times New Roman" w:cs="Times New Roman"/>
        <w:bCs/>
        <w:sz w:val="18"/>
        <w:szCs w:val="18"/>
        <w:lang w:val="en-US"/>
      </w:rPr>
      <w:t>Multidimensional i</w:t>
    </w:r>
    <w:r w:rsidR="00CF69B7" w:rsidRPr="003555FC">
      <w:rPr>
        <w:rFonts w:ascii="Times New Roman" w:hAnsi="Times New Roman" w:cs="Times New Roman"/>
        <w:bCs/>
        <w:sz w:val="18"/>
        <w:szCs w:val="18"/>
        <w:lang w:val="en-US"/>
      </w:rPr>
      <w:t>nterventions to increase life-space mobility in older adults:</w:t>
    </w:r>
    <w:r w:rsidR="00CF69B7">
      <w:rPr>
        <w:rFonts w:ascii="Times New Roman" w:hAnsi="Times New Roman" w:cs="Times New Roman"/>
        <w:bCs/>
        <w:sz w:val="18"/>
        <w:szCs w:val="18"/>
        <w:lang w:val="en-US"/>
      </w:rPr>
      <w:t xml:space="preserve"> </w:t>
    </w:r>
    <w:r w:rsidR="00CF69B7" w:rsidRPr="003555FC">
      <w:rPr>
        <w:rFonts w:ascii="Times New Roman" w:hAnsi="Times New Roman" w:cs="Times New Roman"/>
        <w:bCs/>
        <w:sz w:val="18"/>
        <w:szCs w:val="18"/>
        <w:lang w:val="en-US"/>
      </w:rPr>
      <w:t xml:space="preserve">a systematic scoping </w:t>
    </w:r>
    <w:proofErr w:type="spellStart"/>
    <w:r w:rsidR="00CF69B7" w:rsidRPr="003555FC">
      <w:rPr>
        <w:rFonts w:ascii="Times New Roman" w:hAnsi="Times New Roman" w:cs="Times New Roman"/>
        <w:bCs/>
        <w:sz w:val="18"/>
        <w:szCs w:val="18"/>
        <w:lang w:val="en-US"/>
      </w:rPr>
      <w:t>review</w:t>
    </w:r>
    <w:r w:rsidR="00CF69B7">
      <w:rPr>
        <w:rFonts w:ascii="Times New Roman" w:hAnsi="Times New Roman" w:cs="Times New Roman"/>
        <w:bCs/>
        <w:sz w:val="18"/>
        <w:szCs w:val="18"/>
        <w:lang w:val="en-US"/>
      </w:rPr>
      <w:t>_Additional</w:t>
    </w:r>
    <w:proofErr w:type="spellEnd"/>
    <w:r w:rsidR="00CF69B7">
      <w:rPr>
        <w:rFonts w:ascii="Times New Roman" w:hAnsi="Times New Roman" w:cs="Times New Roman"/>
        <w:bCs/>
        <w:sz w:val="18"/>
        <w:szCs w:val="18"/>
        <w:lang w:val="en-US"/>
      </w:rPr>
      <w:t xml:space="preserve"> File </w:t>
    </w:r>
    <w:r w:rsidR="007C17FF">
      <w:rPr>
        <w:rFonts w:ascii="Times New Roman" w:hAnsi="Times New Roman" w:cs="Times New Roman"/>
        <w:bCs/>
        <w:sz w:val="18"/>
        <w:szCs w:val="18"/>
        <w:lang w:val="en-US"/>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07E54" w14:textId="77777777" w:rsidR="00BF68D9" w:rsidRDefault="00BF68D9" w:rsidP="00CF69B7">
      <w:pPr>
        <w:spacing w:after="0" w:line="240" w:lineRule="auto"/>
      </w:pPr>
      <w:r>
        <w:separator/>
      </w:r>
    </w:p>
  </w:footnote>
  <w:footnote w:type="continuationSeparator" w:id="0">
    <w:p w14:paraId="45761BEE" w14:textId="77777777" w:rsidR="00BF68D9" w:rsidRDefault="00BF68D9" w:rsidP="00CF6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042307"/>
      <w:docPartObj>
        <w:docPartGallery w:val="Page Numbers (Top of Page)"/>
        <w:docPartUnique/>
      </w:docPartObj>
    </w:sdtPr>
    <w:sdtContent>
      <w:p w14:paraId="78CDC42C" w14:textId="56DA5838" w:rsidR="00CF69B7" w:rsidRDefault="00CF69B7">
        <w:pPr>
          <w:pStyle w:val="Kopfzeile"/>
          <w:jc w:val="right"/>
        </w:pPr>
        <w:r>
          <w:fldChar w:fldCharType="begin"/>
        </w:r>
        <w:r>
          <w:instrText>PAGE   \* MERGEFORMAT</w:instrText>
        </w:r>
        <w:r>
          <w:fldChar w:fldCharType="separate"/>
        </w:r>
        <w:r>
          <w:t>2</w:t>
        </w:r>
        <w:r>
          <w:fldChar w:fldCharType="end"/>
        </w:r>
      </w:p>
    </w:sdtContent>
  </w:sdt>
  <w:p w14:paraId="44E8C413" w14:textId="77777777" w:rsidR="00CF69B7" w:rsidRDefault="00CF69B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9B7"/>
    <w:rsid w:val="000341AE"/>
    <w:rsid w:val="000A46E2"/>
    <w:rsid w:val="001577B1"/>
    <w:rsid w:val="00164F46"/>
    <w:rsid w:val="001F4F7D"/>
    <w:rsid w:val="002E6171"/>
    <w:rsid w:val="00316926"/>
    <w:rsid w:val="003B0A24"/>
    <w:rsid w:val="005B4838"/>
    <w:rsid w:val="0060522C"/>
    <w:rsid w:val="007C17FF"/>
    <w:rsid w:val="007C7921"/>
    <w:rsid w:val="007F1E39"/>
    <w:rsid w:val="00857CEA"/>
    <w:rsid w:val="009E3B80"/>
    <w:rsid w:val="00A919BC"/>
    <w:rsid w:val="00AF4F73"/>
    <w:rsid w:val="00BF68D9"/>
    <w:rsid w:val="00CF2FB6"/>
    <w:rsid w:val="00CF69B7"/>
    <w:rsid w:val="00D05814"/>
    <w:rsid w:val="00DA4FCA"/>
    <w:rsid w:val="00DC0CD4"/>
    <w:rsid w:val="00DF7B41"/>
    <w:rsid w:val="00FB5F2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A9352"/>
  <w15:chartTrackingRefBased/>
  <w15:docId w15:val="{E313C4B0-24C2-4361-8FCF-F72DBB71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9B7"/>
    <w:pPr>
      <w:spacing w:after="200" w:line="276" w:lineRule="auto"/>
    </w:pPr>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qFormat/>
    <w:rsid w:val="00CF69B7"/>
    <w:pPr>
      <w:suppressLineNumbers/>
      <w:spacing w:before="120" w:after="120"/>
    </w:pPr>
    <w:rPr>
      <w:rFonts w:cs="Noto Sans Devanagari"/>
      <w:i/>
      <w:iCs/>
      <w:sz w:val="24"/>
      <w:szCs w:val="24"/>
    </w:rPr>
  </w:style>
  <w:style w:type="table" w:styleId="Tabellenraster">
    <w:name w:val="Table Grid"/>
    <w:basedOn w:val="NormaleTabelle"/>
    <w:uiPriority w:val="39"/>
    <w:rsid w:val="00CF69B7"/>
    <w:pPr>
      <w:spacing w:after="0" w:line="260" w:lineRule="atLeast"/>
    </w:pPr>
    <w:rPr>
      <w:sz w:val="20"/>
      <w:szCs w:val="20"/>
    </w:rPr>
    <w:tblPr>
      <w:tblCellMar>
        <w:left w:w="0" w:type="dxa"/>
        <w:right w:w="0" w:type="dxa"/>
      </w:tblCellMar>
    </w:tblPr>
  </w:style>
  <w:style w:type="paragraph" w:styleId="Kopfzeile">
    <w:name w:val="header"/>
    <w:basedOn w:val="Standard"/>
    <w:link w:val="KopfzeileZchn"/>
    <w:uiPriority w:val="99"/>
    <w:unhideWhenUsed/>
    <w:rsid w:val="00CF69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F69B7"/>
    <w:rPr>
      <w:lang w:val="de-DE"/>
    </w:rPr>
  </w:style>
  <w:style w:type="paragraph" w:styleId="Fuzeile">
    <w:name w:val="footer"/>
    <w:basedOn w:val="Standard"/>
    <w:link w:val="FuzeileZchn"/>
    <w:uiPriority w:val="99"/>
    <w:unhideWhenUsed/>
    <w:rsid w:val="00CF69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F69B7"/>
    <w:rPr>
      <w:lang w:val="de-DE"/>
    </w:rPr>
  </w:style>
  <w:style w:type="paragraph" w:styleId="Listenabsatz">
    <w:name w:val="List Paragraph"/>
    <w:basedOn w:val="Standard"/>
    <w:uiPriority w:val="34"/>
    <w:qFormat/>
    <w:rsid w:val="005B4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3DB98-E1ED-43D6-A954-D2362981E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13985</Words>
  <Characters>88110</Characters>
  <Application>Microsoft Office Word</Application>
  <DocSecurity>0</DocSecurity>
  <Lines>734</Lines>
  <Paragraphs>203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Seinsche  Julia</dc:creator>
  <cp:keywords/>
  <dc:description/>
  <cp:lastModifiedBy>Seinsche  Julia</cp:lastModifiedBy>
  <cp:revision>4</cp:revision>
  <dcterms:created xsi:type="dcterms:W3CDTF">2023-05-29T13:44:00Z</dcterms:created>
  <dcterms:modified xsi:type="dcterms:W3CDTF">2023-05-31T09:14:00Z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http://csl.mendeley.com/styles/533651851/american-medical-association-2</vt:lpwstr>
  </property>
  <property fmtid="{D5CDD505-2E9C-101B-9397-08002B2CF9AE}" pid="5" name="Mendeley Recent Style Name 1_1">
    <vt:lpwstr>American Medical Association 11th edition - Julia Seinsche</vt:lpwstr>
  </property>
  <property fmtid="{D5CDD505-2E9C-101B-9397-08002B2CF9AE}" pid="6" name="Mendeley Recent Style Id 2_1">
    <vt:lpwstr>http://www.zotero.org/styles/bmc-geriatrics</vt:lpwstr>
  </property>
  <property fmtid="{D5CDD505-2E9C-101B-9397-08002B2CF9AE}" pid="7" name="Mendeley Recent Style Name 2_1">
    <vt:lpwstr>BMC Geriatrics</vt:lpwstr>
  </property>
  <property fmtid="{D5CDD505-2E9C-101B-9397-08002B2CF9AE}" pid="8" name="Mendeley Recent Style Id 3_1">
    <vt:lpwstr>http://www.zotero.org/styles/elsevier-harvard</vt:lpwstr>
  </property>
  <property fmtid="{D5CDD505-2E9C-101B-9397-08002B2CF9AE}" pid="9" name="Mendeley Recent Style Name 3_1">
    <vt:lpwstr>Elsevier - Harvard (with titles)</vt:lpwstr>
  </property>
  <property fmtid="{D5CDD505-2E9C-101B-9397-08002B2CF9AE}" pid="10" name="Mendeley Recent Style Id 4_1">
    <vt:lpwstr>http://www.zotero.org/styles/elsevier-harvard-without-titles</vt:lpwstr>
  </property>
  <property fmtid="{D5CDD505-2E9C-101B-9397-08002B2CF9AE}" pid="11" name="Mendeley Recent Style Name 4_1">
    <vt:lpwstr>Elsevier - Harvard (without titles)</vt:lpwstr>
  </property>
  <property fmtid="{D5CDD505-2E9C-101B-9397-08002B2CF9AE}" pid="12" name="Mendeley Recent Style Id 5_1">
    <vt:lpwstr>http://www.zotero.org/styles/frontiers-in-digital-humanities</vt:lpwstr>
  </property>
  <property fmtid="{D5CDD505-2E9C-101B-9397-08002B2CF9AE}" pid="13" name="Mendeley Recent Style Name 5_1">
    <vt:lpwstr>Frontiers in Digital Humanities</vt:lpwstr>
  </property>
  <property fmtid="{D5CDD505-2E9C-101B-9397-08002B2CF9AE}" pid="14" name="Mendeley Recent Style Id 6_1">
    <vt:lpwstr>http://www.zotero.org/styles/frontiers-in-psychology</vt:lpwstr>
  </property>
  <property fmtid="{D5CDD505-2E9C-101B-9397-08002B2CF9AE}" pid="15" name="Mendeley Recent Style Name 6_1">
    <vt:lpwstr>Frontiers in Psychology</vt:lpwstr>
  </property>
  <property fmtid="{D5CDD505-2E9C-101B-9397-08002B2CF9AE}" pid="16" name="Mendeley Recent Style Id 7_1">
    <vt:lpwstr>http://www.zotero.org/styles/frontiers</vt:lpwstr>
  </property>
  <property fmtid="{D5CDD505-2E9C-101B-9397-08002B2CF9AE}" pid="17" name="Mendeley Recent Style Name 7_1">
    <vt:lpwstr>Frontiers journals</vt:lpwstr>
  </property>
  <property fmtid="{D5CDD505-2E9C-101B-9397-08002B2CF9AE}" pid="18" name="Mendeley Recent Style Id 8_1">
    <vt:lpwstr>http://www.zotero.org/styles/harvard1</vt:lpwstr>
  </property>
  <property fmtid="{D5CDD505-2E9C-101B-9397-08002B2CF9AE}" pid="19" name="Mendeley Recent Style Name 8_1">
    <vt:lpwstr>Harvard reference format 1 (deprecated)</vt:lpwstr>
  </property>
  <property fmtid="{D5CDD505-2E9C-101B-9397-08002B2CF9AE}" pid="20" name="Mendeley Recent Style Id 9_1">
    <vt:lpwstr>http://www.zotero.org/styles/ieee</vt:lpwstr>
  </property>
  <property fmtid="{D5CDD505-2E9C-101B-9397-08002B2CF9AE}" pid="21" name="Mendeley Recent Style Name 9_1">
    <vt:lpwstr>IEEE</vt:lpwstr>
  </property>
  <property fmtid="{D5CDD505-2E9C-101B-9397-08002B2CF9AE}" pid="22" name="Mendeley Document_1">
    <vt:lpwstr>True</vt:lpwstr>
  </property>
  <property fmtid="{D5CDD505-2E9C-101B-9397-08002B2CF9AE}" pid="23" name="Mendeley Unique User Id_1">
    <vt:lpwstr>63921f5d-ee8c-3153-86b7-bccf223daf9e</vt:lpwstr>
  </property>
  <property fmtid="{D5CDD505-2E9C-101B-9397-08002B2CF9AE}" pid="24" name="Mendeley Citation Style_1">
    <vt:lpwstr>http://www.zotero.org/styles/bmc-geriatrics</vt:lpwstr>
  </property>
</Properties>
</file>