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17DDE" w14:textId="4EC408BE" w:rsidR="0015162E" w:rsidRPr="00FB694E" w:rsidRDefault="00625045">
      <w:pPr>
        <w:rPr>
          <w:rFonts w:ascii="Times New Roman" w:hAnsi="Times New Roman" w:cs="Times New Roman"/>
          <w:sz w:val="24"/>
          <w:szCs w:val="24"/>
          <w:lang w:val="en-GB"/>
        </w:rPr>
      </w:pPr>
      <w:r>
        <w:rPr>
          <w:rFonts w:ascii="Times New Roman" w:hAnsi="Times New Roman" w:cs="Times New Roman"/>
          <w:b/>
          <w:bCs/>
          <w:sz w:val="24"/>
          <w:szCs w:val="24"/>
          <w:lang w:val="en-GB"/>
        </w:rPr>
        <w:t>Supplementary Table 5</w:t>
      </w:r>
      <w:r w:rsidR="0015162E" w:rsidRPr="00FB694E">
        <w:rPr>
          <w:rFonts w:ascii="Times New Roman" w:hAnsi="Times New Roman" w:cs="Times New Roman"/>
          <w:b/>
          <w:bCs/>
          <w:sz w:val="24"/>
          <w:szCs w:val="24"/>
          <w:lang w:val="en-GB"/>
        </w:rPr>
        <w:t>.</w:t>
      </w:r>
      <w:r w:rsidR="0015162E" w:rsidRPr="00FB694E">
        <w:rPr>
          <w:rFonts w:ascii="Times New Roman" w:hAnsi="Times New Roman" w:cs="Times New Roman"/>
          <w:sz w:val="24"/>
          <w:szCs w:val="24"/>
          <w:lang w:val="en-GB"/>
        </w:rPr>
        <w:t xml:space="preserve"> Overview intervention characteristics </w:t>
      </w:r>
    </w:p>
    <w:tbl>
      <w:tblPr>
        <w:tblStyle w:val="Tabellenraster"/>
        <w:tblW w:w="0" w:type="auto"/>
        <w:tblLook w:val="04A0" w:firstRow="1" w:lastRow="0" w:firstColumn="1" w:lastColumn="0" w:noHBand="0" w:noVBand="1"/>
      </w:tblPr>
      <w:tblGrid>
        <w:gridCol w:w="1643"/>
        <w:gridCol w:w="1839"/>
        <w:gridCol w:w="1399"/>
        <w:gridCol w:w="1280"/>
        <w:gridCol w:w="1518"/>
        <w:gridCol w:w="1383"/>
      </w:tblGrid>
      <w:tr w:rsidR="00B029D6" w:rsidRPr="0015162E" w14:paraId="21471DE4" w14:textId="77777777" w:rsidTr="00B029D6">
        <w:tc>
          <w:tcPr>
            <w:tcW w:w="1643" w:type="dxa"/>
            <w:shd w:val="clear" w:color="auto" w:fill="auto"/>
            <w:vAlign w:val="center"/>
          </w:tcPr>
          <w:p w14:paraId="3F5BEFFB" w14:textId="77777777" w:rsidR="0015162E" w:rsidRPr="0015162E" w:rsidRDefault="0015162E" w:rsidP="008B1D00">
            <w:pPr>
              <w:rPr>
                <w:rFonts w:ascii="Times New Roman" w:hAnsi="Times New Roman" w:cs="Times New Roman"/>
                <w:b/>
                <w:bCs/>
                <w:sz w:val="20"/>
                <w:szCs w:val="20"/>
              </w:rPr>
            </w:pPr>
            <w:r w:rsidRPr="0015162E">
              <w:rPr>
                <w:rFonts w:ascii="Times New Roman" w:hAnsi="Times New Roman" w:cs="Times New Roman"/>
                <w:b/>
                <w:bCs/>
                <w:sz w:val="20"/>
                <w:szCs w:val="20"/>
              </w:rPr>
              <w:t xml:space="preserve">Intervention </w:t>
            </w:r>
            <w:proofErr w:type="spellStart"/>
            <w:r w:rsidRPr="0015162E">
              <w:rPr>
                <w:rFonts w:ascii="Times New Roman" w:hAnsi="Times New Roman" w:cs="Times New Roman"/>
                <w:b/>
                <w:bCs/>
                <w:sz w:val="20"/>
                <w:szCs w:val="20"/>
              </w:rPr>
              <w:t>category</w:t>
            </w:r>
            <w:proofErr w:type="spellEnd"/>
            <w:r w:rsidRPr="0015162E">
              <w:rPr>
                <w:rFonts w:ascii="Times New Roman" w:hAnsi="Times New Roman" w:cs="Times New Roman"/>
                <w:b/>
                <w:bCs/>
                <w:sz w:val="20"/>
                <w:szCs w:val="20"/>
              </w:rPr>
              <w:t xml:space="preserve"> </w:t>
            </w:r>
          </w:p>
          <w:p w14:paraId="451247A0" w14:textId="77777777" w:rsidR="0015162E" w:rsidRPr="0015162E" w:rsidRDefault="0015162E" w:rsidP="008B1D00">
            <w:pPr>
              <w:rPr>
                <w:rFonts w:ascii="Times New Roman" w:hAnsi="Times New Roman" w:cs="Times New Roman"/>
                <w:b/>
                <w:bCs/>
                <w:sz w:val="20"/>
                <w:szCs w:val="20"/>
              </w:rPr>
            </w:pPr>
            <w:proofErr w:type="spellStart"/>
            <w:r w:rsidRPr="0015162E">
              <w:rPr>
                <w:rFonts w:ascii="Times New Roman" w:hAnsi="Times New Roman" w:cs="Times New Roman"/>
                <w:b/>
                <w:bCs/>
                <w:sz w:val="20"/>
                <w:szCs w:val="20"/>
              </w:rPr>
              <w:t>level</w:t>
            </w:r>
            <w:proofErr w:type="spellEnd"/>
            <w:r w:rsidRPr="0015162E">
              <w:rPr>
                <w:rFonts w:ascii="Times New Roman" w:hAnsi="Times New Roman" w:cs="Times New Roman"/>
                <w:b/>
                <w:bCs/>
                <w:sz w:val="20"/>
                <w:szCs w:val="20"/>
              </w:rPr>
              <w:t xml:space="preserve"> 1</w:t>
            </w:r>
          </w:p>
        </w:tc>
        <w:tc>
          <w:tcPr>
            <w:tcW w:w="3245" w:type="dxa"/>
            <w:gridSpan w:val="2"/>
            <w:shd w:val="clear" w:color="auto" w:fill="auto"/>
            <w:vAlign w:val="center"/>
          </w:tcPr>
          <w:p w14:paraId="69529DFD" w14:textId="77777777" w:rsidR="0015162E" w:rsidRPr="0015162E" w:rsidRDefault="0015162E" w:rsidP="008B1D00">
            <w:pPr>
              <w:rPr>
                <w:rFonts w:ascii="Times New Roman" w:hAnsi="Times New Roman" w:cs="Times New Roman"/>
                <w:b/>
                <w:bCs/>
                <w:sz w:val="20"/>
                <w:szCs w:val="20"/>
              </w:rPr>
            </w:pPr>
            <w:r w:rsidRPr="0015162E">
              <w:rPr>
                <w:rFonts w:ascii="Times New Roman" w:hAnsi="Times New Roman" w:cs="Times New Roman"/>
                <w:b/>
                <w:bCs/>
                <w:sz w:val="20"/>
                <w:szCs w:val="20"/>
              </w:rPr>
              <w:t xml:space="preserve">Intervention </w:t>
            </w:r>
            <w:proofErr w:type="spellStart"/>
            <w:r w:rsidRPr="0015162E">
              <w:rPr>
                <w:rFonts w:ascii="Times New Roman" w:hAnsi="Times New Roman" w:cs="Times New Roman"/>
                <w:b/>
                <w:bCs/>
                <w:sz w:val="20"/>
                <w:szCs w:val="20"/>
              </w:rPr>
              <w:t>category</w:t>
            </w:r>
            <w:proofErr w:type="spellEnd"/>
            <w:r w:rsidRPr="0015162E">
              <w:rPr>
                <w:rFonts w:ascii="Times New Roman" w:hAnsi="Times New Roman" w:cs="Times New Roman"/>
                <w:b/>
                <w:bCs/>
                <w:sz w:val="20"/>
                <w:szCs w:val="20"/>
              </w:rPr>
              <w:t xml:space="preserve"> </w:t>
            </w:r>
          </w:p>
          <w:p w14:paraId="2183DD16" w14:textId="77777777" w:rsidR="0015162E" w:rsidRPr="0015162E" w:rsidRDefault="0015162E" w:rsidP="008B1D00">
            <w:pPr>
              <w:rPr>
                <w:rFonts w:ascii="Times New Roman" w:hAnsi="Times New Roman" w:cs="Times New Roman"/>
                <w:b/>
                <w:bCs/>
                <w:sz w:val="20"/>
                <w:szCs w:val="20"/>
              </w:rPr>
            </w:pPr>
            <w:proofErr w:type="spellStart"/>
            <w:r w:rsidRPr="0015162E">
              <w:rPr>
                <w:rFonts w:ascii="Times New Roman" w:hAnsi="Times New Roman" w:cs="Times New Roman"/>
                <w:b/>
                <w:bCs/>
                <w:sz w:val="20"/>
                <w:szCs w:val="20"/>
              </w:rPr>
              <w:t>level</w:t>
            </w:r>
            <w:proofErr w:type="spellEnd"/>
            <w:r w:rsidRPr="0015162E">
              <w:rPr>
                <w:rFonts w:ascii="Times New Roman" w:hAnsi="Times New Roman" w:cs="Times New Roman"/>
                <w:b/>
                <w:bCs/>
                <w:sz w:val="20"/>
                <w:szCs w:val="20"/>
              </w:rPr>
              <w:t xml:space="preserve"> 2 + 3</w:t>
            </w:r>
          </w:p>
        </w:tc>
        <w:tc>
          <w:tcPr>
            <w:tcW w:w="1282" w:type="dxa"/>
            <w:shd w:val="clear" w:color="auto" w:fill="auto"/>
            <w:vAlign w:val="center"/>
          </w:tcPr>
          <w:p w14:paraId="5AC5573A" w14:textId="77777777" w:rsidR="0015162E" w:rsidRPr="0015162E" w:rsidRDefault="0015162E" w:rsidP="008B1D00">
            <w:pPr>
              <w:rPr>
                <w:rFonts w:ascii="Times New Roman" w:hAnsi="Times New Roman" w:cs="Times New Roman"/>
                <w:b/>
                <w:bCs/>
                <w:sz w:val="20"/>
                <w:szCs w:val="20"/>
              </w:rPr>
            </w:pPr>
            <w:r w:rsidRPr="0015162E">
              <w:rPr>
                <w:rFonts w:ascii="Times New Roman" w:hAnsi="Times New Roman" w:cs="Times New Roman"/>
                <w:b/>
                <w:bCs/>
                <w:sz w:val="20"/>
                <w:szCs w:val="20"/>
              </w:rPr>
              <w:t>Study</w:t>
            </w:r>
          </w:p>
        </w:tc>
        <w:tc>
          <w:tcPr>
            <w:tcW w:w="1538" w:type="dxa"/>
            <w:shd w:val="clear" w:color="auto" w:fill="auto"/>
            <w:vAlign w:val="center"/>
          </w:tcPr>
          <w:p w14:paraId="5FB03BC9" w14:textId="77777777" w:rsidR="0015162E" w:rsidRPr="0015162E" w:rsidRDefault="0015162E" w:rsidP="008B1D00">
            <w:pPr>
              <w:rPr>
                <w:rFonts w:ascii="Times New Roman" w:hAnsi="Times New Roman" w:cs="Times New Roman"/>
                <w:b/>
                <w:bCs/>
                <w:sz w:val="20"/>
                <w:szCs w:val="20"/>
                <w:lang w:val="en-GB"/>
              </w:rPr>
            </w:pPr>
            <w:r w:rsidRPr="0015162E">
              <w:rPr>
                <w:rFonts w:ascii="Times New Roman" w:hAnsi="Times New Roman" w:cs="Times New Roman"/>
                <w:b/>
                <w:bCs/>
                <w:sz w:val="20"/>
                <w:szCs w:val="20"/>
                <w:lang w:val="en-GB"/>
              </w:rPr>
              <w:t>Participants</w:t>
            </w:r>
          </w:p>
        </w:tc>
        <w:tc>
          <w:tcPr>
            <w:tcW w:w="1354" w:type="dxa"/>
            <w:shd w:val="clear" w:color="auto" w:fill="auto"/>
          </w:tcPr>
          <w:p w14:paraId="06F2878F" w14:textId="77777777" w:rsidR="0015162E" w:rsidRPr="0015162E" w:rsidRDefault="0015162E" w:rsidP="008B1D00">
            <w:pPr>
              <w:jc w:val="center"/>
              <w:rPr>
                <w:rFonts w:ascii="Times New Roman" w:hAnsi="Times New Roman" w:cs="Times New Roman"/>
                <w:b/>
                <w:bCs/>
                <w:sz w:val="20"/>
                <w:szCs w:val="20"/>
                <w:lang w:val="en-GB"/>
              </w:rPr>
            </w:pPr>
            <w:r w:rsidRPr="0015162E">
              <w:rPr>
                <w:rFonts w:ascii="Times New Roman" w:hAnsi="Times New Roman" w:cs="Times New Roman"/>
                <w:b/>
                <w:bCs/>
                <w:sz w:val="20"/>
                <w:szCs w:val="20"/>
                <w:lang w:val="en-GB"/>
              </w:rPr>
              <w:t xml:space="preserve">Improvement in LSM </w:t>
            </w:r>
          </w:p>
        </w:tc>
      </w:tr>
      <w:tr w:rsidR="00B029D6" w:rsidRPr="0015162E" w14:paraId="551B6A57" w14:textId="77777777" w:rsidTr="00B029D6">
        <w:tc>
          <w:tcPr>
            <w:tcW w:w="1643" w:type="dxa"/>
            <w:vMerge w:val="restart"/>
            <w:shd w:val="clear" w:color="auto" w:fill="auto"/>
          </w:tcPr>
          <w:p w14:paraId="40527C5C"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Multidimensional interventions</w:t>
            </w:r>
          </w:p>
        </w:tc>
        <w:tc>
          <w:tcPr>
            <w:tcW w:w="1843" w:type="dxa"/>
            <w:vMerge w:val="restart"/>
            <w:shd w:val="clear" w:color="auto" w:fill="auto"/>
          </w:tcPr>
          <w:p w14:paraId="3779A8AB"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xml:space="preserve">Physical interventions + </w:t>
            </w:r>
            <w:proofErr w:type="spellStart"/>
            <w:r w:rsidRPr="0015162E">
              <w:rPr>
                <w:rFonts w:ascii="Times New Roman" w:hAnsi="Times New Roman" w:cs="Times New Roman"/>
                <w:sz w:val="20"/>
                <w:szCs w:val="20"/>
                <w:lang w:val="en-GB"/>
              </w:rPr>
              <w:t>counseling</w:t>
            </w:r>
            <w:proofErr w:type="spellEnd"/>
          </w:p>
        </w:tc>
        <w:tc>
          <w:tcPr>
            <w:tcW w:w="1402" w:type="dxa"/>
            <w:shd w:val="clear" w:color="auto" w:fill="auto"/>
            <w:vAlign w:val="center"/>
          </w:tcPr>
          <w:p w14:paraId="51487A64"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648C3919" w14:textId="4861E17A"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xml:space="preserve">Brown et al. (2016) </w:t>
            </w:r>
            <w:r w:rsidRPr="0015162E">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{"citationItems":[{"id":"ITEM-1","itemData":{"DOI":"10.1001/jamainternmed.2016.1870","ISSN":"2168-6114 (Electronic)","PMID":"27243899","abstract":"IMPORTANCE: Low mobility is common during hospitalization and associated with loss  or declines in ability to perform activities of daily living (ADL) and limitations in community mobility. OBJECTIVE: To examine the effect of an in-hospital mobility program (MP) on posthospitalization function and community mobility. DESIGN, SETTING, AND PARTICIPANTS: This single-blind randomized clinical trial used masked assessors to compare a MP with usual care (UC). Patients admitted to the medical wards of the Birmingham Veterans Affairs Medical Center from January 12, 2010, through June 29, 2011, were followed up throughout hospitalization with 1-month posthospitalization telephone follow-up. One hundred hospitalized patients 65 years or older were randomly assigned to the MP or UC groups. Patients were cognitively intact and able to walk 2 weeks before hospitalization. Data analysis was performed from November 21, 2012, to March 14, 2016. INTERVENTIONS: Patients in the MP group were assisted with ambulation up to twice daily, and a behavioral strategy was used to encourage mobility. Patients in the UC group received twice-daily visits. MAIN OUTCOMES AND MEASURES: Changes in self-reported ADL and community mobility were assessed using the Katz ADL scale and the University of Alabama at Birmingham Study of Aging Life-Space Assessment (LSA), respectively. The LSA measures community mobility based on the distance through which a person reports moving during the preceding 4 weeks. RESULTS: Of 100 patients, 8 did not complete the study (6 in the MP group and 2 in the UC group). Patients (mean age, 73.9 years; 97 male [97.0%]; and 19 black [19.0%]) had a median length of stay of 3 days. No significant differences were found between groups at baseline. For all periods, groups were similar in ability to perform ADL; however, at 1-month after hospitalization, the LSA score was significantly higher in the MP (LSA score, 52.5) compared with the UC group (LSA score, 41.6) (P = .02). For the MP group, the 1-month posthospitalization LSA score was similar to the LSA score measured at admission. For the UC group, the LSA score decreased by approximately 10 points. CONCLUSIONS AND RELEVANCE: A simple MP intervention had no effect on ADL function. However, the MP intervention enabled patients to maintain their prehospitalization community mobility, whereas those in the UC group experienced clinically significant declines. Lower life-space mobility is associated with increased risk…","author":[{"dropping-particle":"","family":"Brown","given":"Cynthia J","non-dropping-particle":"","parse-names":false,"suffix":""},{"dropping-particle":"","family":"Foley","given":"Kathleen T","non-dropping-particle":"","parse-names":false,"suffix":""},{"dropping-particle":"","family":"Lowman","given":"John D Jr","non-dropping-particle":"","parse-names":false,"suffix":""},{"dropping-particle":"","family":"MacLennan","given":"Paul A","non-dropping-particle":"","parse-names":false,"suffix":""},{"dropping-particle":"","family":"Razjouyan","given":"Javad","non-dropping-particle":"","parse-names":false,"suffix":""},{"dropping-particle":"","family":"Najafi","given":"Bijan","non-dropping-particle":"","parse-names":false,"suffix":""},{"dropping-particle":"","family":"Locher","given":"Julie","non-dropping-particle":"","parse-names":false,"suffix":""},{"dropping-particle":"","family":"Allman","given":"Richard M","non-dropping-particle":"","parse-names":false,"suffix":""}],"container-title":"JAMA internal medicine","id":"ITEM-1","issue":"7","issued":{"date-parts":[["2016","7"]]},"language":"eng","page":"921-927","publisher-place":"United States","title":"Comparison of Posthospitalization Function and Community Mobility in Hospital  Mobility Program and Usual Care Patients: A Randomized Clinical Trial.","type":"article-journal","volume":"176"},"uris":["http://www.mendeley.com/documents/?uuid=aa57217d-6cfd-4e41-a4e7-9c47b554c5b3"]}],"mendeley":{"formattedCitation":"[1]","plainTextFormattedCitation":"[1]","previouslyFormattedCitation":"&lt;span style=\"baseline\"&gt;&lt;span style=\"font-variant:small-caps;\"&gt;[1]&lt;/span&gt;&lt;/span&gt;"},"properties":{"noteIndex":0},"schema":"https://github.com/citation-style-language/schema/raw/master/csl-citation.json"}</w:instrText>
            </w:r>
            <w:r w:rsidRPr="0015162E">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w:t>
            </w:r>
            <w:r w:rsidRPr="0015162E">
              <w:rPr>
                <w:rFonts w:ascii="Times New Roman" w:hAnsi="Times New Roman" w:cs="Times New Roman"/>
                <w:sz w:val="20"/>
                <w:szCs w:val="20"/>
                <w:lang w:val="en-GB"/>
              </w:rPr>
              <w:fldChar w:fldCharType="end"/>
            </w:r>
          </w:p>
        </w:tc>
        <w:tc>
          <w:tcPr>
            <w:tcW w:w="1538" w:type="dxa"/>
            <w:shd w:val="clear" w:color="auto" w:fill="auto"/>
            <w:vAlign w:val="center"/>
          </w:tcPr>
          <w:p w14:paraId="72776E10"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Hospitalized</w:t>
            </w:r>
          </w:p>
        </w:tc>
        <w:tc>
          <w:tcPr>
            <w:tcW w:w="1354" w:type="dxa"/>
            <w:shd w:val="clear" w:color="auto" w:fill="auto"/>
            <w:vAlign w:val="center"/>
          </w:tcPr>
          <w:p w14:paraId="6AC650EC"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1F8DE625" w14:textId="77777777" w:rsidTr="00B029D6">
        <w:tc>
          <w:tcPr>
            <w:tcW w:w="1643" w:type="dxa"/>
            <w:vMerge/>
            <w:shd w:val="clear" w:color="auto" w:fill="auto"/>
          </w:tcPr>
          <w:p w14:paraId="17CB6825"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7167136D"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1A614173"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20188E34" w14:textId="7EA3BC27" w:rsidR="0015162E" w:rsidRPr="0015162E" w:rsidRDefault="0015162E" w:rsidP="008B1D00">
            <w:pPr>
              <w:rPr>
                <w:rFonts w:ascii="Times New Roman" w:hAnsi="Times New Roman" w:cs="Times New Roman"/>
                <w:sz w:val="20"/>
                <w:szCs w:val="20"/>
                <w:lang w:val="en-GB"/>
              </w:rPr>
            </w:pPr>
            <w:proofErr w:type="spellStart"/>
            <w:r w:rsidRPr="0015162E">
              <w:rPr>
                <w:rFonts w:ascii="Times New Roman" w:hAnsi="Times New Roman" w:cs="Times New Roman"/>
                <w:sz w:val="20"/>
                <w:szCs w:val="20"/>
                <w:lang w:val="en-GB"/>
              </w:rPr>
              <w:t>Fairhall</w:t>
            </w:r>
            <w:proofErr w:type="spellEnd"/>
            <w:r w:rsidRPr="0015162E">
              <w:rPr>
                <w:rFonts w:ascii="Times New Roman" w:hAnsi="Times New Roman" w:cs="Times New Roman"/>
                <w:sz w:val="20"/>
                <w:szCs w:val="20"/>
                <w:lang w:val="en-GB"/>
              </w:rPr>
              <w:t xml:space="preserve"> et al. (2012) </w:t>
            </w:r>
            <w:r w:rsidRPr="0015162E">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{"citationItems":[{"id":"ITEM-1","itemData":{"DOI":"10.1186/1741-7015-10-120","ISBN":"1260800050738","ISSN":"1741-7015","PMID":"23067364","abstract":"Interventions that enhance mobility in frail older people are needed to maintain health and independence, yet definitive evidence of effective interventions is lacking. Our objective was to assess the impact of a multifactorial intervention on mobility-related disability in frail older people.","author":[{"dropping-particle":"","family":"Fairhall","given":"Nicola","non-dropping-particle":"","parse-names":false,"suffix":""},{"dropping-particle":"","family":"Sherrington","given":"Catherine","non-dropping-particle":"","parse-names":false,"suffix":""},{"dropping-particle":"","family":"Kurrle","given":"Susan E.","non-dropping-particle":"","parse-names":false,"suffix":""},{"dropping-particle":"","family":"Lord","given":"Stephen R.","non-dropping-particle":"","parse-names":false,"suffix":""},{"dropping-particle":"","family":"Lockwood","given":"Keri","non-dropping-particle":"","parse-names":false,"suffix":""},{"dropping-particle":"","family":"Cameron","given":"Ian D.","non-dropping-particle":"","parse-names":false,"suffix":""}],"container-title":"BMC Medicine","id":"ITEM-1","issued":{"date-parts":[["2012"]]},"title":"Effect of a multifactorial interdisciplinary intervention on mobility-related disability in frail older people: randomised controlled trial","type":"article-journal","volume":"10"},"uris":["http://www.mendeley.com/documents/?uuid=18d2cd3a-fa4e-4787-afac-b8816059b169"]}],"mendeley":{"formattedCitation":"[2]","plainTextFormattedCitation":"[2]","previouslyFormattedCitation":"&lt;span style=\"baseline\"&gt;&lt;span style=\"font-variant:small-caps;\"&gt;[2]&lt;/span&gt;&lt;/span&gt;"},"properties":{"noteIndex":0},"schema":"https://github.com/citation-style-language/schema/raw/master/csl-citation.json"}</w:instrText>
            </w:r>
            <w:r w:rsidRPr="0015162E">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w:t>
            </w:r>
            <w:r w:rsidRPr="0015162E">
              <w:rPr>
                <w:rFonts w:ascii="Times New Roman" w:hAnsi="Times New Roman" w:cs="Times New Roman"/>
                <w:sz w:val="20"/>
                <w:szCs w:val="20"/>
                <w:lang w:val="en-GB"/>
              </w:rPr>
              <w:fldChar w:fldCharType="end"/>
            </w:r>
          </w:p>
        </w:tc>
        <w:tc>
          <w:tcPr>
            <w:tcW w:w="1538" w:type="dxa"/>
            <w:shd w:val="clear" w:color="auto" w:fill="auto"/>
            <w:vAlign w:val="center"/>
          </w:tcPr>
          <w:p w14:paraId="691427EC" w14:textId="012B55D4" w:rsidR="0015162E" w:rsidRPr="00B029D6" w:rsidRDefault="00734BB7"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Frail </w:t>
            </w:r>
          </w:p>
        </w:tc>
        <w:tc>
          <w:tcPr>
            <w:tcW w:w="1354" w:type="dxa"/>
            <w:shd w:val="clear" w:color="auto" w:fill="auto"/>
            <w:vAlign w:val="center"/>
          </w:tcPr>
          <w:p w14:paraId="454C6A11"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0CA58EA9" w14:textId="77777777" w:rsidTr="00B029D6">
        <w:tc>
          <w:tcPr>
            <w:tcW w:w="1643" w:type="dxa"/>
            <w:vMerge/>
            <w:shd w:val="clear" w:color="auto" w:fill="auto"/>
          </w:tcPr>
          <w:p w14:paraId="21C2D65C"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4AA654BF"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6A0E0E9B"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38534DBD" w14:textId="1625E529"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xml:space="preserve">Jensen et al. (2004) </w:t>
            </w:r>
            <w:r w:rsidRPr="0015162E">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{"citationItems":[{"id":"ITEM-1","itemData":{"DOI":"10.1038/oby.2004.225","ISSN":"1071-7323 (Print)","PMID":"15601977","abstract":"OBJECTIVES: To determine the feasibility of a 3-month weight loss program for obese  older women with short-term laboratory, performance, functional, and life quality outcomes. RESEARCH METHODS AND PROCEDURES: This was a pre- and postintervention design. Community-dwelling women (n = 26) &gt; or =60 years old with BMI &gt; or =30 were enrolled in a 3-month weight loss program promoting prudent diet, behavior modification, and physical activity. The primary emphasis of the program was on health, function, and quality of life. The approach was specifically tailored to older subjects through use of large-font instructional materials, supplementation of calcium and vitamin D, and moderate weight loss and physical activity goals. An initial assessment by a bariatric physician was followed by eight visits with a dietitian and a follow-up physician visit. Measurements included anthropometrics, body composition, laboratories, pedometer, physical performance, Short-Form 36 Health Status Survey (SF-36), Life Space Assessment, and dietary assessment. RESULTS: Eighteen participants completed the program. There was a significant decrease in mean body weight (100 +/- 15 vs. 96 +/- 18 kg, p = 0.006), with a mean weight loss of 4.3 +/- 5.5 kg (range -15.5 to +7.20 kg). Significant improvements were observed for diastolic blood pressure, total cholesterol, triglycerides, physical performance, pedometer-measured step counts, and step climb and descent. Self-rated physical functioning (SF-36 subscore) and vitality (SF-36 subscore) were also significantly improved. DISCUSSION: It is feasible for self-selected obese older women to achieve a moderate weight loss and increase in physical activity resulting in short-term improvements in laboratory, physical performance, self-reported function, vitality, and life quality outcomes.","author":[{"dropping-particle":"","family":"Jensen","given":"Gordon L","non-dropping-particle":"","parse-names":false,"suffix":""},{"dropping-particle":"","family":"Roy","given":"Marie-Andrée","non-dropping-particle":"","parse-names":false,"suffix":""},{"dropping-particle":"","family":"Buchanan","given":"Alice E","non-dropping-particle":"","parse-names":false,"suffix":""},{"dropping-particle":"","family":"Berg","given":"Melanie B","non-dropping-particle":"","parse-names":false,"suffix":""}],"container-title":"Obesity research","id":"ITEM-1","issue":"11","issued":{"date-parts":[["2004","11"]]},"language":"eng","page":"1814-1820","publisher-place":"United States","title":"Weight loss intervention for obese older women: improvements in performance and  function.","type":"article-journal","volume":"12"},"uris":["http://www.mendeley.com/documents/?uuid=cb2348f5-1001-4b35-800b-93ea120feeab"]}],"mendeley":{"formattedCitation":"[3]","plainTextFormattedCitation":"[3]","previouslyFormattedCitation":"&lt;span style=\"baseline\"&gt;&lt;span style=\"font-variant:small-caps;\"&gt;[3]&lt;/span&gt;&lt;/span&gt;"},"properties":{"noteIndex":0},"schema":"https://github.com/citation-style-language/schema/raw/master/csl-citation.json"}</w:instrText>
            </w:r>
            <w:r w:rsidRPr="0015162E">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[3]</w:t>
            </w:r>
            <w:r w:rsidRPr="0015162E">
              <w:rPr>
                <w:rFonts w:ascii="Times New Roman" w:hAnsi="Times New Roman" w:cs="Times New Roman"/>
                <w:sz w:val="20"/>
                <w:szCs w:val="20"/>
                <w:lang w:val="en-GB"/>
              </w:rPr>
              <w:fldChar w:fldCharType="end"/>
            </w:r>
          </w:p>
        </w:tc>
        <w:tc>
          <w:tcPr>
            <w:tcW w:w="1538" w:type="dxa"/>
            <w:shd w:val="clear" w:color="auto" w:fill="auto"/>
            <w:vAlign w:val="center"/>
          </w:tcPr>
          <w:p w14:paraId="6EDA280B"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Community-dwelling</w:t>
            </w:r>
          </w:p>
        </w:tc>
        <w:tc>
          <w:tcPr>
            <w:tcW w:w="1354" w:type="dxa"/>
            <w:shd w:val="clear" w:color="auto" w:fill="auto"/>
            <w:vAlign w:val="center"/>
          </w:tcPr>
          <w:p w14:paraId="423F2CC6"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15162E" w14:paraId="5497CC6A" w14:textId="77777777" w:rsidTr="00B029D6">
        <w:tc>
          <w:tcPr>
            <w:tcW w:w="1643" w:type="dxa"/>
            <w:vMerge/>
            <w:shd w:val="clear" w:color="auto" w:fill="auto"/>
          </w:tcPr>
          <w:p w14:paraId="465E9DFE"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36E006BF"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4B6F8F53"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11DA3700" w14:textId="024C5023" w:rsidR="0015162E" w:rsidRPr="0015162E" w:rsidRDefault="0015162E" w:rsidP="008B1D00">
            <w:pPr>
              <w:rPr>
                <w:rFonts w:ascii="Times New Roman" w:hAnsi="Times New Roman" w:cs="Times New Roman"/>
                <w:sz w:val="20"/>
                <w:szCs w:val="20"/>
                <w:lang w:val="en-GB"/>
              </w:rPr>
            </w:pPr>
            <w:proofErr w:type="spellStart"/>
            <w:r w:rsidRPr="0015162E">
              <w:rPr>
                <w:rFonts w:ascii="Times New Roman" w:hAnsi="Times New Roman" w:cs="Times New Roman"/>
                <w:sz w:val="20"/>
                <w:szCs w:val="20"/>
                <w:lang w:val="en-GB"/>
              </w:rPr>
              <w:t>Kamioka</w:t>
            </w:r>
            <w:proofErr w:type="spellEnd"/>
            <w:r w:rsidRPr="0015162E">
              <w:rPr>
                <w:rFonts w:ascii="Times New Roman" w:hAnsi="Times New Roman" w:cs="Times New Roman"/>
                <w:sz w:val="20"/>
                <w:szCs w:val="20"/>
                <w:lang w:val="en-GB"/>
              </w:rPr>
              <w:t xml:space="preserve"> et al. (2020) </w:t>
            </w:r>
            <w:r w:rsidRPr="0015162E">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{"citationItems":[{"id":"ITEM-1","itemData":{"abstract":"[Purpose] This study aimed to examine whether we were able to measure changes in social participation and life-space mobility of newly enrolled home-based rehabilitation (HR) users by using the activities and participation components of the International Classification of Functioning, Disability and Health (ICF) and Life-Space Assessment (LSA) over a 6-months period. [Participants and Methods] We enrolled 47 HR users who had suffered from a stroke or other condition within the previous year. A 6-month prospective cohort study was conducted. The performance qualifiers \"d6 domestic life\" and \"d9 community, social and civic life\" in the activities and participation components of the ICF and LSA were used. [Results] We observed significant improvements in the performance qualifier \"d9 community, social and civic life\" of the ICF over 3 months, and the LSA over a 6-months period. We also identified significant improvements in \"d910 community life\" and \"d920 recreation and leisure\" of the ICF. The LSA results showed that HR users had more frequent mobility within the neighborhood. [Conclusion] This study showed that newly enrolled HR users improved their social activities in the community, recreational activities, and life-space mobility over a 6-months period. These were measured using performance qualifiers from the ICF and LSA.","author":[{"dropping-particle":"","family":"Kamioka","given":"Yumiko","non-dropping-particle":"","parse-names":false,"suffix":""},{"dropping-particle":"","family":"Miura","given":"Yuji","non-dropping-particle":"","parse-names":false,"suffix":""},{"dropping-particle":"","family":"Matsuda","given":"Tomoyuki","non-dropping-particle":"","parse-names":false,"suffix":""},{"dropping-particle":"","family":"Iijima","given":"Yayoi","non-dropping-particle":"","parse-names":false,"suffix":""},{"dropping-particle":"","family":"Suzuki","given":"Ai","non-dropping-particle":"","parse-names":false,"suffix":""},{"dropping-particle":"","family":"Nakazato","given":"Kazuhiro","non-dropping-particle":"","parse-names":false,"suffix":""},{"dropping-particle":"","family":"Saito","given":"Hideyuki","non-dropping-particle":"","parse-names":false,"suffix":""},{"dropping-particle":"","family":"Arita","given":"Motohide","non-dropping-particle":"","parse-names":false,"suffix":""}],"container-title":"The Journal of Physical Therapy Science","id":"ITEM-1","issued":{"date-parts":[["2020"]]},"page":"375-384","title":"Changes in social participation and life-space mobility in newly enrolled home-based rehabilitation users over 6 months","type":"article-journal","volume":"32"},"uris":["http://www.mendeley.com/documents/?uuid=84827fde-2327-3d5a-a411-75a1f1c2e6fe"]}],"mendeley":{"formattedCitation":"[4]","plainTextFormattedCitation":"[4]","previouslyFormattedCitation":"&lt;span style=\"baseline\"&gt;&lt;span style=\"font-variant:small-caps;\"&gt;[4]&lt;/span&gt;&lt;/span&gt;"},"properties":{"noteIndex":0},"schema":"https://github.com/citation-style-language/schema/raw/master/csl-citation.json"}</w:instrText>
            </w:r>
            <w:r w:rsidRPr="0015162E">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[4]</w:t>
            </w:r>
            <w:r w:rsidRPr="0015162E">
              <w:rPr>
                <w:rFonts w:ascii="Times New Roman" w:hAnsi="Times New Roman" w:cs="Times New Roman"/>
                <w:sz w:val="20"/>
                <w:szCs w:val="20"/>
                <w:lang w:val="en-GB"/>
              </w:rPr>
              <w:fldChar w:fldCharType="end"/>
            </w:r>
          </w:p>
        </w:tc>
        <w:tc>
          <w:tcPr>
            <w:tcW w:w="1538" w:type="dxa"/>
            <w:shd w:val="clear" w:color="auto" w:fill="auto"/>
            <w:vAlign w:val="center"/>
          </w:tcPr>
          <w:p w14:paraId="7B7CB84A"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Patients in home-based rehabilitation</w:t>
            </w:r>
          </w:p>
        </w:tc>
        <w:tc>
          <w:tcPr>
            <w:tcW w:w="1354" w:type="dxa"/>
            <w:shd w:val="clear" w:color="auto" w:fill="auto"/>
            <w:vAlign w:val="center"/>
          </w:tcPr>
          <w:p w14:paraId="7AB6DF0C"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25F6E58D" w14:textId="77777777" w:rsidTr="00B029D6">
        <w:tc>
          <w:tcPr>
            <w:tcW w:w="1643" w:type="dxa"/>
            <w:vMerge/>
            <w:shd w:val="clear" w:color="auto" w:fill="auto"/>
          </w:tcPr>
          <w:p w14:paraId="5E89DE7D"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6A295566"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4EBE0AC9"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6BB0ADF7" w14:textId="001D0439"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xml:space="preserve">Tay et al. (2022) </w:t>
            </w:r>
            <w:r w:rsidRPr="0015162E">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{"citationItems":[{"id":"ITEM-1","itemData":{"DOI":"10.3389/fmed.2022.971497","ISSN":"2296858X","abstract":"Background: The differential risk profiles associated with prefrailty may be attributable to underlying intrinsic capacity (IC). Objectives: We examine (i) effect of a multi-domain physical exercise and nutrition intervention on pre-frailty reversal in community-dwelling older adults at 1-year, and (ii) whether IC contributes to pre-frailty reversal. Methods: Prefrail participants in this non-randomized study were invited to attend a 4-month exercise and nutritional intervention following a frailty screen in the community. Prefrailty was operationalized as (i) FRAIL score 1–2 or (ii) 0 positive response on FRAIL but with weak grip strength or slow gait speed based on the Asian Working Group for Sarcopenia cut-offs. Participants who fulfilled operational criteria for prefrailty but declined enrolment in the intervention programme served as the control group. All participants completed baseline IC assessment: locomotion (Short Physical Performance Battery, 6-minute walk test), vitality (nutritional status, muscle mass), sensory (self-reported hearing and vision), cognition (self-reported memory, age- and education adjusted cognitive performance), psychological (Geriatric Depression Scale-15, self-reported anxiety/ depression). Reversal of prefrailty was defined as achieving a FRAIL score of 0, with unimpaired grip strength and gait speed at 1-year follow-up. Results: Of 81 participants (70.0 ± 6.6 years, 79.0% female), 52 participants (64.2%) were enrolled in the multi-domain intervention, and 29 participants (35.8%) who declined intervention constituted the control group. There was no difference in age, gender and baseline composite IC between groups. Reversal to robustness at 1-year was similar between intervention and control groups (30.8% vs. 44.8% respectively, p = 0.206). Reduced prevalence of depression was observed among participants in the intervention group at 1-year relative to baseline (7.8% vs. 23.1%, p = 0.022). In multiple logistic regression, intervention had no effect on prefrailty reversal, while higher composite IC exhibited reduced likelihood of remaining prefrail at 1-year (OR = 0.67, 95% CI 0.45–1.00, p = 0.049). Conclusion: Focusing only on the locomotion and vitality domains through a combined exercise and nutritional intervention may not adequately address component domain losses to optimize prefrailty reversal. Future studies should examine whether an IC-guided approach to target identified domain declines may be more effective i…","author":[{"dropping-particle":"","family":"Tay","given":"Laura","non-dropping-particle":"","parse-names":false,"suffix":""},{"dropping-particle":"","family":"Tay","given":"Ee Ling","non-dropping-particle":"","parse-names":false,"suffix":""},{"dropping-particle":"","family":"Mah","given":"Shi Min","non-dropping-particle":"","parse-names":false,"suffix":""},{"dropping-particle":"","family":"Latib","given":"Aisyah","non-dropping-particle":"","parse-names":false,"suffix":""},{"dropping-particle":"","family":"Ng","given":"Yee Sien","non-dropping-particle":"","parse-names":false,"suffix":""}],"container-title":"Frontiers in Medicine","id":"ITEM-1","issued":{"date-parts":[["2022"]]},"title":"Intrinsic capacity rather than intervention exposure influences reversal to robustness among prefrail community-dwelling older adults: A non-randomized controlled study of a multidomain exercise and nutrition intervention","type":"article-journal","volume":"9"},"uris":["http://www.mendeley.com/documents/?uuid=478524bb-f57b-491f-8619-5914b3e7dae5"]}],"mendeley":{"formattedCitation":"[5]","plainTextFormattedCitation":"[5]","previouslyFormattedCitation":"&lt;span style=\"baseline\"&gt;&lt;span style=\"font-variant:small-caps;\"&gt;[5]&lt;/span&gt;&lt;/span&gt;"},"properties":{"noteIndex":0},"schema":"https://github.com/citation-style-language/schema/raw/master/csl-citation.json"}</w:instrText>
            </w:r>
            <w:r w:rsidRPr="0015162E">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[5]</w:t>
            </w:r>
            <w:r w:rsidRPr="0015162E">
              <w:rPr>
                <w:rFonts w:ascii="Times New Roman" w:hAnsi="Times New Roman" w:cs="Times New Roman"/>
                <w:sz w:val="20"/>
                <w:szCs w:val="20"/>
                <w:lang w:val="en-GB"/>
              </w:rPr>
              <w:fldChar w:fldCharType="end"/>
            </w:r>
          </w:p>
        </w:tc>
        <w:tc>
          <w:tcPr>
            <w:tcW w:w="1538" w:type="dxa"/>
            <w:shd w:val="clear" w:color="auto" w:fill="auto"/>
            <w:vAlign w:val="center"/>
          </w:tcPr>
          <w:p w14:paraId="740EBA9D" w14:textId="38E02E2C"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Prefrail </w:t>
            </w:r>
          </w:p>
        </w:tc>
        <w:tc>
          <w:tcPr>
            <w:tcW w:w="1354" w:type="dxa"/>
            <w:shd w:val="clear" w:color="auto" w:fill="auto"/>
            <w:vAlign w:val="center"/>
          </w:tcPr>
          <w:p w14:paraId="741A09CD"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15162E" w14:paraId="4FAAAE75" w14:textId="77777777" w:rsidTr="00B029D6">
        <w:tc>
          <w:tcPr>
            <w:tcW w:w="1643" w:type="dxa"/>
            <w:vMerge/>
            <w:shd w:val="clear" w:color="auto" w:fill="auto"/>
          </w:tcPr>
          <w:p w14:paraId="0BD1113E"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6E8F21C8"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040FE095"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70276F65" w14:textId="6433B843"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Todo</w:t>
            </w:r>
            <w:proofErr w:type="spellEnd"/>
            <w:r w:rsidRPr="00B029D6">
              <w:rPr>
                <w:rFonts w:ascii="Times New Roman" w:hAnsi="Times New Roman" w:cs="Times New Roman"/>
                <w:sz w:val="20"/>
                <w:szCs w:val="20"/>
                <w:lang w:val="en-GB"/>
              </w:rPr>
              <w:t xml:space="preserve">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10.1589/jpts.33.158","ISSN":"0915-5287","author":[{"dropping-particle":"","family":"Todo","given":"Emiko","non-dropping-particle":"","parse-names":false,"suffix":""},{"dropping-particle":"","family":"Higuchi","given":"Yumi","non-dropping-particle":"","parse-names":false,"suffix":""},{"dropping-particle":"","family":"Ueda","given":"Tetsuya","non-dropping-particle":"","parse-names":false,"suffix":""},{"dropping-particle":"","family":"Murakami","given":"Tatsunori","non-dropping-particle":"","parse-names":false,"suffix":""},{"dropping-particle":"","family":"Kozuki","given":"Wataru","non-dropping-particle":"","parse-names":false,"suffix":""}],"container-title":"Journal of Physical Therapy Science","id":"ITEM-1","issue":"2","issued":{"date-parts":[["2021"]]},"page":"158-163","title":"A 3-month multicomponent home-based rehabilitation program for older people with restricted life-space mobility: a pilot study","type":"article-journal","volume":"33"},"uris":["http://www.mendeley.com/documents/?uuid=278e1769-b8f7-4e5d-aedd-ae4860af4c94"]}],"mendeley":{"formattedCitation":"[6]","plainTextFormattedCitation":"[6]","previouslyFormattedCitation":"&lt;span style=\"baseline\"&gt;&lt;span style=\"font-variant:small-caps;\"&gt;[6]&lt;/span&gt;&lt;/span&gt;"},"properties":{"noteIndex":0},"schema":"https://github.com/citation-style-language/schema/raw/master/csl-citation.json"}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[6]</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33E96988"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Patients in home-based rehabilitation</w:t>
            </w:r>
          </w:p>
        </w:tc>
        <w:tc>
          <w:tcPr>
            <w:tcW w:w="1354" w:type="dxa"/>
            <w:shd w:val="clear" w:color="auto" w:fill="auto"/>
            <w:vAlign w:val="center"/>
          </w:tcPr>
          <w:p w14:paraId="1C82595B"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32C2DEA5" w14:textId="77777777" w:rsidTr="00B029D6">
        <w:tc>
          <w:tcPr>
            <w:tcW w:w="1643" w:type="dxa"/>
            <w:vMerge/>
            <w:shd w:val="clear" w:color="auto" w:fill="auto"/>
          </w:tcPr>
          <w:p w14:paraId="61F39365"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586A822D"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0910D530"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65CF47EF" w14:textId="7642ECEE"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Ullrich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{"citationItems":[{"id":"ITEM-1","itemData":{"DOI":"10.1093/gerona/glaa254","ISSN":"1758-535X (Electronic)","PMID":"33021670","abstract":"BACKGROUND: Community-dwelling older persons with cognitive impairment (CI)  following discharge from geriatric rehabilitation are at high risk of losing life-space mobility (LSM). Interventions to improve their LSM are, however, still lacking. The aim of this study was to evaluate the effects of a CI-specific, home-based physical training and activity promotion program on LSM. METHODS: Older persons with mild-to-moderate CI (Mini-Mental State Examination: 17-26 points) discharged home from rehabilitation were included in this double-blinded, randomized, placebo-controlled trial with a 12-week intervention period and 12-week follow-up period. The intervention group received a CI-specific, home-based strength, balance, and walking training supported by tailored motivational strategies. The control group received a placebo activity. LSM was evaluated by the Life-Space Assessment in Persons with Cognitive Impairment, including a composite score for LSM and 3 subscores for maximal, equipment-assisted, and independent life space. Mixed-model repeated-measures analyses were used. RESULTS: One hundred eighteen participants (82.3 ± 6.0 years) with CI (Mini-Mental State Examination: 23.3 ± 2.4) were randomized. After the intervention, the home-based training program resulted in a significant benefit in the Life-Space Assessment in Persons with Cognitive Impairment composite scores (b = 8.15; 95% confidence interval: 2.89-13.41; p = .003) and independent life-space subscores (b = 0.39; 95% confidence interval: 0.00-0.78; p = .048) in the intervention group (n = 63) compared to control group (n = 55). Other subscores and follow-up results were not significantly different. CONCLUSIONS: The home-based training program improved LSM and independent life space significantly in this vulnerable population. Effects were not sustained over the follow-up. The program may represent a model for improved transition from rehabilitation to the community to prevent high risk of LSM restriction.","author":[{"dropping-particle":"","family":"Ullrich","given":"Phoebe","non-dropping-particle":"","parse-names":false,"suffix":""},{"dropping-particle":"","family":"Werner","given":"Christian","non-dropping-particle":"","parse-names":false,"suffix":""},{"dropping-particle":"","family":"Bongartz","given":"Martin","non-dropping-particle":"","parse-names":false,"suffix":""},{"dropping-particle":"","family":"Eckert","given":"Tobias","non-dropping-particle":"","parse-names":false,"suffix":""},{"dropping-particle":"","family":"Abel","given":"Bastian","non-dropping-particle":"","parse-names":false,"suffix":""},{"dropping-particle":"","family":"Schönstein","given":"Anton","non-dropping-particle":"","parse-names":false,"suffix":""},{"dropping-particle":"","family":"Kiss","given":"Rainer","non-dropping-particle":"","parse-names":false,"suffix":""},{"dropping-particle":"","family":"Hauer","given":"Klaus","non-dropping-particle":"","parse-names":false,"suffix":""}],"container-title":"The journals of gerontology. Series A, Biological sciences and medical sciences","id":"ITEM-1","issue":"11","issued":{"date-parts":[["2021","10"]]},"language":"eng","page":"1988-1996","publisher-place":"United States","title":"Increasing Life-Space Mobility in Community-Dwelling Older Persons With Cognitive  Impairment Following Rehabilitation: A Randomized Controlled Trial.","type":"article-journal","volume":"76"},"uris":["http://www.mendeley.com/documents/?uuid=5e2f60f6-b028-4757-a43b-264e16fe120f"]}],"mendeley":{"formattedCitation":"[7]","plainTextFormattedCitation":"[7]","previouslyFormattedCitation":"&lt;span style=\"baseline\"&gt;&lt;span style=\"font-variant:small-caps;\"&gt;[7]&lt;/span&gt;&lt;/span&gt;"},"properties":{"noteIndex":0},"schema":"https://github.com/citation-style-language/schema/raw/master/csl-citation.json"}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[7]</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5C079030" w14:textId="7EB52BFE"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 cognitive impairment</w:t>
            </w:r>
          </w:p>
        </w:tc>
        <w:tc>
          <w:tcPr>
            <w:tcW w:w="1354" w:type="dxa"/>
            <w:shd w:val="clear" w:color="auto" w:fill="auto"/>
            <w:vAlign w:val="center"/>
          </w:tcPr>
          <w:p w14:paraId="29335EA6"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4FFF507F" w14:textId="77777777" w:rsidTr="00B029D6">
        <w:tc>
          <w:tcPr>
            <w:tcW w:w="1643" w:type="dxa"/>
            <w:vMerge/>
            <w:shd w:val="clear" w:color="auto" w:fill="auto"/>
          </w:tcPr>
          <w:p w14:paraId="78E43FB2"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676C951C" w14:textId="77777777" w:rsidR="0015162E" w:rsidRPr="0015162E" w:rsidRDefault="0015162E" w:rsidP="008B1D00">
            <w:pPr>
              <w:rPr>
                <w:rFonts w:ascii="Times New Roman" w:hAnsi="Times New Roman" w:cs="Times New Roman"/>
                <w:sz w:val="20"/>
                <w:szCs w:val="20"/>
                <w:lang w:val="en-GB"/>
              </w:rPr>
            </w:pPr>
          </w:p>
        </w:tc>
        <w:tc>
          <w:tcPr>
            <w:tcW w:w="1402" w:type="dxa"/>
            <w:vMerge w:val="restart"/>
            <w:shd w:val="clear" w:color="auto" w:fill="auto"/>
            <w:vAlign w:val="center"/>
          </w:tcPr>
          <w:p w14:paraId="4BA14058"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competence training of staff/relatives</w:t>
            </w:r>
          </w:p>
        </w:tc>
        <w:tc>
          <w:tcPr>
            <w:tcW w:w="1282" w:type="dxa"/>
            <w:shd w:val="clear" w:color="auto" w:fill="auto"/>
            <w:vAlign w:val="center"/>
          </w:tcPr>
          <w:p w14:paraId="042E3C66" w14:textId="23491923"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Crotty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{"citationItems":[{"id":"ITEM-1","itemData":{"DOI":"10.1093/ageing/afz005","ISSN":"1468-2834 (Electronic)","PMID":"30794284","abstract":"OBJECTIVE: to determine whether a 4-week postoperative rehabilitation program  delivered in Nursing Care Facilities (NCFs) would improve quality of life and mobility compared with receiving usual care. DESIGN: parallel randomised controlled trial with integrated health economic study. SETTING: NCFs, in Adelaide South Australia. SUBJECTS: people aged 70 years and older who were recovering from hip fracture surgery and were walking prior to hip fracture. MEASUREMENTS: primary outcomes: mobility (Nursing Home Life-Space Diameter (NHLSD)) and quality of life (DEMQOL) at 4 weeks and 12 months. RESULTS: participants were randomised to treatment (n = 121) or control (n = 119) groups. At 4 weeks, the treatment group had better mobility (NHLSD mean difference -1.9; 95% CI: -3.3, -0.57; P = 0.0055) and were more likely to be alive (log rank test P = 0.048) but there were no differences in quality of life. At 12 months, the treatment group had better quality of life (DEMQOL sum score mean difference = -7.4; 95% CI: -12.5 to -2.3; P = 0.0051), but there were no other differences between treatment and control groups. Quality adjusted life years (QALYs) gained over 12 months were 0.0063 higher per participant (95% CI: -0.0547 to 0.0686). The resulting incremental cost effectiveness ratios (ICERs) were $5,545 Australian dollars per unit increase in the NHLSD (95% CI: $244 to $15,159) and $328,685 per QALY gained (95% CI: $82,654 to $75,007,056). CONCLUSIONS: the benefits did not persist once the rehabilitation program ended but quality of life at 12 months in survivors was slightly higher. The case for funding outreach home rehabilitation in NCFs is weak from a traditional health economic perspective. TRIAL REGISTRATION: ACTRN12612000112864 registered on the Australian and New Zealand Clinical Trials Registry. Trial protocol available at https://www.anzctr.org.au/Trial/Registration/TrialReview.aspx?id = 361980.","author":[{"dropping-particle":"","family":"Crotty","given":"Maria","non-dropping-particle":"","parse-names":false,"suffix":""},{"dropping-particle":"","family":"Killington","given":"Maggie","non-dropping-particle":"","parse-names":false,"suffix":""},{"dropping-particle":"","family":"Liu","given":"Enwu","non-dropping-particle":"","parse-names":false,"suffix":""},{"dropping-particle":"","family":"Cameron","given":"Ian D","non-dropping-particle":"","parse-names":false,"suffix":""},{"dropping-particle":"","family":"Kurrle","given":"Susan","non-dropping-particle":"","parse-names":false,"suffix":""},{"dropping-particle":"","family":"Kaambwa","given":"Billingsley","non-dropping-particle":"","parse-names":false,"suffix":""},{"dropping-particle":"","family":"Davies","given":"Owen","non-dropping-particle":"","parse-names":false,"suffix":""},{"dropping-particle":"","family":"Miller","given":"Michelle","non-dropping-particle":"","parse-names":false,"suffix":""},{"dropping-particle":"","family":"Chehade","given":"Mellick","non-dropping-particle":"","parse-names":false,"suffix":""},{"dropping-particle":"","family":"Ratcliffe","given":"Julie","non-dropping-particle":"","parse-names":false,"suffix":""}],"container-title":"Age and ageing","id":"ITEM-1","issue":"3","issued":{"date-parts":[["2019","5"]]},"language":"eng","page":"373-380","title":"Should we provide outreach rehabilitation to very old people living in Nursing Care  Facilities after a hip fracture? A randomised controlled trial.","type":"article-journal","volume":"48"},"uris":["http://www.mendeley.com/documents/?uuid=2dea501c-83f2-42f4-8275-71ab30a75ce3"]}],"mendeley":{"formattedCitation":"[8]","plainTextFormattedCitation":"[8]","previouslyFormattedCitation":"&lt;span style=\"baseline\"&gt;&lt;span style=\"font-variant:small-caps;\"&gt;[8]&lt;/span&gt;&lt;/span&gt;"},"properties":{"noteIndex":0},"schema":"https://github.com/citation-style-language/schema/raw/master/csl-citation.json"}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[8]</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7CCFD304"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w:t>
            </w:r>
          </w:p>
        </w:tc>
        <w:tc>
          <w:tcPr>
            <w:tcW w:w="1354" w:type="dxa"/>
            <w:shd w:val="clear" w:color="auto" w:fill="auto"/>
            <w:vAlign w:val="center"/>
          </w:tcPr>
          <w:p w14:paraId="4BDF48F9"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6B159560" w14:textId="77777777" w:rsidTr="00B029D6">
        <w:tc>
          <w:tcPr>
            <w:tcW w:w="1643" w:type="dxa"/>
            <w:vMerge/>
            <w:shd w:val="clear" w:color="auto" w:fill="auto"/>
          </w:tcPr>
          <w:p w14:paraId="10C00263"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3128592C" w14:textId="77777777" w:rsidR="0015162E" w:rsidRPr="0015162E" w:rsidRDefault="0015162E" w:rsidP="008B1D00">
            <w:pPr>
              <w:rPr>
                <w:rFonts w:ascii="Times New Roman" w:hAnsi="Times New Roman" w:cs="Times New Roman"/>
                <w:sz w:val="20"/>
                <w:szCs w:val="20"/>
                <w:lang w:val="en-GB"/>
              </w:rPr>
            </w:pPr>
          </w:p>
        </w:tc>
        <w:tc>
          <w:tcPr>
            <w:tcW w:w="1402" w:type="dxa"/>
            <w:vMerge/>
            <w:shd w:val="clear" w:color="auto" w:fill="auto"/>
            <w:vAlign w:val="center"/>
          </w:tcPr>
          <w:p w14:paraId="73F1B237"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1A4EE1E4" w14:textId="4AEBC2C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Jansen et al. (2018)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{"citationItems":[{"id":"ITEM-1","itemData":{"DOI":"10.1093/geront/gnx136","ISSN":"17585341","PMID":"28958082","abstract":"Background and Objectives To determine whether a multicomponent, individually tailored intervention to promote physical activity (PA) enhances life-space (LS) utilization in nursing home (NH) residents and whether intervention effects can be sustained at follow-up after continuation of the program as part of institutional daily routines. Research Design and Methods Pre-post-assessed controlled trial in two highly similar NHs with a 3month follow-up in 143 NH residents (intervention group: n = 78; control group: n = 65) and LS as primary outcome. The PA promoting intervention consisted of several components (group sessions; individual exercise; serious games training; competence training for staff) tailored to residents' individual functional capacity. LS was innovatively assessed via an indoor wireless sensor network including three assessment-specific LS parameters: overall LS score (LSSc), time spent away from the private room (TAFR), and the maximally distal zone from private room visited (MaxZ). To exploit the available intervention-control comparative data in the best way possible, a generalized linear mixed model approach was applied. Results At post-test, intervention participants had a significantly higher overall LSSc, spent more TAFR, and had extended their MaxZ as compared to controls. At follow-up, a significant group difference remained for MaxZ. Discussion and Implications A PA intervention in the NH setting impacts on LS utilization as measured using sensor-based assessment. The program has proven its practical sustainability when being handed over to NH personnel for continuation in daily practice. Further research is needed to determine whether an increase in LS utilization also impacts on social participation and quality of life.","author":[{"dropping-particle":"","family":"Jansen","given":"Carl Philipp","non-dropping-particle":"","parse-names":false,"suffix":""},{"dropping-particle":"","family":"Diegelmann","given":"Mona","non-dropping-particle":"","parse-names":false,"suffix":""},{"dropping-particle":"","family":"Schilling","given":"Oliver K.","non-dropping-particle":"","parse-names":false,"suffix":""},{"dropping-particle":"","family":"Werner","given":"Christian","non-dropping-particle":"","parse-names":false,"suffix":""},{"dropping-particle":"","family":"Schnabel","given":"Eva Luisa","non-dropping-particle":"","parse-names":false,"suffix":""},{"dropping-particle":"","family":"Wahl","given":"Hans Werner","non-dropping-particle":"","parse-names":false,"suffix":""},{"dropping-particle":"","family":"Hauer","given":"Klaus","non-dropping-particle":"","parse-names":false,"suffix":""}],"container-title":"Gerontologist","id":"ITEM-1","issue":"5","issued":{"date-parts":[["2018"]]},"page":"979-988","title":"Pushing the Boundaries: A Physical Activity Intervention Extends Sensor-Assessed Life-Space in Nursing Home Residents","type":"article-journal","volume":"58"},"uris":["http://www.mendeley.com/documents/?uuid=e6230385-6745-49ce-a704-52dbf97152e4"]}],"mendeley":{"formattedCitation":"[9]","plainTextFormattedCitation":"[9]","previouslyFormattedCitation":"&lt;span style=\"baseline\"&gt;&lt;span style=\"font-variant:small-caps;\"&gt;[9]&lt;/span&gt;&lt;/span&gt;"},"properties":{"noteIndex":0},"schema":"https://github.com/citation-style-language/schema/raw/master/csl-citation.json"}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[9]</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5F3CAFAF"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w:t>
            </w:r>
          </w:p>
        </w:tc>
        <w:tc>
          <w:tcPr>
            <w:tcW w:w="1354" w:type="dxa"/>
            <w:shd w:val="clear" w:color="auto" w:fill="auto"/>
            <w:vAlign w:val="center"/>
          </w:tcPr>
          <w:p w14:paraId="362CADD5"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494FBB13" w14:textId="77777777" w:rsidTr="00B029D6">
        <w:tc>
          <w:tcPr>
            <w:tcW w:w="1643" w:type="dxa"/>
            <w:vMerge/>
            <w:shd w:val="clear" w:color="auto" w:fill="auto"/>
          </w:tcPr>
          <w:p w14:paraId="36106B47"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2EF04FBF"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54301AC4"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community improvements</w:t>
            </w:r>
          </w:p>
        </w:tc>
        <w:tc>
          <w:tcPr>
            <w:tcW w:w="1282" w:type="dxa"/>
            <w:shd w:val="clear" w:color="auto" w:fill="auto"/>
            <w:vAlign w:val="center"/>
          </w:tcPr>
          <w:p w14:paraId="547FBCE0" w14:textId="55516E09"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Crist</w:t>
            </w:r>
            <w:proofErr w:type="spellEnd"/>
            <w:r w:rsidRPr="00B029D6">
              <w:rPr>
                <w:rFonts w:ascii="Times New Roman" w:hAnsi="Times New Roman" w:cs="Times New Roman"/>
                <w:sz w:val="20"/>
                <w:szCs w:val="20"/>
                <w:lang w:val="en-GB"/>
              </w:rPr>
              <w:t xml:space="preserve">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10.1016/j.healthplace.2021.102573","ISSN":"1353-8292","author":[{"dropping-particle":"","family":"Crist","given":"Katie","non-dropping-particle":"","parse-names":false,"suffix":""},{"dropping-particle":"","family":"Jankowska","given":"Marta M","non-dropping-particle":"","parse-names":false,"suffix":""},{"dropping-particle":"","family":"Schipperijn","given":"Jasper","non-dropping-particle":"","parse-names":false,"suffix":""},{"dropping-particle":"","family":"Rosenberg","given":"Dori E","non-dropping-particle":"","parse-names":false,"suffix":""},{"dropping-particle":"","family":"Takemoto","given":"Michelle","non-dropping-particle":"","parse-names":false,"suffix":""},{"dropping-particle":"","family":"Zlatar","given":"Zvinka Z","non-dropping-particle":"","parse-names":false,"suffix":""},{"dropping-particle":"","family":"Natarajan","given":"Loki","non-dropping-particle":"","parse-names":false,"suffix":""},{"dropping-particle":"","family":"Benmarhnia","given":"Tarik","non-dropping-particle":"","parse-names":false,"suffix":""}],"container-title":"Health and Place","id":"ITEM-1","issue":"April","issued":{"date-parts":[["2021"]]},"page":"102573","publisher":"Elsevier Ltd","title":"Change in GPS-assessed walking locations following a cluster-randomized controlled physical activity trial in older adults , results from the MIPARC trial","type":"article-journal","volume":"69"},"uris":["http://www.mendeley.com/documents/?uuid=1c34fe7c-bde0-47f2-adbc-688fb728919f"]}],"mendeley":{"formattedCitation":"[10]","plainTextFormattedCitation":"[10]","previouslyFormattedCitation":"&lt;span style=\"baseline\"&gt;&lt;span style=\"font-variant:small-caps;\"&gt;[10]&lt;/span&gt;&lt;/span&gt;"},"properties":{"noteIndex":0},"schema":"https://github.com/citation-style-language/schema/raw/master/csl-citation.json"}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[10]</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437DB7E3"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Community-dwelling</w:t>
            </w:r>
          </w:p>
        </w:tc>
        <w:tc>
          <w:tcPr>
            <w:tcW w:w="1354" w:type="dxa"/>
            <w:shd w:val="clear" w:color="auto" w:fill="auto"/>
            <w:vAlign w:val="center"/>
          </w:tcPr>
          <w:p w14:paraId="4904697D"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11A0A2D0" w14:textId="77777777" w:rsidTr="00B029D6">
        <w:tc>
          <w:tcPr>
            <w:tcW w:w="1643" w:type="dxa"/>
            <w:vMerge/>
            <w:shd w:val="clear" w:color="auto" w:fill="auto"/>
          </w:tcPr>
          <w:p w14:paraId="12C89981"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34B595EC"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Occupational therapy + home modifications</w:t>
            </w:r>
          </w:p>
        </w:tc>
        <w:tc>
          <w:tcPr>
            <w:tcW w:w="1402" w:type="dxa"/>
            <w:shd w:val="clear" w:color="auto" w:fill="auto"/>
            <w:vAlign w:val="center"/>
          </w:tcPr>
          <w:p w14:paraId="35455115"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3F445E02" w14:textId="0440A371"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Liu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{"citationItems":[{"id":"ITEM-1","itemData":{"DOI":"10.1111/jgs.16808","ISSN":"1532-5415 (Electronic)","PMID":"32951215","abstract":"OBJECTIVES: To evaluate the effects of a home-based disability prevention program on  life-space and falls efficacy among low-income older adults. DESIGN: Single-blind two-arm randomized controlled trial. SETTING: Participants' homes. PARTICIPANTS: Participants were low-income cognitively intact older adults (≥65 years old) with restricted daily activities. Our analytic sample for life-space (n = 194) and falls efficacy (n = 233) varied as the life-space measure was introduced 4 months after the trial began. INTERVENTION: Up to six 1-hour home visits with an occupational therapist; up to four 1-hour home visits with a registered nurse; and up to $1,300 worth of home repairs, modifications, and assistive devices with a handyman, during a course of 4 months. MEASUREMENTS: Life-space was measured by the Homebound Mobility Assessment; falls efficacy was measured using the 10-item Tinetti Falls Efficacy Scale at baseline and 5 months. RESULTS: Participants were on average 75 years old, predominantly Black (86%) and female (85%-86%). Compared with participants in the control group, participants receiving the intervention were more likely to have improved versus decreased life-space in areas of bathroom (adjusted odds ratio (OR) = 3.95; 95% confidence interval (CI) = 1.20-12.97), front or back porch, patio, or deck (adjusted OR = 2.67; 95% CI = 1.05-6.79), stairs (adjusted OR = 4.09; 95% CI = 1.34-12.48), leaving the house for any reason other than for health care (adjusted OR = 2.40; 95% CI = 1.01-5.73), and overall life-space (adjusted OR = 2.15; 95% CI = 1.10-4.19). Participants who received the intervention also had an 11% improvement in falls efficacy in performing daily activities (exponentiated coefficient = 1.12; 95% CI = 1.04-1.21). CONCLUSION: Life-space and falls efficacy were improved through a multicomponent, person-directed, home-based disability prevention intervention. Findings suggest that this intervention should be translated into different settings to promote independent aging.","author":[{"dropping-particle":"","family":"Liu","given":"Minhui","non-dropping-particle":"","parse-names":false,"suffix":""},{"dropping-particle":"","family":"Xue","given":"Qian-Li Li","non-dropping-particle":"","parse-names":false,"suffix":""},{"dropping-particle":"","family":"Gitlin","given":"Laura N.","non-dropping-particle":"","parse-names":false,"suffix":""},{"dropping-particle":"","family":"Wolff","given":"Jennifer L.","non-dropping-particle":"","parse-names":false,"suffix":""},{"dropping-particle":"","family":"Guralnik","given":"Jack","non-dropping-particle":"","parse-names":false,"suffix":""},{"dropping-particle":"","family":"Leff","given":"Bruce","non-dropping-particle":"","parse-names":false,"suffix":""},{"dropping-particle":"","family":"Szanton","given":"Sarah L.","non-dropping-particle":"","parse-names":false,"suffix":""}],"container-title":"Journal of the American Geriatrics Society","id":"ITEM-1","issue":"1","issued":{"date-parts":[["2021","1"]]},"language":"eng","page":"85-90","publisher-place":"United States","title":"Disability Prevention Program Improves Life-Space and Falls Efficacy: A Randomized  Controlled Trial.","type":"article-journal","volume":"69"},"uris":["http://www.mendeley.com/documents/?uuid=5341b362-2ece-465d-b725-208d6e57e611"]}],"mendeley":{"formattedCitation":"[11]","plainTextFormattedCitation":"[11]","previouslyFormattedCitation":"&lt;span style=\"baseline\"&gt;&lt;span style=\"font-variant:small-caps;\"&gt;[11]&lt;/span&gt;&lt;/span&gt;"},"properties":{"noteIndex":0},"schema":"https://github.com/citation-style-language/schema/raw/master/csl-citation.json"}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[11]</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3CD7423A" w14:textId="5F9F98A4"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 r</w:t>
            </w:r>
            <w:r w:rsidR="0015162E" w:rsidRPr="00B029D6">
              <w:rPr>
                <w:rFonts w:ascii="Times New Roman" w:hAnsi="Times New Roman" w:cs="Times New Roman"/>
                <w:sz w:val="20"/>
                <w:szCs w:val="20"/>
                <w:lang w:val="en-GB"/>
              </w:rPr>
              <w:t>estricted daily activities</w:t>
            </w:r>
          </w:p>
        </w:tc>
        <w:tc>
          <w:tcPr>
            <w:tcW w:w="1354" w:type="dxa"/>
            <w:shd w:val="clear" w:color="auto" w:fill="auto"/>
            <w:vAlign w:val="center"/>
          </w:tcPr>
          <w:p w14:paraId="29147A32"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E821C3" w14:paraId="643395DE" w14:textId="77777777" w:rsidTr="00B029D6">
        <w:tc>
          <w:tcPr>
            <w:tcW w:w="1643" w:type="dxa"/>
            <w:vMerge/>
            <w:shd w:val="clear" w:color="auto" w:fill="auto"/>
          </w:tcPr>
          <w:p w14:paraId="5A92C673"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4BD40F28"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Physical exercises + cognitive training/stimulation</w:t>
            </w:r>
          </w:p>
        </w:tc>
        <w:tc>
          <w:tcPr>
            <w:tcW w:w="1402" w:type="dxa"/>
            <w:shd w:val="clear" w:color="auto" w:fill="auto"/>
            <w:vAlign w:val="center"/>
          </w:tcPr>
          <w:p w14:paraId="21564228"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t>
            </w:r>
          </w:p>
        </w:tc>
        <w:tc>
          <w:tcPr>
            <w:tcW w:w="1282" w:type="dxa"/>
            <w:shd w:val="clear" w:color="auto" w:fill="auto"/>
            <w:vAlign w:val="center"/>
          </w:tcPr>
          <w:p w14:paraId="0534BD18" w14:textId="75B73F0A"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Tanaka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{"citationItems":[{"id":"ITEM-1","itemData":{"DOI":"10.1111/psyg.12627","ISSN":"1479-8301 (Electronic)","PMID":"33140499","abstract":"BACKGROUND: The aim of this study was to assess the effects of group-based motor and  cognitive-combined intervention on social activity and quality of life. METHODS: This quasi-randomised controlled trial included 31 elderly participants with dementia in a geriatric health service facility. Participants were randomly allocated to the intervention group (n = 16) or the control group (n = 15) by stratification of cognitive function. The 8-week intervention program consisted of group exercise and cognitive stimulation twice per week for 45 min per session. Outcome measures were social activity in daily behaviour, cognitive function, apathy, muscle and grip strength, independence of activity of daily living, life-space, and objective quality of life (QOL). RESULTS: Twenty-five participants were analysed (10 in the control group, 15 in the intervention group). Analysis of covariance with covariates of age, gender, and baseline data showed a significant difference in social activity (F = 8.67, P = 0.008; significant decline in control group vs. maintenance in intervention group) and QOL (F = 9.74, P = 0.006; maintenance in control group vs. tendency of improvement in intervention group). A Wilcoxon signed-rank test revealed that helping behaviour (P = 0.035) increased in the intervention group, whereas interest to the surrounding (P = 0.026) decreased in the control group. CONCLUSIONS: Group-based combined intervention for dementia is effective for maintaining social activity and QOL in a geriatric health service facility.","author":[{"dropping-particle":"","family":"Tanaka","given":"Shigeya","non-dropping-particle":"","parse-names":false,"suffix":""},{"dropping-particle":"","family":"Yamagami","given":"Tetsuya","non-dropping-particle":"","parse-names":false,"suffix":""},{"dropping-particle":"","family":"Yamaguchi","given":"Haruyasu","non-dropping-particle":"","parse-names":false,"suffix":""}],"container-title":"Psychogeriatrics : the official journal of the Japanese Psychogeriatric Society","id":"ITEM-1","issue":"1","issued":{"date-parts":[["2021","1"]]},"language":"eng","page":"71-79","publisher-place":"England","title":"Effects of a group-based physical and cognitive intervention on social activity and  quality of life for elderly people with dementia in a geriatric health service facility: a quasi-randomised controlled trial.","type":"article-journal","volume":"21"},"uris":["http://www.mendeley.com/documents/?uuid=a4afddc8-0e9c-4fac-8d1b-63da8e03ac7f"]}],"mendeley":{"formattedCitation":"[12]","plainTextFormattedCitation":"[12]","previouslyFormattedCitation":"&lt;span style=\"baseline\"&gt;&lt;span style=\"font-variant:small-caps;\"&gt;[12]&lt;/span&gt;&lt;/span&gt;"},"properties":{"noteIndex":0},"schema":"https://github.com/citation-style-language/schema/raw/master/csl-citation.json"}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[12]</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5346FCE9" w14:textId="17A57365" w:rsidR="0015162E" w:rsidRPr="00B029D6" w:rsidRDefault="001F1E24"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 (with and without dementia)</w:t>
            </w:r>
          </w:p>
        </w:tc>
        <w:tc>
          <w:tcPr>
            <w:tcW w:w="1354" w:type="dxa"/>
            <w:shd w:val="clear" w:color="auto" w:fill="auto"/>
            <w:vAlign w:val="center"/>
          </w:tcPr>
          <w:p w14:paraId="65616383"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E821C3" w14:paraId="776F030E" w14:textId="77777777" w:rsidTr="00B029D6">
        <w:tc>
          <w:tcPr>
            <w:tcW w:w="1643" w:type="dxa"/>
            <w:vMerge w:val="restart"/>
            <w:shd w:val="clear" w:color="auto" w:fill="auto"/>
          </w:tcPr>
          <w:p w14:paraId="2A095A77"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Purely physical interventions</w:t>
            </w:r>
          </w:p>
        </w:tc>
        <w:tc>
          <w:tcPr>
            <w:tcW w:w="1843" w:type="dxa"/>
            <w:shd w:val="clear" w:color="auto" w:fill="auto"/>
          </w:tcPr>
          <w:p w14:paraId="43E04186"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Walking events/walking tasks</w:t>
            </w:r>
          </w:p>
        </w:tc>
        <w:tc>
          <w:tcPr>
            <w:tcW w:w="1402" w:type="dxa"/>
            <w:shd w:val="clear" w:color="auto" w:fill="auto"/>
            <w:vAlign w:val="center"/>
          </w:tcPr>
          <w:p w14:paraId="0D3E97A9"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354CEA0A" w14:textId="6CD7410C"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Hiyama</w:t>
            </w:r>
            <w:proofErr w:type="spellEnd"/>
            <w:r w:rsidRPr="00B029D6">
              <w:rPr>
                <w:rFonts w:ascii="Times New Roman" w:hAnsi="Times New Roman" w:cs="Times New Roman"/>
                <w:sz w:val="20"/>
                <w:szCs w:val="20"/>
                <w:lang w:val="en-GB"/>
              </w:rPr>
              <w:t xml:space="preserve">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{"citationItems":[{"id":"ITEM-1","itemData":{"DOI":"10.1055/s-0038-1672199","ISSN":"1938-2480 (Electronic)","PMID":"30282100","abstract":"Life-space mobility describes the spatial areas through which an individual moves,  and the frequency and need for assistance. Although patients with knee osteoarthritis (OA) have shown restricted life-space mobility, total knee arthroplasty (TKA) does not improve it beyond preoperative levels. Life-space mobility after TKA was influenced by self-efficacy for walking tasks; thus, an intervention to improve self-efficacy for walking tasks may contribute to better life-space mobility. We provided a walking event including several walking tasks as the intervention. We assessed the effect of the walking event on life-space mobility and self-efficacy for walking tasks in patients following TKA. In this nonrandomized controlled trial, patients who underwent primary TKA were recruited. After recruitment, patients who could not participate in the walking event due to scheduling conflicts were included in the control group. The walking event consisted of 3.5 km of walking course and included walking tasks as follows: crossing at the crosswalk, walking up- and downstairs without a railing, walking along dirt roads, and walking up and down a slope. The primary outcome was life-space mobility measured using Life-Space Assessment (LSA) and self-efficacy for walking tasks measured using the modified Gait Efficacy Scale (mGES). We enrolled 104 patients, of whom 36 were assigned to the intervention group and participated in the walking event. Participants in the intervention group had significantly better LSA score (adjusted mean difference between groups: 13.9; 95% confidence interval: 12.4-15.5; p &lt; 0.001) and mGES score (adjusted mean difference between groups: 13.8; 95% confidence interval: 12.4-15.1; p &lt; 0.001) than the control group even after adjusting for age, gender, body mass index, elapsed time from surgery, the severity of knee OA of nonoperated limb, and patient-reported functional outcome. The walking event including various walking tasks improved life-space mobility and self-efficacy in patients following TKA. It is important to design a program that can improve self-efficacy for walking tasks through mastery experiences to improve life-space mobility after TKA.","author":[{"dropping-particle":"","family":"Hiyama","given":"Yoshinori","non-dropping-particle":"","parse-names":false,"suffix":""},{"dropping-particle":"","family":"Kamitani","given":"Tsukasa","non-dropping-particle":"","parse-names":false,"suffix":""},{"dropping-particle":"","family":"Mori","given":"Kazuaki","non-dropping-particle":"","parse-names":false,"suffix":""}],"container-title":"The journal of knee surgery","id":"ITEM-1","issue":"10","issued":{"date-parts":[["2019","10"]]},"language":"eng","page":"966-971","publisher-place":"Germany","title":"Effects of an Intervention to Improve Life-Space Mobility and Self-Efficacy in  Patients following Total Knee Arthroplasty.","type":"article-journal","volume":"32"},"uris":["http://www.mendeley.com/documents/?uuid=29e5527e-d137-49fc-b071-58a22db651dc"]}],"mendeley":{"formattedCitation":"[13]","plainTextFormattedCitation":"[13]","previouslyFormattedCitation":"&lt;span style=\"baseline\"&gt;&lt;span style=\"font-variant:small-caps;\"&gt;[13]&lt;/span&gt;&lt;/span&gt;"},"properties":{"noteIndex":0},"schema":"https://github.com/citation-style-language/schema/raw/master/csl-citation.json"}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[13]</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62BB4B96" w14:textId="32C6637D"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Patients with</w:t>
            </w:r>
            <w:r w:rsidR="0015162E" w:rsidRPr="00B029D6">
              <w:rPr>
                <w:rFonts w:ascii="Times New Roman" w:hAnsi="Times New Roman" w:cs="Times New Roman"/>
                <w:sz w:val="20"/>
                <w:szCs w:val="20"/>
                <w:lang w:val="en-GB"/>
              </w:rPr>
              <w:t xml:space="preserve"> knee arthroplasty</w:t>
            </w:r>
          </w:p>
        </w:tc>
        <w:tc>
          <w:tcPr>
            <w:tcW w:w="1354" w:type="dxa"/>
            <w:shd w:val="clear" w:color="auto" w:fill="auto"/>
            <w:vAlign w:val="center"/>
          </w:tcPr>
          <w:p w14:paraId="464F9E0C"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70785956" w14:textId="77777777" w:rsidTr="00B029D6">
        <w:tc>
          <w:tcPr>
            <w:tcW w:w="1643" w:type="dxa"/>
            <w:vMerge/>
            <w:shd w:val="clear" w:color="auto" w:fill="auto"/>
          </w:tcPr>
          <w:p w14:paraId="78D521F9"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23855142"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Gait training + outdoor aerobic training</w:t>
            </w:r>
          </w:p>
        </w:tc>
        <w:tc>
          <w:tcPr>
            <w:tcW w:w="1402" w:type="dxa"/>
            <w:shd w:val="clear" w:color="auto" w:fill="auto"/>
            <w:vAlign w:val="center"/>
          </w:tcPr>
          <w:p w14:paraId="4C8B17EF"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0F220631" w14:textId="464C0AA0"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Collins et al. (2018)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{"citationItems":[{"id":"ITEM-1","itemData":{"DOI":"10.1093/geroni/igy022","ISSN":"2399-5300 (Electronic)","PMID":"30480143","abstract":"BACKGROUND AND OBJECTIVES: Mobility limitation is common and has been linked to high energetic requirements of daily activities, including walking. The study objective was to determine whether two separate forms of exercise could reduce the energy cost of walking and secondary outcomes related to activity and participation domains among older adults with mobility limitation. RESEARCH DESIGN AND METHODS: Community-dwelling older adults with self-reported mobility limitation (n = 72) were randomized to 12 weeks of twice-weekly, group-based, instructor-led timing and coordination, aerobic walking, or stretching and relaxation (active control) programs. The primary outcome was the energy cost of walking (mL O(2)/kg/m), assessed by a 5-minute treadmill walking test (0.8 m/s). Secondary outcomes were fatigability, physical activity, endurance, physical function, and life-space. Baseline-adjusted ANCOVAs were used to determine mean differences between exercise and control groups at 12 and 24 weeks. RESULTS: Exercise session attendance was high: 86% for timing and coordination, 81% for aerobic walking, and 90% for stretching and relaxation. At 12 weeks, timing and coordination reduced the mean energy cost of walking by 15% versus stretching and relaxation (p = .008). Among those with high baseline cost, timing and coordination reduced mean energy cost by 20% versus stretching and relaxation (p = .055). Reductions were sustained at 24 weeks. Aerobic walking had no effect on the energy cost of walking at 12 or 24 weeks. At 12 weeks, there was a trend toward faster gait speed (by 0.1 m/s) in timing and coordination versus stretching and relaxation (p = .074). Fatigability, physical activity, endurance, physical function, and life-space did not change with timing and coordination or aerobic walking versus stretching and relaxation at 12 or 24 weeks. DISCUSSION AND IMPLICATIONS: Twelve weeks of timing and coordination, but not aerobic walking, reduced the energy cost of walking among older adults with mobility limitation, particularly among those with high baseline energy cost; reductions in energy cost were sustained following training cessation. Timing and coordination also led to a trend toward faster gait speed.","author":[{"dropping-particle":"","family":"Collins","given":"Kristina J","non-dropping-particle":"","parse-names":false,"suffix":""},{"dropping-particle":"","family":"Schrack","given":"Jennifer A","non-dropping-particle":"","parse-names":false,"suffix":""},{"dropping-particle":"","family":"VanSwearingen","given":"Jessie M","non-dropping-particle":"","parse-names":false,"suffix":""},{"dropping-particle":"","family":"Glynn","given":"Nancy W","non-dropping-particle":"","parse-names":false,"suffix":""},{"dropping-particle":"","family":"Pospisil","given":"Michelle C","non-dropping-particle":"","parse-names":false,"suffix":""},{"dropping-particle":"","family":"Gant","given":"Veronica E","non-dropping-particle":"","parse-names":false,"suffix":""},{"dropping-particle":"","family":"Mackey","given":"Dawn C","non-dropping-particle":"","parse-names":false,"suffix":""}],"container-title":"Innovation in aging","id":"ITEM-1","issue":"3","issued":{"date-parts":[["2018","9"]]},"language":"eng","page":"1-10","title":"Randomized Controlled Trial of Exercise to Improve Walking Energetics in Older Adults.","type":"article-journal","volume":"2"},"uris":["http://www.mendeley.com/documents/?uuid=e36d4c3a-4f67-472e-a6e6-7c7f071d3dc2"]}],"mendeley":{"formattedCitation":"[14]","plainTextFormattedCitation":"[14]","previouslyFormattedCitation":"&lt;span style=\"baseline\"&gt;&lt;span style=\"font-variant:small-caps;\"&gt;[14]&lt;/span&gt;&lt;/span&gt;"},"properties":{"noteIndex":0},"schema":"https://github.com/citation-style-language/schema/raw/master/csl-citation.json"}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[14]</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27543B87"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Community-dwelling</w:t>
            </w:r>
          </w:p>
        </w:tc>
        <w:tc>
          <w:tcPr>
            <w:tcW w:w="1354" w:type="dxa"/>
            <w:shd w:val="clear" w:color="auto" w:fill="auto"/>
            <w:vAlign w:val="center"/>
          </w:tcPr>
          <w:p w14:paraId="657C6695"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E821C3" w14:paraId="631BF06B" w14:textId="77777777" w:rsidTr="00B029D6">
        <w:tc>
          <w:tcPr>
            <w:tcW w:w="1643" w:type="dxa"/>
            <w:vMerge/>
            <w:shd w:val="clear" w:color="auto" w:fill="auto"/>
          </w:tcPr>
          <w:p w14:paraId="54083812" w14:textId="77777777" w:rsidR="0015162E" w:rsidRPr="0015162E" w:rsidRDefault="0015162E" w:rsidP="008B1D00">
            <w:pPr>
              <w:rPr>
                <w:rFonts w:ascii="Times New Roman" w:hAnsi="Times New Roman" w:cs="Times New Roman"/>
                <w:sz w:val="20"/>
                <w:szCs w:val="20"/>
                <w:lang w:val="en-GB"/>
              </w:rPr>
            </w:pPr>
          </w:p>
        </w:tc>
        <w:tc>
          <w:tcPr>
            <w:tcW w:w="1843" w:type="dxa"/>
            <w:vMerge w:val="restart"/>
            <w:shd w:val="clear" w:color="auto" w:fill="auto"/>
          </w:tcPr>
          <w:p w14:paraId="5A5BDFE2"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Physical exercises</w:t>
            </w:r>
          </w:p>
        </w:tc>
        <w:tc>
          <w:tcPr>
            <w:tcW w:w="1402" w:type="dxa"/>
            <w:shd w:val="clear" w:color="auto" w:fill="auto"/>
            <w:vAlign w:val="center"/>
          </w:tcPr>
          <w:p w14:paraId="11A8B6AC"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1074A899" w14:textId="10D3BF54"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Matsuda et al. (2015)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{"citationItems":[{"id":"ITEM-1","itemData":{"DOI":"10.1589/jpts.27.1087","ISSN":"0915-5287 (Print)","PMID":"25995563","abstract":"[Purpose] The purpose of this study was to investigate the factors affecting the  coefficient of variation (CV) of stride time in an exercise intervention for the elderly without falling history. [Subjects and Methods] The subjects were 42 elderly women who had participated in a care prevention program for 12 weeks. Stride time CV, motor function, movement ability, balance, Modified Falls Efficacy Scale (MFES) score, and Life-space Assessment (LSA) score before and after the intervention were examined for significant differences using the paired t-test. Multiple regression analysis was used to determine the factors that changed in the stride time CV. [Results] There were significant differences in muscle strength, sit-and-reach flexibility, the one-leg standing time (eyes open), the maximum walking speed, local stability of trunk acceleration, The Timed Up and Go Test (TUG-T), the MFES score, and the LSA score between the pre-intervention and post-intervention. Stepwise multiple regression analysis revealed that improvement of quadriceps muscle strength, sit-and-reach flexibility, the one-leg standing time, TUG-T, local stability of trunk acceleration (vertical direction) and MFES score were independent variables explaining the reduction in stride time CV. [Conclusion] The results was suggested that it might be possible to reduce the stride time CV by improving strength, flexibility and dynamic balance, and reducing fear of falls through interventions.","author":[{"dropping-particle":"","family":"Matsuda","given":"Kensuke","non-dropping-particle":"","parse-names":false,"suffix":""},{"dropping-particle":"","family":"Ikeda","given":"Shou","non-dropping-particle":"","parse-names":false,"suffix":""},{"dropping-particle":"","family":"Nakahara","given":"Masami","non-dropping-particle":"","parse-names":false,"suffix":""},{"dropping-particle":"","family":"Ikeda","given":"Takuro","non-dropping-particle":"","parse-names":false,"suffix":""},{"dropping-particle":"","family":"Okamoto","given":"Ryuji","non-dropping-particle":"","parse-names":false,"suffix":""},{"dropping-particle":"","family":"Kurosawa","given":"Kazuo","non-dropping-particle":"","parse-names":false,"suffix":""},{"dropping-particle":"","family":"Horikawa","given":"Etuo","non-dropping-particle":"","parse-names":false,"suffix":""}],"container-title":"Journal of physical therapy science","id":"ITEM-1","issue":"4","issued":{"date-parts":[["2015","4"]]},"language":"eng","page":"1087-1090","title":"Factors affecting the coefficient of variation of stride time of the elderly without  falling history: a prospective study.","type":"article-journal","volume":"27"},"uris":["http://www.mendeley.com/documents/?uuid=39b6a860-9d89-408d-825e-bbbde99796ef"]}],"mendeley":{"formattedCitation":"[15]","plainTextFormattedCitation":"[15]","previouslyFormattedCitation":"&lt;span style=\"baseline\"&gt;&lt;span style=\"font-variant:small-caps;\"&gt;[15]&lt;/span&gt;&lt;/span&gt;"},"properties":{"noteIndex":0},"schema":"https://github.com/citation-style-language/schema/raw/master/csl-citation.json"}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[15]</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6674AD54" w14:textId="62691761" w:rsidR="0015162E" w:rsidRPr="00B029D6" w:rsidRDefault="00036AFC"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Potentially in</w:t>
            </w:r>
            <w:r w:rsidR="0015162E" w:rsidRPr="00B029D6">
              <w:rPr>
                <w:rFonts w:ascii="Times New Roman" w:hAnsi="Times New Roman" w:cs="Times New Roman"/>
                <w:sz w:val="20"/>
                <w:szCs w:val="20"/>
                <w:lang w:val="en-GB"/>
              </w:rPr>
              <w:t xml:space="preserve"> </w:t>
            </w:r>
            <w:r w:rsidR="00E821C3" w:rsidRPr="00B029D6">
              <w:rPr>
                <w:rFonts w:ascii="Times New Roman" w:hAnsi="Times New Roman" w:cs="Times New Roman"/>
                <w:sz w:val="20"/>
                <w:szCs w:val="20"/>
                <w:lang w:val="en-GB"/>
              </w:rPr>
              <w:t xml:space="preserve">need of </w:t>
            </w:r>
            <w:r w:rsidR="0015162E" w:rsidRPr="00B029D6">
              <w:rPr>
                <w:rFonts w:ascii="Times New Roman" w:hAnsi="Times New Roman" w:cs="Times New Roman"/>
                <w:sz w:val="20"/>
                <w:szCs w:val="20"/>
                <w:lang w:val="en-GB"/>
              </w:rPr>
              <w:t xml:space="preserve">nursing care </w:t>
            </w:r>
          </w:p>
        </w:tc>
        <w:tc>
          <w:tcPr>
            <w:tcW w:w="1354" w:type="dxa"/>
            <w:shd w:val="clear" w:color="auto" w:fill="auto"/>
            <w:vAlign w:val="center"/>
          </w:tcPr>
          <w:p w14:paraId="252A4EC0"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5B4B5019" w14:textId="77777777" w:rsidTr="00B029D6">
        <w:trPr>
          <w:trHeight w:val="248"/>
        </w:trPr>
        <w:tc>
          <w:tcPr>
            <w:tcW w:w="1643" w:type="dxa"/>
            <w:vMerge/>
            <w:shd w:val="clear" w:color="auto" w:fill="auto"/>
          </w:tcPr>
          <w:p w14:paraId="41E31C73"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40C750FA" w14:textId="77777777" w:rsidR="0015162E" w:rsidRPr="0015162E" w:rsidRDefault="0015162E" w:rsidP="008B1D00">
            <w:pPr>
              <w:rPr>
                <w:rFonts w:ascii="Times New Roman" w:hAnsi="Times New Roman" w:cs="Times New Roman"/>
                <w:sz w:val="20"/>
                <w:szCs w:val="20"/>
                <w:lang w:val="en-GB"/>
              </w:rPr>
            </w:pPr>
          </w:p>
        </w:tc>
        <w:tc>
          <w:tcPr>
            <w:tcW w:w="1402" w:type="dxa"/>
            <w:vMerge w:val="restart"/>
            <w:shd w:val="clear" w:color="auto" w:fill="auto"/>
            <w:vAlign w:val="center"/>
          </w:tcPr>
          <w:p w14:paraId="397A618F" w14:textId="77777777" w:rsidR="0015162E" w:rsidRPr="0015162E" w:rsidRDefault="0015162E" w:rsidP="008B1D00">
            <w:pPr>
              <w:rPr>
                <w:rFonts w:ascii="Times New Roman" w:hAnsi="Times New Roman" w:cs="Times New Roman"/>
                <w:sz w:val="20"/>
                <w:szCs w:val="20"/>
                <w:lang w:val="en-GB"/>
              </w:rPr>
            </w:pPr>
          </w:p>
        </w:tc>
        <w:tc>
          <w:tcPr>
            <w:tcW w:w="1282" w:type="dxa"/>
            <w:vMerge w:val="restart"/>
            <w:shd w:val="clear" w:color="auto" w:fill="auto"/>
            <w:vAlign w:val="center"/>
          </w:tcPr>
          <w:p w14:paraId="26FD8384" w14:textId="7F1F942A"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Nakagawa et al. (2008)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{"citationItems":[{"id":"ITEM-1","itemData":{"DOI":"10.1589/jpts.20.197","ISSN":"0915-5287","abstract":"{[}Purpose] The purpose of this Study was to validate the characteristic\nof an exercise program consisting of simple exercise methods under the\ninstruction of physiotherapists for general elderly people living in a\ncommunity (general elderly group) and a frail elderly group.\n{[}Subjects] The general elderly group consisted of 44 persons (74.2 +/-\n4.38 years old: 6 men, 38 women) and the frail elderly group, 30 persons\n(80.6 +/- 6.12 years old: 10 men, 20 women). {[}Methods) The measurement\nitems were weight, body fat percentage, grip strength, knee extensor\nstrength, sitting trunk flexion, one leg standing, functional reach\ntest, timed ``up and go{''} test, 10-m walking time, TMIG Index of\nCompetence, MOS Short-Form 36-Item Health Survey, and the Life-Space\nAssessment. In each group, group and individual exercises were provided\nby physiotherapists. All the exercises were easy to perform. {[}Results]\nKnee extensor strength of the frail elderly group improved to almost the\nsame level of the general elderly group. There were significant\nimprovements in balance, gait ability, social and psychological\nattitudes in both groups. {[}Conclusion] We think that muscle\nstrengthening exercises Without exercise tools as resistance under the\ninstruction of physiotherapists would be effective for improving the\nmuscle strength of frail elderly persons.","author":[{"dropping-particle":"","family":"Nakagawa","given":"Kazumasa","non-dropping-particle":"","parse-names":false,"suffix":""},{"dropping-particle":"","family":"Inomata","given":"Nobuaki","non-dropping-particle":"","parse-names":false,"suffix":""},{"dropping-particle":"","family":"Konno","given":"Yoshitaka","non-dropping-particle":"","parse-names":false,"suffix":""},{"dropping-particle":"","family":"Nakazawa","given":"Rie","non-dropping-particle":"","parse-names":false,"suffix":""},{"dropping-particle":"","family":"Hagiwara","given":"Kinuyo","non-dropping-particle":"","parse-names":false,"suffix":""},{"dropping-particle":"","family":"Sakamoto","given":"Masaaki","non-dropping-particle":"","parse-names":false,"suffix":""}],"container-title":"JOURNAL OF PHYSICAL THERAPY SCIENCE","id":"ITEM-1","issue":"4","issued":{"date-parts":[["2008"]]},"page":"197-203","publisher":"SOC PHYSICAL THERAPY SCIENCE","publisher-place":"C/O PUBLICATION CENTER, 1-24-12 SUGAMO, TOSHIMA-KU, TOKYO, 170-0002, JAPAN","title":"The Characteristic of a Simple Exercise Program under the Instruction of Physiotherapists-For General Elderly People and Frail Elderly People","type":"article-journal","volume":"20"},"uris":["http://www.mendeley.com/documents/?uuid=97b23830-44ef-4e9d-a376-f13d7d626b03"]}],"mendeley":{"formattedCitation":"[16]","plainTextFormattedCitation":"[16]","previouslyFormattedCitation":"&lt;span style=\"baseline\"&gt;&lt;span style=\"font-variant:small-caps;\"&gt;[16]&lt;/span&gt;&lt;/span&gt;"},"properties":{"noteIndex":0},"schema":"https://github.com/citation-style-language/schema/raw/master/csl-citation.json"}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[16]</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66AB2D40"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Frail </w:t>
            </w:r>
          </w:p>
        </w:tc>
        <w:tc>
          <w:tcPr>
            <w:tcW w:w="1354" w:type="dxa"/>
            <w:shd w:val="clear" w:color="auto" w:fill="auto"/>
            <w:vAlign w:val="center"/>
          </w:tcPr>
          <w:p w14:paraId="4FF3E955"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r w:rsidRPr="0015162E">
              <w:rPr>
                <w:rFonts w:ascii="Times New Roman" w:hAnsi="Times New Roman" w:cs="Times New Roman"/>
                <w:sz w:val="20"/>
                <w:szCs w:val="20"/>
                <w:lang w:val="en-GB"/>
              </w:rPr>
              <w:t xml:space="preserve"> </w:t>
            </w:r>
          </w:p>
        </w:tc>
      </w:tr>
      <w:tr w:rsidR="00B029D6" w:rsidRPr="0015162E" w14:paraId="29D26DF4" w14:textId="77777777" w:rsidTr="00B029D6">
        <w:trPr>
          <w:trHeight w:val="247"/>
        </w:trPr>
        <w:tc>
          <w:tcPr>
            <w:tcW w:w="1643" w:type="dxa"/>
            <w:vMerge/>
            <w:shd w:val="clear" w:color="auto" w:fill="auto"/>
          </w:tcPr>
          <w:p w14:paraId="734CB056"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6015CA9A" w14:textId="77777777" w:rsidR="0015162E" w:rsidRPr="0015162E" w:rsidRDefault="0015162E" w:rsidP="008B1D00">
            <w:pPr>
              <w:rPr>
                <w:rFonts w:ascii="Times New Roman" w:hAnsi="Times New Roman" w:cs="Times New Roman"/>
                <w:sz w:val="20"/>
                <w:szCs w:val="20"/>
                <w:lang w:val="en-GB"/>
              </w:rPr>
            </w:pPr>
          </w:p>
        </w:tc>
        <w:tc>
          <w:tcPr>
            <w:tcW w:w="1402" w:type="dxa"/>
            <w:vMerge/>
            <w:shd w:val="clear" w:color="auto" w:fill="auto"/>
            <w:vAlign w:val="center"/>
          </w:tcPr>
          <w:p w14:paraId="3F0A5D6C" w14:textId="77777777" w:rsidR="0015162E" w:rsidRPr="0015162E" w:rsidRDefault="0015162E" w:rsidP="008B1D00">
            <w:pPr>
              <w:rPr>
                <w:rFonts w:ascii="Times New Roman" w:hAnsi="Times New Roman" w:cs="Times New Roman"/>
                <w:sz w:val="20"/>
                <w:szCs w:val="20"/>
                <w:lang w:val="en-GB"/>
              </w:rPr>
            </w:pPr>
          </w:p>
        </w:tc>
        <w:tc>
          <w:tcPr>
            <w:tcW w:w="1282" w:type="dxa"/>
            <w:vMerge/>
            <w:shd w:val="clear" w:color="auto" w:fill="auto"/>
            <w:vAlign w:val="center"/>
          </w:tcPr>
          <w:p w14:paraId="0BAECC28" w14:textId="77777777" w:rsidR="0015162E" w:rsidRPr="00B029D6" w:rsidRDefault="0015162E" w:rsidP="008B1D00">
            <w:pPr>
              <w:rPr>
                <w:rFonts w:ascii="Times New Roman" w:hAnsi="Times New Roman" w:cs="Times New Roman"/>
                <w:sz w:val="20"/>
                <w:szCs w:val="20"/>
                <w:lang w:val="en-GB"/>
              </w:rPr>
            </w:pPr>
          </w:p>
        </w:tc>
        <w:tc>
          <w:tcPr>
            <w:tcW w:w="1538" w:type="dxa"/>
            <w:shd w:val="clear" w:color="auto" w:fill="auto"/>
            <w:vAlign w:val="center"/>
          </w:tcPr>
          <w:p w14:paraId="4BDADECA"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Non-frail</w:t>
            </w:r>
          </w:p>
        </w:tc>
        <w:tc>
          <w:tcPr>
            <w:tcW w:w="1354" w:type="dxa"/>
            <w:shd w:val="clear" w:color="auto" w:fill="auto"/>
            <w:vAlign w:val="center"/>
          </w:tcPr>
          <w:p w14:paraId="26A1D76E"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15162E" w14:paraId="502F0625" w14:textId="77777777" w:rsidTr="00B029D6">
        <w:tc>
          <w:tcPr>
            <w:tcW w:w="1643" w:type="dxa"/>
            <w:vMerge/>
            <w:shd w:val="clear" w:color="auto" w:fill="auto"/>
          </w:tcPr>
          <w:p w14:paraId="08D0FF10"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54D5BEFC"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270CAFE7"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2CC4E90A" w14:textId="0F9D7EDA"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Hewitt et al. (2018)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{"citationItems":[{"id":"ITEM-1","itemData":{"DOI":"10.1016/j.jamda.2017.12.014","ISSN":"1538-9375 (Electronic)","PMID":"29402651","abstract":"BACKGROUND: Falls prevention is an international priority, and residents of  long-term aged care fall approximately 3 times more often than community dwellers. There is a relative scarcity of published trials in this setting. OBJECTIVES: Our objective was to undertake a randomized controlled trial to test the effect of published best practice exercise in long-term residential aged care. The trial was designed to determine if combined high level balance and moderate intensity progressive resistance training (the Sunbeam Program) is effective in reducing the rate of falls in residents of aged care facilities. METHOD: A cluster randomized controlled trial of 16 residential aged care facilities and 221 participants was conducted. The broad inclusion criterion was permanent residents of aged care. Exclusions were diagnosed terminal illness, no medical clearance, permanent bed- or wheelchair-bound status, advanced Parkinson's disease, or insufficient cognition to participate in group exercise. Assessments were taken at baseline, after intervention, and at 12 months. Randomization was performed by computer-generated sequence to receive either the Sunbeam program or usual care. A cluster refers to an aged care facility. INTERVENTION: The program consisted of individually prescribed progressive resistance training plus balance exercise performed in a group setting for 50 hours over a 25-week period, followed by a maintenance period for 6 months. OUTCOME MEASURES: The primary outcome measure was the rate of falls (number of falls and days followed up). Secondary outcomes included physical performance (Short Physical Performance Battery), quality of life (36-item Short-Form Health Survey), functional mobility (University of Alabama Life Space Assessment), fear of falling (Falls Efficacy Scale International), and cognition (Addenbrooke's Cognitive Evaluation-revised). RESULTS: The rate of falls was reduced by 55% in the exercise group (incidence rate ratio = 0.45, 95% confidence interval 0.17-0.74); an improvement was also seen in physical performance (P = .02). There were no serious adverse events. CONCLUSION: The Sunbeam Program significantly reduced the rate of falls and improved physical performance in residents of aged care. This finding is important as prior work in this setting has returned inconsistent outcomes, resulting in best practice guidelines being cautious about recommending exercise in this setting. This work provides an opportunity to improve clin…","author":[{"dropping-particle":"","family":"Hewitt","given":"Jennifer","non-dropping-particle":"","parse-names":false,"suffix":""},{"dropping-particle":"","family":"Goodall","given":"Stephen","non-dropping-particle":"","parse-names":false,"suffix":""},{"dropping-particle":"","family":"Clemson","given":"Lindy","non-dropping-particle":"","parse-names":false,"suffix":""},{"dropping-particle":"","family":"Henwood","given":"Timothy","non-dropping-particle":"","parse-names":false,"suffix":""},{"dropping-particle":"","family":"Refshauge","given":"Kathryn","non-dropping-particle":"","parse-names":false,"suffix":""}],"container-title":"Journal of the American Medical Directors Association","id":"ITEM-1","issue":"4","issued":{"date-parts":[["2018","4"]]},"language":"eng","page":"361-369","publisher-place":"United States","title":"Progressive Resistance and Balance Training for Falls Prevention in Long-Term  Residential Aged Care: A Cluster Randomized Trial of the Sunbeam Program.","type":"article-journal","volume":"19"},"uris":["http://www.mendeley.com/documents/?uuid=38d3f039-e63d-482c-8428-7a88d90ae028"]}],"mendeley":{"formattedCitation":"[17]","plainTextFormattedCitation":"[17]","previouslyFormattedCitation":"&lt;span style=\"baseline\"&gt;&lt;span style=\"font-variant:small-caps;\"&gt;[17]&lt;/span&gt;&lt;/span&gt;"},"properties":{"noteIndex":0},"schema":"https://github.com/citation-style-language/schema/raw/master/csl-citation.json"}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[17]</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192D0059"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w:t>
            </w:r>
          </w:p>
        </w:tc>
        <w:tc>
          <w:tcPr>
            <w:tcW w:w="1354" w:type="dxa"/>
            <w:shd w:val="clear" w:color="auto" w:fill="auto"/>
            <w:vAlign w:val="center"/>
          </w:tcPr>
          <w:p w14:paraId="6E731665"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BA2D0F" w14:paraId="61C1E5F3" w14:textId="77777777" w:rsidTr="00B029D6">
        <w:tc>
          <w:tcPr>
            <w:tcW w:w="1643" w:type="dxa"/>
            <w:vMerge/>
            <w:shd w:val="clear" w:color="auto" w:fill="auto"/>
          </w:tcPr>
          <w:p w14:paraId="370B912F"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51CD8673"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54ABC377"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5C769654" w14:textId="78C163D8"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Makizako</w:t>
            </w:r>
            <w:proofErr w:type="spellEnd"/>
            <w:r w:rsidRPr="00B029D6">
              <w:rPr>
                <w:rFonts w:ascii="Times New Roman" w:hAnsi="Times New Roman" w:cs="Times New Roman"/>
                <w:sz w:val="20"/>
                <w:szCs w:val="20"/>
                <w:lang w:val="en-GB"/>
              </w:rPr>
              <w:t xml:space="preserve">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{"citationItems":[{"id":"ITEM-1","itemData":{"DOI":"10.3390/jcm9010099","ISSN":"2077-0383 (Print)","PMID":"31906021","abstract":"Depressive symptoms and memory problems are risk factors for dementia. Exercise can  reduce these in older people, and horticultural activity can benefit people with dementia. This study assessed the efficacy of exercise and horticultural interventions for community-dwelling older adults with depressive symptoms and mild memory decline. In this randomized controlled trial, older adults (n = 89) were assigned to exercise, horticultural, or control groups. Exercise and horticultural programs included 20 weekly 90-minute sessions. The control group attended two 90-minute classes. Outcomes were assessed at baseline, and then 6- and 12-months post-intervention. Primary outcome measures were the Geriatric Depression Scale-15 (GDS-15) and Wechsler Memory Scale-Revised. Walking speed, two-minute walking test scores, social network, life space, and subjective daily physical activity were secondary outcome measures. Compared with the control group, the exercise group obtained higher immediate and delayed recall logical memory scores, and the increase in immediate recall scores remained 12-months post-intervention. Two-minute walking performance improved in the exercise group, but not after 12 months. GDS-15 scores showed no significant improvements. The horticultural and control groups showed no differences. Exercise may improve memory, while horticultural activity may not. The effects of exercise and horticultural interventions on depressive symptoms remain unclear.","author":[{"dropping-particle":"","family":"Makizako","given":"Hyuma","non-dropping-particle":"","parse-names":false,"suffix":""},{"dropping-particle":"","family":"Tsutsumimoto","given":"Kota","non-dropping-particle":"","parse-names":false,"suffix":""},{"dropping-particle":"","family":"Doi","given":"Takehiko","non-dropping-particle":"","parse-names":false,"suffix":""},{"dropping-particle":"","family":"Makino","given":"Keitaro","non-dropping-particle":"","parse-names":false,"suffix":""},{"dropping-particle":"","family":"Nakakubo","given":"Sho","non-dropping-particle":"","parse-names":false,"suffix":""},{"dropping-particle":"","family":"Liu-Ambrose","given":"Teresa","non-dropping-particle":"","parse-names":false,"suffix":""},{"dropping-particle":"","family":"Shimada","given":"Hiroyuki","non-dropping-particle":"","parse-names":false,"suffix":""}],"container-title":"Journal of clinical medicine","id":"ITEM-1","issue":"1","issued":{"date-parts":[["2019","12"]]},"language":"eng","publisher":"MDPI","publisher-place":"ST ALBAN-ANLAGE 66, CH-4052 BASEL, SWITZERLAND","title":"Exercise and Horticultural Programs for Older Adults with Depressive Symptoms and  Memory Problems: A Randomized Controlled Trial.","type":"article-journal","volume":"9"},"uris":["http://www.mendeley.com/documents/?uuid=85f03190-ac7c-497d-a6a2-bbec432086de"]}],"mendeley":{"formattedCitation":"[18]","plainTextFormattedCitation":"[18]","previouslyFormattedCitation":"&lt;span style=\"baseline\"&gt;&lt;span style=\"font-variant:small-caps;\"&gt;[18]&lt;/span&gt;&lt;/span&gt;"},"properties":{"noteIndex":0},"schema":"https://github.com/citation-style-language/schema/raw/master/csl-citation.json"}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[18]</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4C71F626" w14:textId="7B83D378"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 d</w:t>
            </w:r>
            <w:r w:rsidR="0015162E" w:rsidRPr="00B029D6">
              <w:rPr>
                <w:rFonts w:ascii="Times New Roman" w:hAnsi="Times New Roman" w:cs="Times New Roman"/>
                <w:sz w:val="20"/>
                <w:szCs w:val="20"/>
                <w:lang w:val="en-GB"/>
              </w:rPr>
              <w:t xml:space="preserve">epressive symptoms and memory problems </w:t>
            </w:r>
          </w:p>
        </w:tc>
        <w:tc>
          <w:tcPr>
            <w:tcW w:w="1354" w:type="dxa"/>
            <w:shd w:val="clear" w:color="auto" w:fill="auto"/>
            <w:vAlign w:val="center"/>
          </w:tcPr>
          <w:p w14:paraId="4AFCDD48"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BA2D0F" w14:paraId="7DB9D08C" w14:textId="77777777" w:rsidTr="00B029D6">
        <w:tc>
          <w:tcPr>
            <w:tcW w:w="1643" w:type="dxa"/>
            <w:vMerge w:val="restart"/>
            <w:shd w:val="clear" w:color="auto" w:fill="auto"/>
          </w:tcPr>
          <w:p w14:paraId="669F9077"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 xml:space="preserve">Purely </w:t>
            </w:r>
            <w:proofErr w:type="spellStart"/>
            <w:r w:rsidRPr="0015162E">
              <w:rPr>
                <w:rFonts w:ascii="Times New Roman" w:hAnsi="Times New Roman" w:cs="Times New Roman"/>
                <w:sz w:val="20"/>
                <w:szCs w:val="20"/>
                <w:lang w:val="en-GB"/>
              </w:rPr>
              <w:t>counseling</w:t>
            </w:r>
            <w:proofErr w:type="spellEnd"/>
            <w:r w:rsidRPr="0015162E">
              <w:rPr>
                <w:rFonts w:ascii="Times New Roman" w:hAnsi="Times New Roman" w:cs="Times New Roman"/>
                <w:sz w:val="20"/>
                <w:szCs w:val="20"/>
                <w:lang w:val="en-GB"/>
              </w:rPr>
              <w:t xml:space="preserve"> interventions</w:t>
            </w:r>
          </w:p>
        </w:tc>
        <w:tc>
          <w:tcPr>
            <w:tcW w:w="1843" w:type="dxa"/>
            <w:vMerge w:val="restart"/>
            <w:shd w:val="clear" w:color="auto" w:fill="auto"/>
          </w:tcPr>
          <w:p w14:paraId="1276025F"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Promotion of behavioural changes towards a healthy lifestyle</w:t>
            </w:r>
          </w:p>
        </w:tc>
        <w:tc>
          <w:tcPr>
            <w:tcW w:w="1402" w:type="dxa"/>
            <w:shd w:val="clear" w:color="auto" w:fill="auto"/>
            <w:vAlign w:val="center"/>
          </w:tcPr>
          <w:p w14:paraId="5445A185"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0E524F33" w14:textId="5BE7A84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Levasseur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{"citationItems":[{"id":"ITEM-1","itemData":{"DOI":"10.5014/ajot.2019.031732","ISSN":"0272-9490 (Print)","PMID":"31484027","abstract":"IMPORTANCE: Developed in California to enable community-dwelling older adults to  maintain healthy and meaningful activities, Lifestyle Redesign(®) is a well-known cost-effective preventive occupational therapy intervention. The impact of a newly adapted French version on older French-Canadians was, however, unknown. OBJECTIVE: To explore the influence of Lifestyle Redesign on older French-Canadians' health, social participation, leisure, and mobility. DESIGN: A mixed-methods design included a preexperimental component (questionnaires administered before and after the intervention and 3 and 6 mo postintervention) and an exploratory descriptive qualitative clinical study. Individual semidirected interviews were digitally audiotaped and transcribed, then underwent thematic content analysis using mix extraction grids. SETTING: Community. PARTICIPANTS: Sixteen volunteers (10 women) aged 65-90 yr (mean = 76.4, standard deviation = 7.6), 10 without and 6 with disabilities. Inclusion criteria were age ≥65 yr, normal cognitive functions, residence in a conventional or senior home, and French speaking. INTERVENTION: French-Canadian 6-mo version of Lifestyle Redesign. OUTCOMES AND MEASURES: Health, social participation, leisure, and mobility were measured using the 36-item Short Form Health Survey, Social Participation Scale, Leisure Profile, and Life-Space Assessment, as well as a semistructured interview guide. RESULTS: The French-Canadian Lifestyle Redesign had a beneficial effect on participants' mental health (p = .02) and interest in leisure (p = .02) and, in those with disabilities, social participation (p = .03) and attitudes toward leisure (p = .04). Participants reported positive effects on their mental health, leisure, mobility, and social participation, including frequency and quality of social interactions, and indicated that having an occupational routine fostered better health. None of the participants reported no effect. CONCLUSION AND RELEVANCE: The translated and culturally adapted Lifestyle Redesign is a promising occupational therapy intervention for community-dwelling older French-Canadians. WHAT THIS ARTICLE ADDS: This study sheds light on the influence of the French-Canadian version of the intervention not only on older adults' health and social participation but also on their leisure activities and life-space mobility, two important outcomes not addressed in previous Lifestyle Redesign studies. Moreover, this study provides an in-depth und…","author":[{"dropping-particle":"","family":"Levasseur","given":"Mélanie","non-dropping-particle":"","parse-names":false,"suffix":""},{"dropping-particle":"","family":"Filiatrault","given":"Johanne","non-dropping-particle":"","parse-names":false,"suffix":""},{"dropping-particle":"","family":"Larivière","given":"Nadine","non-dropping-particle":"","parse-names":false,"suffix":""},{"dropping-particle":"","family":"Trépanier","given":"Jordane","non-dropping-particle":"","parse-names":false,"suffix":""},{"dropping-particle":"","family":"Lévesque","given":"Marie-Hélène","non-dropping-particle":"","parse-names":false,"suffix":""},{"dropping-particle":"","family":"Beaudry","given":"Maryke","non-dropping-particle":"","parse-names":false,"suffix":""},{"dropping-particle":"","family":"Parisien","given":"Manon","non-dropping-particle":"","parse-names":false,"suffix":""},{"dropping-particle":"","family":"Provencher","given":"Véronique","non-dropping-particle":"","parse-names":false,"suffix":""},{"dropping-particle":"","family":"Couturier","given":"Yves","non-dropping-particle":"","parse-names":false,"suffix":""},{"dropping-particle":"","family":"Champoux","given":"Nathalie","non-dropping-particle":"","parse-names":false,"suffix":""},{"dropping-particle":"","family":"Corriveau","given":"Hélène","non-dropping-particle":"","parse-names":false,"suffix":""},{"dropping-particle":"","family":"Carbonneau","given":"Hélène","non-dropping-particle":"","parse-names":false,"suffix":""},{"dropping-particle":"","family":"Sirois","given":"Fuschia","non-dropping-particle":"","parse-names":false,"suffix":""}],"container-title":"The American journal of occupational therapy : official publication of the American  Occupational Therapy Association","id":"ITEM-1","issue":"5","issued":{"date-parts":[["2019"]]},"language":"eng","page":"7305205030p1-7305205030p18","title":"Influence of Lifestyle Redesign(®) on Health, Social Participation, Leisure, and  Mobility of Older French-Canadians.","type":"article-journal","volume":"73"},"uris":["http://www.mendeley.com/documents/?uuid=b1cb5659-b170-455c-a091-889c89814d3f"]}],"mendeley":{"formattedCitation":"[19]","plainTextFormattedCitation":"[19]","previouslyFormattedCitation":"&lt;span style=\"baseline\"&gt;&lt;span style=\"font-variant:small-caps;\"&gt;[19]&lt;/span&gt;&lt;/span&gt;"},"properties":{"noteIndex":0},"schema":"https://github.com/citation-style-language/schema/raw/master/csl-citation.json"}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[19]</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06B50FE1" w14:textId="60902530"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Community-dwelling (with and without </w:t>
            </w:r>
            <w:r w:rsidR="00B45DD7" w:rsidRPr="00B029D6">
              <w:rPr>
                <w:rFonts w:ascii="Times New Roman" w:hAnsi="Times New Roman" w:cs="Times New Roman"/>
                <w:sz w:val="20"/>
                <w:szCs w:val="20"/>
                <w:lang w:val="en-GB"/>
              </w:rPr>
              <w:t>disability</w:t>
            </w:r>
            <w:r w:rsidRPr="00B029D6">
              <w:rPr>
                <w:rFonts w:ascii="Times New Roman" w:hAnsi="Times New Roman" w:cs="Times New Roman"/>
                <w:sz w:val="20"/>
                <w:szCs w:val="20"/>
                <w:lang w:val="en-GB"/>
              </w:rPr>
              <w:t>)</w:t>
            </w:r>
          </w:p>
        </w:tc>
        <w:tc>
          <w:tcPr>
            <w:tcW w:w="1354" w:type="dxa"/>
            <w:shd w:val="clear" w:color="auto" w:fill="auto"/>
            <w:vAlign w:val="center"/>
          </w:tcPr>
          <w:p w14:paraId="6B2ECEA0" w14:textId="3BBDA091" w:rsidR="0015162E" w:rsidRPr="0015162E" w:rsidRDefault="00EE1EE7"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r>
              <w:rPr>
                <w:rFonts w:ascii="Times New Roman" w:hAnsi="Times New Roman" w:cs="Times New Roman"/>
                <w:sz w:val="20"/>
                <w:szCs w:val="20"/>
                <w:lang w:val="en-GB"/>
              </w:rPr>
              <w:t>/</w:t>
            </w:r>
            <w:r w:rsidR="0015162E" w:rsidRPr="0015162E">
              <w:rPr>
                <w:rFonts w:ascii="Times New Roman" w:hAnsi="Times New Roman" w:cs="Times New Roman"/>
                <w:sz w:val="20"/>
                <w:szCs w:val="20"/>
                <w:lang w:val="en-GB"/>
              </w:rPr>
              <w:t>x</w:t>
            </w:r>
          </w:p>
        </w:tc>
      </w:tr>
      <w:tr w:rsidR="00B029D6" w:rsidRPr="0015162E" w14:paraId="40F0366E" w14:textId="77777777" w:rsidTr="00B029D6">
        <w:tc>
          <w:tcPr>
            <w:tcW w:w="1643" w:type="dxa"/>
            <w:vMerge/>
            <w:shd w:val="clear" w:color="auto" w:fill="auto"/>
          </w:tcPr>
          <w:p w14:paraId="5C8297F3" w14:textId="77777777" w:rsidR="0015162E" w:rsidRPr="0015162E" w:rsidRDefault="0015162E" w:rsidP="008B1D00">
            <w:pPr>
              <w:rPr>
                <w:rFonts w:ascii="Times New Roman" w:hAnsi="Times New Roman" w:cs="Times New Roman"/>
                <w:sz w:val="20"/>
                <w:szCs w:val="20"/>
                <w:lang w:val="en-GB"/>
              </w:rPr>
            </w:pPr>
          </w:p>
        </w:tc>
        <w:tc>
          <w:tcPr>
            <w:tcW w:w="1843" w:type="dxa"/>
            <w:vMerge/>
            <w:shd w:val="clear" w:color="auto" w:fill="auto"/>
          </w:tcPr>
          <w:p w14:paraId="190C2051" w14:textId="77777777" w:rsidR="0015162E" w:rsidRPr="0015162E" w:rsidRDefault="0015162E" w:rsidP="008B1D00">
            <w:pPr>
              <w:rPr>
                <w:rFonts w:ascii="Times New Roman" w:hAnsi="Times New Roman" w:cs="Times New Roman"/>
                <w:sz w:val="20"/>
                <w:szCs w:val="20"/>
                <w:lang w:val="en-GB"/>
              </w:rPr>
            </w:pPr>
          </w:p>
        </w:tc>
        <w:tc>
          <w:tcPr>
            <w:tcW w:w="1402" w:type="dxa"/>
            <w:shd w:val="clear" w:color="auto" w:fill="auto"/>
            <w:vAlign w:val="center"/>
          </w:tcPr>
          <w:p w14:paraId="01409181"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251ABFAE" w14:textId="1F577907"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Uemura</w:t>
            </w:r>
            <w:proofErr w:type="spellEnd"/>
            <w:r w:rsidRPr="00B029D6">
              <w:rPr>
                <w:rFonts w:ascii="Times New Roman" w:hAnsi="Times New Roman" w:cs="Times New Roman"/>
                <w:sz w:val="20"/>
                <w:szCs w:val="20"/>
                <w:lang w:val="en-GB"/>
              </w:rPr>
              <w:t xml:space="preserve"> et al. (2021)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{"citationItems":[{"id":"ITEM-1","itemData":{"DOI":"10.1159/000511357","ISSN":"1423-0003 (Electronic)","PMID":"33271536","abstract":"BACKGROUND: Older adults often have a greater need for health information and health  care services because access to these helps them manage their health and the chronic conditions of aging. Therefore, low health literacy bears a special significance for the population of older adults. OBJECTIVES: The aim of this study was to examine the effects of an active learning program on health literacy, lifestyle behaviors, physical function, and mental health among community-dwelling older adults with low health literacy. METHODS: This single-blind, randomized controlled trial involved 60 participants aged ≥65 years with a low health literacy who were randomly assigned to an intervention (n = 30) or control (n = 30) group. Across 24 weeks, the intervention group attended weekly 90-min active learning program sessions, which involved exploratory learning, group work, and the self-planning of behavior changes that promote a healthy lifestyle. The control group attended a 90-min class, which was taught in accordance with the didactic teaching method. For both groups, the programs focused on the role of exercise, diet/nutrition, and cognitive activity for promoting health among older adults. The outcome measures were administered at baseline and week 24. Comprehensive health literacy (i.e., primary outcome) was assessed using the Health Literacy Scale-14. Lifestyle factors (i.e., physical activity, dietary variety, life-space mobility, and social network size), physical function, and depressive symptoms were measured. We used a linear mixed model to estimate the intervention effects in accordance with the intention-to-treat approach. RESULTS: When compared to the control group, the intervention group demonstrated a significant improvement in communicative health literacy, step count, engagement in moderate-to-vigorous physical activity, dietary variety, life-space mobility, social network size, grip strength, gait speed, and depressive symptoms. CONCLUSIONS: The active learning program can promote a healthy lifestyle and prevent functional decline among older adults who lack the confidence to engage in health communication.","author":[{"dropping-particle":"","family":"Uemura","given":"Kazuki","non-dropping-particle":"","parse-names":false,"suffix":""},{"dropping-particle":"","family":"Yamada","given":"Minoru","non-dropping-particle":"","parse-names":false,"suffix":""},{"dropping-particle":"","family":"Okamoto","given":"Hiroshi","non-dropping-particle":"","parse-names":false,"suffix":""}],"container-title":"Gerontology","id":"ITEM-1","issue":"1","issued":{"date-parts":[["2021"]]},"language":"eng","page":"25-35","publisher-place":"Switzerland","title":"The Effectiveness of an Active Learning Program in Promoting a Healthy Lifestyle  among Older Adults with Low Health Literacy: A Randomized Controlled Trial.","type":"article-journal","volume":"67"},"uris":["http://www.mendeley.com/documents/?uuid=42afa76f-9874-4bc5-b98b-7574ec568714"]}],"mendeley":{"formattedCitation":"[20]","plainTextFormattedCitation":"[20]","previouslyFormattedCitation":"&lt;span style=\"baseline\"&gt;&lt;span style=\"font-variant:small-caps;\"&gt;[20]&lt;/span&gt;&lt;/span&gt;"},"properties":{"noteIndex":0},"schema":"https://github.com/citation-style-language/schema/raw/master/csl-citation.json"}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[20]</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0E384A6F"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Community-dwelling</w:t>
            </w:r>
          </w:p>
        </w:tc>
        <w:tc>
          <w:tcPr>
            <w:tcW w:w="1354" w:type="dxa"/>
            <w:shd w:val="clear" w:color="auto" w:fill="auto"/>
            <w:vAlign w:val="center"/>
          </w:tcPr>
          <w:p w14:paraId="208C4999"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BA2D0F" w14:paraId="304276FE" w14:textId="77777777" w:rsidTr="00B029D6">
        <w:tc>
          <w:tcPr>
            <w:tcW w:w="1643" w:type="dxa"/>
            <w:vMerge/>
            <w:shd w:val="clear" w:color="auto" w:fill="auto"/>
          </w:tcPr>
          <w:p w14:paraId="5A64F2DD"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6DC5E2CC"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Self-care tools + coaching</w:t>
            </w:r>
          </w:p>
        </w:tc>
        <w:tc>
          <w:tcPr>
            <w:tcW w:w="1402" w:type="dxa"/>
            <w:shd w:val="clear" w:color="auto" w:fill="auto"/>
            <w:vAlign w:val="center"/>
          </w:tcPr>
          <w:p w14:paraId="5B9A9622"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547E7117" w14:textId="14D9BC91"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Kamga et al. (2017)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{"citationItems":[{"id":"ITEM-1","itemData":{"DOI":"10.1111/ceo.12890","ISSN":"1442-9071 (Electronic)","PMID":"27928888","abstract":"BACKGROUND: Depression is very common in people with age-related eye disease. Our  goal was to determine if self-care tools plus limited telephone support could reduce depressive symptoms in patients with age-related macular degeneration or diabetic retinopathy. DESIGN: A single-blind randomized controlled clinical trial was conducted at Maisonneuve-Rosemont Hospital in Montreal, Canada. PARTICIPANTS: Eighty participants were recruited. METHODS: To be eligible, participants must have had either late stage age-related macular degeneration or diabetic retinopathy, at least mild depressive symptoms, and visual acuity better than 20/200. Half were randomized to the intervention arm and half to delayed intervention/usual care. The intervention consisted of large print written and audio tools incorporating cognitive-behavioral principles plus three 10-minute telephone calls from a lay coach. Eight-week follow-up data were collected by telephone. MAIN OUTCOME MEASURES: The primary outcome was the 8-week change in depressive symptoms as measured by the Patient Health Questionnaire-9. Secondary outcomes included anxiety, life space and self-efficacy. RESULTS: The baseline mean logMAR visual acuity was 0.37 (SD = 0.20), and the baseline mean Patient Health Questionnaire-9 score was 9.5 (SD = 3.9) indicating moderate depressive symptoms. After adjusting for baseline imbalances in visual acuity, the intervention reduced depressive symptoms by 2.1 points more than usual care (P = 0.040). The intervention was not associated with the secondary outcomes (P &gt; 0.05). CONCLUSIONS: Self-care tools plus telephone coaching led to a modest improvement in depressive symptoms in patients with age-related eye disease. Additional research on how to maximize their effect is necessary.","author":[{"dropping-particle":"","family":"Kamga","given":"Hortence","non-dropping-particle":"","parse-names":false,"suffix":""},{"dropping-particle":"","family":"McCusker","given":"Jane","non-dropping-particle":"","parse-names":false,"suffix":""},{"dropping-particle":"","family":"Yaffe","given":"Mark","non-dropping-particle":"","parse-names":false,"suffix":""},{"dropping-particle":"","family":"Sewitch","given":"Maida","non-dropping-particle":"","parse-names":false,"suffix":""},{"dropping-particle":"","family":"Sussman","given":"Tamara","non-dropping-particle":"","parse-names":false,"suffix":""},{"dropping-particle":"","family":"Strumpf","given":"Erin","non-dropping-particle":"","parse-names":false,"suffix":""},{"dropping-particle":"","family":"Olivier","given":"Sébastien","non-dropping-particle":"","parse-names":false,"suffix":""},{"dropping-particle":"","family":"Wittich","given":"Walter","non-dropping-particle":"","parse-names":false,"suffix":""},{"dropping-particle":"","family":"Moghadaszadeh","given":"Solmaz","non-dropping-particle":"","parse-names":false,"suffix":""},{"dropping-particle":"","family":"Freeman","given":"Ellen E.","non-dropping-particle":"","parse-names":false,"suffix":""}],"container-title":"Clinical &amp; experimental ophthalmology","id":"ITEM-1","issue":"4","issued":{"date-parts":[["2017","5"]]},"language":"eng","page":"371-378","publisher-place":"Australia","title":"Self-care tools to treat depressive symptoms in patients with age-related eye  disease: a randomized controlled clinical trial.","type":"article-journal","volume":"45"},"uris":["http://www.mendeley.com/documents/?uuid=5c9bef14-f819-40dd-a3de-0109deee8c6e"]}],"mendeley":{"formattedCitation":"[21]","plainTextFormattedCitation":"[21]","previouslyFormattedCitation":"&lt;span style=\"baseline\"&gt;&lt;span style=\"font-variant:small-caps;\"&gt;[21]&lt;/span&gt;&lt;/span&gt;"},"properties":{"noteIndex":0},"schema":"https://github.com/citation-style-language/schema/raw/master/csl-citation.json"}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[21]</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11C557ED" w14:textId="59C314CF"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 a</w:t>
            </w:r>
            <w:r w:rsidR="0015162E" w:rsidRPr="00B029D6">
              <w:rPr>
                <w:rFonts w:ascii="Times New Roman" w:hAnsi="Times New Roman" w:cs="Times New Roman"/>
                <w:sz w:val="20"/>
                <w:szCs w:val="20"/>
                <w:lang w:val="en-GB"/>
              </w:rPr>
              <w:t>ge-related eye disease</w:t>
            </w:r>
            <w:r>
              <w:rPr>
                <w:rFonts w:ascii="Times New Roman" w:hAnsi="Times New Roman" w:cs="Times New Roman"/>
                <w:sz w:val="20"/>
                <w:szCs w:val="20"/>
                <w:lang w:val="en-GB"/>
              </w:rPr>
              <w:t>s</w:t>
            </w:r>
            <w:r w:rsidR="0015162E" w:rsidRPr="00B029D6">
              <w:rPr>
                <w:rFonts w:ascii="Times New Roman" w:hAnsi="Times New Roman" w:cs="Times New Roman"/>
                <w:sz w:val="20"/>
                <w:szCs w:val="20"/>
                <w:lang w:val="en-GB"/>
              </w:rPr>
              <w:t xml:space="preserve"> + depression</w:t>
            </w:r>
          </w:p>
        </w:tc>
        <w:tc>
          <w:tcPr>
            <w:tcW w:w="1354" w:type="dxa"/>
            <w:shd w:val="clear" w:color="auto" w:fill="auto"/>
            <w:vAlign w:val="center"/>
          </w:tcPr>
          <w:p w14:paraId="5ACAC708"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BA2D0F" w14:paraId="069CE031" w14:textId="77777777" w:rsidTr="00B029D6">
        <w:tc>
          <w:tcPr>
            <w:tcW w:w="1643" w:type="dxa"/>
            <w:vMerge/>
            <w:shd w:val="clear" w:color="auto" w:fill="auto"/>
          </w:tcPr>
          <w:p w14:paraId="00DBB622"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07E6F140"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Suggesting out-of-home activities</w:t>
            </w:r>
          </w:p>
        </w:tc>
        <w:tc>
          <w:tcPr>
            <w:tcW w:w="1402" w:type="dxa"/>
            <w:shd w:val="clear" w:color="auto" w:fill="auto"/>
            <w:vAlign w:val="center"/>
          </w:tcPr>
          <w:p w14:paraId="41C1CEE3"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432AA701" w14:textId="4EF7D1E8"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Siltanen</w:t>
            </w:r>
            <w:proofErr w:type="spellEnd"/>
            <w:r w:rsidRPr="00B029D6">
              <w:rPr>
                <w:rFonts w:ascii="Times New Roman" w:hAnsi="Times New Roman" w:cs="Times New Roman"/>
                <w:sz w:val="20"/>
                <w:szCs w:val="20"/>
                <w:lang w:val="en-GB"/>
              </w:rPr>
              <w:t xml:space="preserve"> et al. (2020)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{"citationItems":[{"id":"ITEM-1","itemData":{"DOI":"10.1177/0898264320924258","ISSN":"1552-6887 (Electronic)","PMID":"32520654","abstract":"Objectives: The aim of this study was to report preplanned secondary analyses of the effects of a 12-month individualized active aging counseling intervention on six mobility and physical activity outcomes. Methods: A two-arm, single-blinded randomized controlled trial was conducted among 75- and 80-year-old community-dwelling people. The intervention group (IG, n = 101) received counseling aimed at increasing self-selected, primarily out-of-home activity. The control group (CG, n = 103) received general health information. Data were analyzed with generalized estimating equations. Results: Physical performance improved in the IG more than that in the CG (group by time p = .022), self-reported physical activity increased in both groups (time p = .012), and autonomy in outdoor mobility declined in the IG and was enhanced in the CG (group by time p = .011). No change was observed for life-space mobility, proportion of persons perceiving difficulty walking 2 km, or monitored physical activity. Discussion: Individualized counseling aiming at increasing self-selected out-of-home activity had nonsystematic effects on mobility and positively affected physical performance only.","author":[{"dropping-particle":"","family":"Siltanen","given":"Sini","non-dropping-particle":"","parse-names":false,"suffix":""},{"dropping-particle":"","family":"Portegijs","given":"Erja","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dropping-particle":"","family":"Pynno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J","non-dropping-particle":"","parse-names":false,"suffix":""},{"dropping-particle":"","family":"Rantanen","given":"Taina","non-dropping-particle":"","parse-names":false,"suffix":""}],"container-title":"Journal of aging and health","id":"ITEM-1","issue":"10","issued":{"date-parts":[["2020","12"]]},"language":"eng","page":"1316-1324","publisher-place":"United States","title":"Effects of an Individualized Active Aging Counseling Intervention on Mobility and Physical Activity: Secondary Analyses of a Randomized Controlled Trial.","type":"article-journal","volume":"32"},"uris":["http://www.mendeley.com/documents/?uuid=0f034592-09e4-4ea1-aa7a-7361fa6ff9f6"]}],"mendeley":{"formattedCitation":"[22]","plainTextFormattedCitation":"[22]","previouslyFormattedCitation":"&lt;span style=\"baseline\"&gt;&lt;span style=\"font-variant:small-caps;\"&gt;[22]&lt;/span&gt;&lt;/span&gt;"},"properties":{"noteIndex":0},"schema":"https://github.com/citation-style-language/schema/raw/master/csl-citation.json"}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[22]</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5655ACED"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Community-dwelling</w:t>
            </w:r>
          </w:p>
        </w:tc>
        <w:tc>
          <w:tcPr>
            <w:tcW w:w="1354" w:type="dxa"/>
            <w:shd w:val="clear" w:color="auto" w:fill="auto"/>
            <w:vAlign w:val="center"/>
          </w:tcPr>
          <w:p w14:paraId="2FD7D897"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E821C3" w14:paraId="42952C00" w14:textId="77777777" w:rsidTr="00B029D6">
        <w:tc>
          <w:tcPr>
            <w:tcW w:w="1643" w:type="dxa"/>
            <w:vMerge w:val="restart"/>
            <w:shd w:val="clear" w:color="auto" w:fill="auto"/>
          </w:tcPr>
          <w:p w14:paraId="4B516847"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Miscellaneous interventions</w:t>
            </w:r>
          </w:p>
        </w:tc>
        <w:tc>
          <w:tcPr>
            <w:tcW w:w="1843" w:type="dxa"/>
            <w:shd w:val="clear" w:color="auto" w:fill="auto"/>
          </w:tcPr>
          <w:p w14:paraId="0D1A59A4"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Breathing therapy + exercise advice + handheld fan + calming hand</w:t>
            </w:r>
          </w:p>
        </w:tc>
        <w:tc>
          <w:tcPr>
            <w:tcW w:w="1402" w:type="dxa"/>
            <w:shd w:val="clear" w:color="auto" w:fill="auto"/>
            <w:vAlign w:val="center"/>
          </w:tcPr>
          <w:p w14:paraId="46EDA6FE"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262C43E1" w14:textId="27EB012D"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Swan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{"citationItems":[{"id":"ITEM-1","itemData":{"DOI":"10.1016/j.jpainsymman.2019.02.017","ISSN":"1873-6513 (Electronic)","PMID":"30802635","abstract":"CONTEXT: The battery-operated hand-held fan (\"fan\") and the Calming Hand (CH), a  cognitive strategy, are interventions used in clinical practice to relieve chronic breathlessness. OBJECTIVE: To test the feasibility of a Phase III randomized controlled trial (RCT) evaluating the impact of the fan and/or CH compared with exercise advice alone for the relief of chronic breathlessness due to respiratory conditions. METHODS: A single-site, feasibility \"2 × 2\" factorial, nonblinded, mixed-methods RCT was performed. Participants randomly allocated to four groups: fan + exercise advice, CH + exercise advice, fan + CH + exercise advice, and exercise advice alone. Measures included recruitment, acceptability, data quality and study outcomes (baseline and day 28), modified Incremental Shuttle Walk Test (mISWT), recovery time from exertion-induced breathlessness, life-space questionnaire, General Self-Efficacy Scale, and breathlessness numerical rating scales. Willing participants and carers were interviewed at study end. RESULTS: Recruitment/acceptability/data completion: 53 people were screened, 40 randomized and completed (mean age 72 years (SD 9.8), 70% male). There were few missing data (mISWT, n = 2). Recovery time (seconds) from exertion-induced breathlessness showed most improvement for the fan; mean reduction from baseline -33.5 vs. CH mean increase from baseline 5.7. This represents a recovery speed at day 28 (-20.4%) faster for the fan vs. 4.1% slower for the CH. Qualitative data indicated participants valued the faster recovery and identified the fan as a useful \"medical\" device but found the CH unhelpful. CONCLUSION: A Phase III RCT is feasible. Mixed-methods data synthesis supports recovery time as a novel, meaningful outcome measure.","author":[{"dropping-particle":"","family":"Swan","given":"Flavia","non-dropping-particle":"","parse-names":false,"suffix":""},{"dropping-particle":"","family":"English","given":"Anne","non-dropping-particle":"","parse-names":false,"suffix":""},{"dropping-particle":"","family":"Allgar","given":"Victoria","non-dropping-particle":"","parse-names":false,"suffix":""},{"dropping-particle":"","family":"Hart","given":"Simon P","non-dropping-particle":"","parse-names":false,"suffix":""},{"dropping-particle":"","family":"Johnson","given":"Miriam J","non-dropping-particle":"","parse-names":false,"suffix":""}],"container-title":"Journal of pain and symptom management","id":"ITEM-1","issue":"6","issued":{"date-parts":[["2019","6"]]},"language":"eng","page":"1051-1061.e1","publisher-place":"United States","title":"The Hand-Held Fan and the Calming Hand for People With Chronic Breathlessness: A  Feasibility Trial.","type":"article-journal","volume":"57"},"uris":["http://www.mendeley.com/documents/?uuid=09e516d8-4ac6-4c2c-ae30-28edafab3f9d"]}],"mendeley":{"formattedCitation":"[23]","plainTextFormattedCitation":"[23]","previouslyFormattedCitation":"&lt;span style=\"baseline\"&gt;&lt;span style=\"font-variant:small-caps;\"&gt;[23]&lt;/span&gt;&lt;/span&gt;"},"properties":{"noteIndex":0},"schema":"https://github.com/citation-style-language/schema/raw/master/csl-citation.json"}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[23]</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0B34CDE8" w14:textId="46C42C66"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w:t>
            </w:r>
            <w:r w:rsidR="0015162E" w:rsidRPr="00B029D6">
              <w:rPr>
                <w:rFonts w:ascii="Times New Roman" w:hAnsi="Times New Roman" w:cs="Times New Roman"/>
                <w:sz w:val="20"/>
                <w:szCs w:val="20"/>
                <w:lang w:val="en-GB"/>
              </w:rPr>
              <w:t xml:space="preserve"> respiratory diseases</w:t>
            </w:r>
          </w:p>
        </w:tc>
        <w:tc>
          <w:tcPr>
            <w:tcW w:w="1354" w:type="dxa"/>
            <w:shd w:val="clear" w:color="auto" w:fill="auto"/>
            <w:vAlign w:val="center"/>
          </w:tcPr>
          <w:p w14:paraId="03CBF57B"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BA2D0F" w14:paraId="1B604311" w14:textId="77777777" w:rsidTr="00B029D6">
        <w:tc>
          <w:tcPr>
            <w:tcW w:w="1643" w:type="dxa"/>
            <w:vMerge/>
            <w:shd w:val="clear" w:color="auto" w:fill="auto"/>
            <w:vAlign w:val="center"/>
          </w:tcPr>
          <w:p w14:paraId="6FC5DE4E"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14EE3C2B"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Driving cessation program</w:t>
            </w:r>
          </w:p>
        </w:tc>
        <w:tc>
          <w:tcPr>
            <w:tcW w:w="1402" w:type="dxa"/>
            <w:shd w:val="clear" w:color="auto" w:fill="auto"/>
            <w:vAlign w:val="center"/>
          </w:tcPr>
          <w:p w14:paraId="1286EB68"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5D01A795" w14:textId="6F289501"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Liddle et al. (2014)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{"citationItems":[{"id":"ITEM-1","itemData":{"DOI":"10.1093/geront/gnt019","ISSN":"0016-9013","PMID":"23512770","abstract":"Objectives: The UQDRIVE program, a group education and support program,\nwas developed to meet the needs associated with driving cessation for\nolder adults. The current study investigated the effect of the program\non community mobility. Design and Methods: A prospective, parallel,\nstratified randomized controlled trial was undertaken with a waitlist\ncontrol group receiving current clinical practice (no intervention).\nData were collected pre, post, and 3 months following the intervention.\nParticipants were adults aged 60 years or older who had ceased driving\nor planned to cease driving within 12 months. Results: A total of 131\nparticipants were included in analyses (67 intervention, 64 control).\nParticipating in the intervention was significantly associated with a\nhigher number of episodes away from home per week at immediately\npostintervention (z = 2.56, p = .01). This was not significantly\nmaintained at 3-month follow-up. Participation in the intervention also\nsignificantly predicted higher use of public transport at immediately\npostintervention (z = 2.12, p = .034), higher use of walking at\nimmediately postintervention (z = 2.69, p = .007), increased aspects of\ncommunity mobility self-efficacy (z = 3.81, p = .0001), and higher\nsatisfaction with transport at 3-month follow-up (z = 2.07, p = .038).\nImplications: The program increased community mobility immediately\npostintervention and transport satisfaction at 3 months\npostintervention. Due to a high attrition rate, further research is\nrequired to clarify the long-term impact of the intervention.","author":[{"dropping-particle":"","family":"Liddle","given":"Jacki","non-dropping-particle":"","parse-names":false,"suffix":""},{"dropping-particle":"","family":"Haynes","given":"Michele","non-dropping-particle":"","parse-names":false,"suffix":""},{"dropping-particle":"","family":"Pachana","given":"Nancy A.","non-dropping-particle":"","parse-names":false,"suffix":""},{"dropping-particle":"","family":"Mitchell","given":"Geoffrey","non-dropping-particle":"","parse-names":false,"suffix":""},{"dropping-particle":"","family":"McKenna","given":"Kryss","non-dropping-particle":"","parse-names":false,"suffix":""},{"dropping-particle":"","family":"Gustafsson","given":"Louise","non-dropping-particle":"","parse-names":false,"suffix":""}],"container-title":"GERONTOLOGIST","id":"ITEM-1","issue":"3","issued":{"date-parts":[["2014","6"]]},"page":"409-422","publisher":"OXFORD UNIV PRESS INC","publisher-place":"JOURNALS DEPT, 2001 EVANS RD, CARY, NC 27513 USA","title":"Effect of a Group Intervention to Promote Older Adults' Adjustment to Driving Cessation on Community Mobility: A Randomized Controlled Trial","type":"article-journal","volume":"54"},"uris":["http://www.mendeley.com/documents/?uuid=f4aeec50-afd8-4d51-a044-8daf8422f4fb"]}],"mendeley":{"formattedCitation":"[24]","plainTextFormattedCitation":"[24]","previouslyFormattedCitation":"&lt;span style=\"baseline\"&gt;&lt;span style=\"font-variant:small-caps;\"&gt;[24]&lt;/span&gt;&lt;/span&gt;"},"properties":{"noteIndex":0},"schema":"https://github.com/citation-style-language/schema/raw/master/csl-citation.json"}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[24]</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2386DED0" w14:textId="7539CE51"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w:t>
            </w:r>
            <w:r w:rsidR="0015162E" w:rsidRPr="00B029D6">
              <w:rPr>
                <w:rFonts w:ascii="Times New Roman" w:hAnsi="Times New Roman" w:cs="Times New Roman"/>
                <w:sz w:val="20"/>
                <w:szCs w:val="20"/>
                <w:lang w:val="en-GB"/>
              </w:rPr>
              <w:t xml:space="preserve"> (planned) driving cessation</w:t>
            </w:r>
          </w:p>
        </w:tc>
        <w:tc>
          <w:tcPr>
            <w:tcW w:w="1354" w:type="dxa"/>
            <w:shd w:val="clear" w:color="auto" w:fill="auto"/>
            <w:vAlign w:val="center"/>
          </w:tcPr>
          <w:p w14:paraId="081EA9AF"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15162E" w14:paraId="4969D2ED" w14:textId="77777777" w:rsidTr="00B029D6">
        <w:tc>
          <w:tcPr>
            <w:tcW w:w="1643" w:type="dxa"/>
            <w:vMerge/>
            <w:shd w:val="clear" w:color="auto" w:fill="auto"/>
            <w:vAlign w:val="center"/>
          </w:tcPr>
          <w:p w14:paraId="56F9A842"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42B8D7F3"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Rise-assisting robot</w:t>
            </w:r>
          </w:p>
        </w:tc>
        <w:tc>
          <w:tcPr>
            <w:tcW w:w="1402" w:type="dxa"/>
            <w:shd w:val="clear" w:color="auto" w:fill="auto"/>
            <w:vAlign w:val="center"/>
          </w:tcPr>
          <w:p w14:paraId="4841554D"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0D724484" w14:textId="376D4D4A"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Kato et al. (2022)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{"citationItems":[{"id":"ITEM-1","itemData":{"DOI":"10.1186/s12913-022-08952-w","ISSN":"1472-6963 (Electronic)","PMID":"36575420","abstract":"BACKGROUND: The introduction of nursing care-support devices using robotic  technology is expected to reduce the task burden in long-term care facilities. OBJECTIVE: To investigate the use of the rise-assisting robot, Resyone, in extending and improving the life space of nursing home residents with severe care needs. METHODS: We performed a feasibility study in which Resyone was used to facilitate visits to additional sites in and around the nursing home as part of the care package of three residents. Two weeks before and four weeks after implementation of the new arrangements, the 30 caregivers involved were asked to record transfer times and destinations, while also checking the residents' facial expressions. RESULTS: Before implementation, participants had limited life spaces, but afterwards they regularly visited additional destinations including the garden, home entrance and corridors, which previously they had not visited frequently. The residents' facial expressions became more positive and less negative. This study demonstrates that Resyone can enrich care activities in severely disabled individuals. CONCLUSION: These findings suggest that the sustainable use of Resyone would improve the quality of care at care facilities. Moreover, the extension of otherwise limited life space has the potential to improve care receivers' quality of life. TRIAL REGISTRATION: UMIN Clinical Trials Registry No. UMIN000039204 (20/01/2020); retrospectively registered; interventional study; parallel, non-randomized, single blinded. URL of trial registry records: https://upload.umin.ac.jp/cgi-open-bin/ctr_e/ctr_view.cgi?recptno=R000044709 .","author":[{"dropping-particle":"","family":"Kato","given":"Kenji","non-dropping-particle":"","parse-names":false,"suffix":""},{"dropping-particle":"","family":"Yoshimi","given":"Tatsuya","non-dropping-particle":"","parse-names":false,"suffix":""},{"dropping-particle":"","family":"Aimoto","given":"Keita","non-dropping-particle":"","parse-names":false,"suffix":""},{"dropping-particle":"","family":"Sato","given":"Kenji","non-dropping-particle":"","parse-names":false,"suffix":""},{"dropping-particle":"","family":"Itoh","given":"Naoki","non-dropping-particle":"","parse-names":false,"suffix":""},{"dropping-particle":"","family":"Kondo","given":"Izumi","non-dropping-particle":"","parse-names":false,"suffix":""}],"container-title":"BMC health services research","id":"ITEM-1","issue":"1","issued":{"date-parts":[["2022","12"]]},"language":"eng","page":"1588","publisher-place":"England","title":"A rise-assisting robot extends life space and improves facial expressions of  nursing home residents.","type":"article-journal","volume":"22"},"uris":["http://www.mendeley.com/documents/?uuid=89ac9422-0771-4cd3-93fe-2d2ecc1afb29"]}],"mendeley":{"formattedCitation":"[25]","plainTextFormattedCitation":"[25]","previouslyFormattedCitation":"&lt;span style=\"baseline\"&gt;&lt;span style=\"font-variant:small-caps;\"&gt;[25]&lt;/span&gt;&lt;/span&gt;"},"properties":{"noteIndex":0},"schema":"https://github.com/citation-style-language/schema/raw/master/csl-citation.json"}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[25]</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73BB31C0"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w:t>
            </w:r>
          </w:p>
        </w:tc>
        <w:tc>
          <w:tcPr>
            <w:tcW w:w="1354" w:type="dxa"/>
            <w:shd w:val="clear" w:color="auto" w:fill="auto"/>
            <w:vAlign w:val="center"/>
          </w:tcPr>
          <w:p w14:paraId="6F707C9F"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sym w:font="Wingdings 2" w:char="F050"/>
            </w:r>
          </w:p>
        </w:tc>
      </w:tr>
      <w:tr w:rsidR="00B029D6" w:rsidRPr="00E821C3" w14:paraId="0CA9FD35" w14:textId="77777777" w:rsidTr="00B029D6">
        <w:tc>
          <w:tcPr>
            <w:tcW w:w="1643" w:type="dxa"/>
            <w:vMerge/>
            <w:shd w:val="clear" w:color="auto" w:fill="auto"/>
            <w:vAlign w:val="center"/>
          </w:tcPr>
          <w:p w14:paraId="7BCDAEFA"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1CBEA7B5"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Music therapy</w:t>
            </w:r>
          </w:p>
        </w:tc>
        <w:tc>
          <w:tcPr>
            <w:tcW w:w="1402" w:type="dxa"/>
            <w:shd w:val="clear" w:color="auto" w:fill="auto"/>
            <w:vAlign w:val="center"/>
          </w:tcPr>
          <w:p w14:paraId="59347A08"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4D3A7659" w14:textId="44FEF165"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 xml:space="preserve">Murabayashi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{"citationItems":[{"id":"ITEM-1","itemData":{"DOI":"10.1159/000496456","abstract":"Background: Music therapy (MT) may exert beneficial preventive effects\nin frail elderly individuals in psychophysiological health. Objectives:\nOne hundred and fifteen frail elderly individuals (65-89 years old)\nparticipated. Methods: Subjects were randomly divided into 2 groups for\na controlled crossover trial. The MT-first group participated in group\nsessions of 45-50 min conducted by a certified music therapist for 12\nweeks, followed by a 12-week waiting period. The waiting-first group\nparticipated in the reverse order. Cognitive function was assessed by\nthe Verbal Fluency Test (VFT) and Yamaguchi Kanji Symbol Substitution\nTest (YKSST). Physical function was assessed by the Timed Up and Go test\n(TUG). Psychophysical health was assessed by the Geriatric Depression\nScale 15-item version (GDS-15), General Health Questionnaire 12-item\nversion (GHQ-12), Instrumental Activity of Daily Living (IADL) scale,\nand Life Space Assessment (LSA) scale. We also evaluated the outcome of\nMT using the Clinical Global Impressions of Improvement (CGI-I) scale.\nResults: After 12 weeks of MT, significant improvements were observed in\nTUG, GDS-15, and GHQ-12 scores. However, no improvements were noted in\nother scores. CGI-I scores revealed the significant benefits of MT.\nConclusions: MT may improve physical function, depressive mood, and\nquality of life in frail elderly individuals. (C) 2019 The Author(s)\nPublished by S. Karger AG, Basel","author":[{"dropping-particle":"","family":"Murabayashi","given":"Nobuyuki","non-dropping-particle":"","parse-names":false,"suffix":""},{"dropping-particle":"","family":"Akahoshi","given":"Takako","non-dropping-particle":"","parse-names":false,"suffix":""},{"dropping-particle":"","family":"Ishimine","given":"Risa","non-dropping-particle":"","parse-names":false,"suffix":""},{"dropping-particle":"","family":"Saji","given":"Nobuko","non-dropping-particle":"","parse-names":false,"suffix":""},{"dropping-particle":"","family":"Takeda","given":"Chiyomi","non-dropping-particle":"","parse-names":false,"suffix":""},{"dropping-particle":"","family":"Nakayama","given":"Hisako","non-dropping-particle":"","parse-names":false,"suffix":""},{"dropping-particle":"","family":"Noro","given":"Megumi","non-dropping-particle":"","parse-names":false,"suffix":""},{"dropping-particle":"","family":"Fujimoto","given":"Hiroko","non-dropping-particle":"","parse-names":false,"suffix":""},{"dropping-particle":"","family":"Misaki","given":"Megumi","non-dropping-particle":"","parse-names":false,"suffix":""},{"dropping-particle":"","family":"Miyamoto","given":"Keiko","non-dropping-particle":"","parse-names":false,"suffix":""},{"dropping-particle":"","family":"Yamada","given":"Yukiko","non-dropping-particle":"","parse-names":false,"suffix":""},{"dropping-particle":"","family":"Kohya","given":"Itaru","non-dropping-particle":"","parse-names":false,"suffix":""},{"dropping-particle":"","family":"Kondo","given":"Mayu","non-dropping-particle":"","parse-names":false,"suffix":""},{"dropping-particle":"","family":"Yamaguchi","given":"Haruyasu","non-dropping-particle":"","parse-names":false,"suffix":""},{"dropping-particle":"","family":"Sasaki","given":"Daisuke","non-dropping-particle":"","parse-names":false,"suffix":""},{"dropping-particle":"","family":"Murai","given":"Yasuji","non-dropping-particle":"","parse-names":false,"suffix":""}],"container-title":"DEMENTIA AND GERIATRIC COGNITIVE DISORDERS EXTRA","id":"ITEM-1","issue":"1","issued":{"date-parts":[["2019"]]},"page":"87-99","publisher":"KARGER","publisher-place":"ALLSCHWILERSTRASSE 10, CH-4009 BASEL, SWITZERLAND","title":"Effects of Music Therapy in Frail Elderlies: Controlled Crossover Study","type":"article-journal","volume":"9"},"uris":["http://www.mendeley.com/documents/?uuid=1e335d3f-4771-4bc2-91ac-12393bffdceb"]}],"mendeley":{"formattedCitation":"[26]","plainTextFormattedCitation":"[26]","previouslyFormattedCitation":"&lt;span style=\"baseline\"&gt;&lt;span style=\"font-variant:small-caps;\"&gt;[26]&lt;/span&gt;&lt;/span&gt;"},"properties":{"noteIndex":0},"schema":"https://github.com/citation-style-language/schema/raw/master/csl-citation.json"}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[26]</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56DB0E52" w14:textId="12D485BD" w:rsidR="0015162E" w:rsidRPr="00B029D6" w:rsidRDefault="002A7C11"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Frail</w:t>
            </w:r>
          </w:p>
        </w:tc>
        <w:tc>
          <w:tcPr>
            <w:tcW w:w="1354" w:type="dxa"/>
            <w:shd w:val="clear" w:color="auto" w:fill="auto"/>
            <w:vAlign w:val="center"/>
          </w:tcPr>
          <w:p w14:paraId="2CC13F66"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BA2D0F" w14:paraId="022CECC5" w14:textId="77777777" w:rsidTr="00B029D6">
        <w:tc>
          <w:tcPr>
            <w:tcW w:w="1643" w:type="dxa"/>
            <w:vMerge/>
            <w:shd w:val="clear" w:color="auto" w:fill="auto"/>
            <w:vAlign w:val="center"/>
          </w:tcPr>
          <w:p w14:paraId="706382DD"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34A0435C"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Wheelchair adaption</w:t>
            </w:r>
          </w:p>
        </w:tc>
        <w:tc>
          <w:tcPr>
            <w:tcW w:w="1402" w:type="dxa"/>
            <w:shd w:val="clear" w:color="auto" w:fill="auto"/>
            <w:vAlign w:val="center"/>
          </w:tcPr>
          <w:p w14:paraId="0344E9A1"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05C38ABA" w14:textId="79CDBBEF"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Brienza</w:t>
            </w:r>
            <w:proofErr w:type="spellEnd"/>
            <w:r w:rsidRPr="00B029D6">
              <w:rPr>
                <w:rFonts w:ascii="Times New Roman" w:hAnsi="Times New Roman" w:cs="Times New Roman"/>
                <w:sz w:val="20"/>
                <w:szCs w:val="20"/>
                <w:lang w:val="en-GB"/>
              </w:rPr>
              <w:t xml:space="preserve"> et al. (2018)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{"citationItems":[{"id":"ITEM-1","itemData":{"DOI":"10.1111/jgs.15495","ISSN":"15325415","PMID":"30094810","abstract":"Objectives: To evaluate the effectiveness of wheelchair assessment and configuration on pressure injury incidence, mobility, and functioning in a wheelchair. Design: Randomized controlled trial with participants individually randomized into intervention and control groups. Setting: Nursing home. Participants: Nursing home residents aged 60 and older who used wheelchairs and were at risk for pressure injuries (N=258). Intervention: Treatment and evaluation, individually configured wheelchair and skin protection cushion; control and evaluation, facility-provided wheelchair and skin protection cushion. Measurements: Pressure injury incidence, Nursing Home Life Space Diameter score, Functioning Every Day in a Wheelchair—Capacity (FEW-C) score, and Wheelchair Skills Test (WST) score. Results: No differences in pressure injuries (p=.77) were found. Pelvic rotation (odds ratio (OR)=0.15, 95% confidence interval (CI)=0.03–0.70, p=.02) and Day 14 WST skill score (OR=0.74, 95% CI=0.60–0.91, p=.004) were significant predictors of pressure injuries. Significant differences were observed between groups in change in FEW-C independence scores between before randomization and endpoint (p=.03) and before randomization and 14 days (p=.04). Conclusion: Participants with individually configured wheelchairs improved more in the safe and effective use of their wheelchairs than residents with facility-provided wheelchairs. The outcomes indicated that nursing home residents functioned safely at a higher level in their wheelchairs if their devices were individually configured using a comprehensive wheelchair and seating assessment process. There was no difference in the incidence of pressure injuries between the two groups. Trial registration: NCT01275313.","author":[{"dropping-particle":"","family":"Brienza","given":"David M.","non-dropping-particle":"","parse-names":false,"suffix":""},{"dropping-particle":"","family":"Karg","given":"Patricia E.","non-dropping-particle":"","parse-names":false,"suffix":""},{"dropping-particle":"","family":"Bertolet","given":"Marnie","non-dropping-particle":"","parse-names":false,"suffix":""},{"dropping-particle":"","family":"Schmeler","given":"Mark","non-dropping-particle":"","parse-names":false,"suffix":""},{"dropping-particle":"","family":"Poojary-Mazzotta","given":"Prerna","non-dropping-particle":"","parse-names":false,"suffix":""},{"dropping-particle":"","family":"Vlachos","given":"Helen","non-dropping-particle":"","parse-names":false,"suffix":""},{"dropping-particle":"","family":"Wilkinson","given":"Debora","non-dropping-particle":"","parse-names":false,"suffix":""}],"container-title":"Journal of the American Geriatrics Society","id":"ITEM-1","issue":"9","issued":{"date-parts":[["2018","9"]]},"language":"eng","page":"1752-1759","publisher-place":"United States","title":"A Randomized Clinical Trial of Wheeled Mobility for Pressure Injury Prevention and Better Function.","type":"article-journal","volume":"66"},"uris":["http://www.mendeley.com/documents/?uuid=a92d33da-9628-49db-80c9-b1abd62110c3"]}],"mendeley":{"formattedCitation":"[27]","plainTextFormattedCitation":"[27]","previouslyFormattedCitation":"&lt;span style=\"baseline\"&gt;&lt;span style=\"font-variant:small-caps;\"&gt;[27]&lt;/span&gt;&lt;/span&gt;"},"properties":{"noteIndex":0},"schema":"https://github.com/citation-style-language/schema/raw/master/csl-citation.json"}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[27]</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39ADAEC1" w14:textId="77777777" w:rsidR="0015162E" w:rsidRPr="00B029D6" w:rsidRDefault="0015162E" w:rsidP="008B1D00">
            <w:pPr>
              <w:rPr>
                <w:rFonts w:ascii="Times New Roman" w:hAnsi="Times New Roman" w:cs="Times New Roman"/>
                <w:sz w:val="20"/>
                <w:szCs w:val="20"/>
                <w:lang w:val="en-GB"/>
              </w:rPr>
            </w:pPr>
            <w:r w:rsidRPr="00B029D6">
              <w:rPr>
                <w:rFonts w:ascii="Times New Roman" w:hAnsi="Times New Roman" w:cs="Times New Roman"/>
                <w:sz w:val="20"/>
                <w:szCs w:val="20"/>
                <w:lang w:val="en-GB"/>
              </w:rPr>
              <w:t>Nursing-home residents</w:t>
            </w:r>
          </w:p>
        </w:tc>
        <w:tc>
          <w:tcPr>
            <w:tcW w:w="1354" w:type="dxa"/>
            <w:shd w:val="clear" w:color="auto" w:fill="auto"/>
            <w:vAlign w:val="center"/>
          </w:tcPr>
          <w:p w14:paraId="571600E3"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r w:rsidR="00B029D6" w:rsidRPr="00BA2D0F" w14:paraId="0EEC2040" w14:textId="77777777" w:rsidTr="00B029D6">
        <w:tc>
          <w:tcPr>
            <w:tcW w:w="1643" w:type="dxa"/>
            <w:vMerge/>
            <w:shd w:val="clear" w:color="auto" w:fill="auto"/>
            <w:vAlign w:val="center"/>
          </w:tcPr>
          <w:p w14:paraId="1083EF0D" w14:textId="77777777" w:rsidR="0015162E" w:rsidRPr="0015162E" w:rsidRDefault="0015162E" w:rsidP="008B1D00">
            <w:pPr>
              <w:rPr>
                <w:rFonts w:ascii="Times New Roman" w:hAnsi="Times New Roman" w:cs="Times New Roman"/>
                <w:sz w:val="20"/>
                <w:szCs w:val="20"/>
                <w:lang w:val="en-GB"/>
              </w:rPr>
            </w:pPr>
          </w:p>
        </w:tc>
        <w:tc>
          <w:tcPr>
            <w:tcW w:w="1843" w:type="dxa"/>
            <w:shd w:val="clear" w:color="auto" w:fill="auto"/>
          </w:tcPr>
          <w:p w14:paraId="30768305" w14:textId="77777777" w:rsidR="0015162E" w:rsidRPr="0015162E" w:rsidRDefault="0015162E" w:rsidP="008B1D00">
            <w:pPr>
              <w:rPr>
                <w:rFonts w:ascii="Times New Roman" w:hAnsi="Times New Roman" w:cs="Times New Roman"/>
                <w:sz w:val="20"/>
                <w:szCs w:val="20"/>
                <w:lang w:val="en-GB"/>
              </w:rPr>
            </w:pPr>
            <w:r w:rsidRPr="0015162E">
              <w:rPr>
                <w:rFonts w:ascii="Times New Roman" w:hAnsi="Times New Roman" w:cs="Times New Roman"/>
                <w:sz w:val="20"/>
                <w:szCs w:val="20"/>
                <w:lang w:val="en-GB"/>
              </w:rPr>
              <w:t>Horticulture activity program</w:t>
            </w:r>
          </w:p>
        </w:tc>
        <w:tc>
          <w:tcPr>
            <w:tcW w:w="1402" w:type="dxa"/>
            <w:shd w:val="clear" w:color="auto" w:fill="auto"/>
            <w:vAlign w:val="center"/>
          </w:tcPr>
          <w:p w14:paraId="4D8D1143" w14:textId="77777777" w:rsidR="0015162E" w:rsidRPr="0015162E" w:rsidRDefault="0015162E" w:rsidP="008B1D00">
            <w:pPr>
              <w:rPr>
                <w:rFonts w:ascii="Times New Roman" w:hAnsi="Times New Roman" w:cs="Times New Roman"/>
                <w:sz w:val="20"/>
                <w:szCs w:val="20"/>
                <w:lang w:val="en-GB"/>
              </w:rPr>
            </w:pPr>
          </w:p>
        </w:tc>
        <w:tc>
          <w:tcPr>
            <w:tcW w:w="1282" w:type="dxa"/>
            <w:shd w:val="clear" w:color="auto" w:fill="auto"/>
            <w:vAlign w:val="center"/>
          </w:tcPr>
          <w:p w14:paraId="37DC04E4" w14:textId="3F8721A6" w:rsidR="0015162E" w:rsidRPr="00B029D6" w:rsidRDefault="0015162E" w:rsidP="008B1D00">
            <w:pPr>
              <w:rPr>
                <w:rFonts w:ascii="Times New Roman" w:hAnsi="Times New Roman" w:cs="Times New Roman"/>
                <w:sz w:val="20"/>
                <w:szCs w:val="20"/>
                <w:lang w:val="en-GB"/>
              </w:rPr>
            </w:pPr>
            <w:proofErr w:type="spellStart"/>
            <w:r w:rsidRPr="00B029D6">
              <w:rPr>
                <w:rFonts w:ascii="Times New Roman" w:hAnsi="Times New Roman" w:cs="Times New Roman"/>
                <w:sz w:val="20"/>
                <w:szCs w:val="20"/>
                <w:lang w:val="en-GB"/>
              </w:rPr>
              <w:t>Makizako</w:t>
            </w:r>
            <w:proofErr w:type="spellEnd"/>
            <w:r w:rsidRPr="00B029D6">
              <w:rPr>
                <w:rFonts w:ascii="Times New Roman" w:hAnsi="Times New Roman" w:cs="Times New Roman"/>
                <w:sz w:val="20"/>
                <w:szCs w:val="20"/>
                <w:lang w:val="en-GB"/>
              </w:rPr>
              <w:t xml:space="preserve"> et al. (2019) </w:t>
            </w:r>
            <w:r w:rsidRPr="00B029D6">
              <w:rPr>
                <w:rFonts w:ascii="Times New Roman" w:hAnsi="Times New Roman" w:cs="Times New Roman"/>
                <w:sz w:val="20"/>
                <w:szCs w:val="20"/>
                <w:lang w:val="en-GB"/>
              </w:rPr>
              <w:fldChar w:fldCharType="begin" w:fldLock="1"/>
            </w:r>
            <w:r w:rsidR="007152BB">
              <w:rPr>
                <w:rFonts w:ascii="Times New Roman" w:hAnsi="Times New Roman" w:cs="Times New Roman"/>
                <w:sz w:val="20"/>
                <w:szCs w:val="20"/>
                <w:lang w:val="en-GB"/>
              </w:rPr>
              <w:instrText>ADDIN CSL_CITATION {"citationItems":[{"id":"ITEM-1","itemData":{"DOI":"10.3390/jcm9010099","ISSN":"2077-0383 (Print)","PMID":"31906021","abstract":"Depressive symptoms and memory problems are risk factors for dementia. Exercise can  reduce these in older people, and horticultural activity can benefit people with dementia. This study assessed the efficacy of exercise and horticultural interventions for community-dwelling older adults with depressive symptoms and mild memory decline. In this randomized controlled trial, older adults (n = 89) were assigned to exercise, horticultural, or control groups. Exercise and horticultural programs included 20 weekly 90-minute sessions. The control group attended two 90-minute classes. Outcomes were assessed at baseline, and then 6- and 12-months post-intervention. Primary outcome measures were the Geriatric Depression Scale-15 (GDS-15) and Wechsler Memory Scale-Revised. Walking speed, two-minute walking test scores, social network, life space, and subjective daily physical activity were secondary outcome measures. Compared with the control group, the exercise group obtained higher immediate and delayed recall logical memory scores, and the increase in immediate recall scores remained 12-months post-intervention. Two-minute walking performance improved in the exercise group, but not after 12 months. GDS-15 scores showed no significant improvements. The horticultural and control groups showed no differences. Exercise may improve memory, while horticultural activity may not. The effects of exercise and horticultural interventions on depressive symptoms remain unclear.","author":[{"dropping-particle":"","family":"Makizako","given":"Hyuma","non-dropping-particle":"","parse-names":false,"suffix":""},{"dropping-particle":"","family":"Tsutsumimoto","given":"Kota","non-dropping-particle":"","parse-names":false,"suffix":""},{"dropping-particle":"","family":"Doi","given":"Takehiko","non-dropping-particle":"","parse-names":false,"suffix":""},{"dropping-particle":"","family":"Makino","given":"Keitaro","non-dropping-particle":"","parse-names":false,"suffix":""},{"dropping-particle":"","family":"Nakakubo","given":"Sho","non-dropping-particle":"","parse-names":false,"suffix":""},{"dropping-particle":"","family":"Liu-Ambrose","given":"Teresa","non-dropping-particle":"","parse-names":false,"suffix":""},{"dropping-particle":"","family":"Shimada","given":"Hiroyuki","non-dropping-particle":"","parse-names":false,"suffix":""}],"container-title":"Journal of clinical medicine","id":"ITEM-1","issue":"1","issued":{"date-parts":[["2019","12"]]},"language":"eng","publisher":"MDPI","publisher-place":"ST ALBAN-ANLAGE 66, CH-4052 BASEL, SWITZERLAND","title":"Exercise and Horticultural Programs for Older Adults with Depressive Symptoms and  Memory Problems: A Randomized Controlled Trial.","type":"article-journal","volume":"9"},"uris":["http://www.mendeley.com/documents/?uuid=85f03190-ac7c-497d-a6a2-bbec432086de"]}],"mendeley":{"formattedCitation":"[18]","plainTextFormattedCitation":"[18]","previouslyFormattedCitation":"&lt;span style=\"baseline\"&gt;&lt;span style=\"font-variant:small-caps;\"&gt;[18]&lt;/span&gt;&lt;/span&gt;"},"properties":{"noteIndex":0},"schema":"https://github.com/citation-style-language/schema/raw/master/csl-citation.json"}</w:instrText>
            </w:r>
            <w:r w:rsidRPr="00B029D6">
              <w:rPr>
                <w:rFonts w:ascii="Times New Roman" w:hAnsi="Times New Roman" w:cs="Times New Roman"/>
                <w:sz w:val="20"/>
                <w:szCs w:val="20"/>
                <w:lang w:val="en-GB"/>
              </w:rPr>
              <w:fldChar w:fldCharType="separate"/>
            </w:r>
            <w:r w:rsidRPr="007152BB">
              <w:rPr>
                <w:rFonts w:ascii="Times New Roman" w:hAnsi="Times New Roman" w:cs="Times New Roman"/>
                <w:noProof/>
                <w:sz w:val="20"/>
                <w:szCs w:val="20"/>
                <w:lang w:val="en-GB"/>
              </w:rPr>
              <w:t>[18]</w:t>
            </w:r>
            <w:r w:rsidRPr="00B029D6">
              <w:rPr>
                <w:rFonts w:ascii="Times New Roman" w:hAnsi="Times New Roman" w:cs="Times New Roman"/>
                <w:sz w:val="20"/>
                <w:szCs w:val="20"/>
                <w:lang w:val="en-GB"/>
              </w:rPr>
              <w:fldChar w:fldCharType="end"/>
            </w:r>
          </w:p>
        </w:tc>
        <w:tc>
          <w:tcPr>
            <w:tcW w:w="1538" w:type="dxa"/>
            <w:shd w:val="clear" w:color="auto" w:fill="auto"/>
            <w:vAlign w:val="center"/>
          </w:tcPr>
          <w:p w14:paraId="0EB47898" w14:textId="1584832C" w:rsidR="0015162E" w:rsidRPr="00B029D6" w:rsidRDefault="00B029D6" w:rsidP="008B1D00">
            <w:pPr>
              <w:rPr>
                <w:rFonts w:ascii="Times New Roman" w:hAnsi="Times New Roman" w:cs="Times New Roman"/>
                <w:sz w:val="20"/>
                <w:szCs w:val="20"/>
                <w:lang w:val="en-GB"/>
              </w:rPr>
            </w:pPr>
            <w:r>
              <w:rPr>
                <w:rFonts w:ascii="Times New Roman" w:hAnsi="Times New Roman" w:cs="Times New Roman"/>
                <w:sz w:val="20"/>
                <w:szCs w:val="20"/>
                <w:lang w:val="en-GB"/>
              </w:rPr>
              <w:t>With d</w:t>
            </w:r>
            <w:r w:rsidR="0015162E" w:rsidRPr="00B029D6">
              <w:rPr>
                <w:rFonts w:ascii="Times New Roman" w:hAnsi="Times New Roman" w:cs="Times New Roman"/>
                <w:sz w:val="20"/>
                <w:szCs w:val="20"/>
                <w:lang w:val="en-GB"/>
              </w:rPr>
              <w:t>epressive symptoms and memory problems</w:t>
            </w:r>
          </w:p>
        </w:tc>
        <w:tc>
          <w:tcPr>
            <w:tcW w:w="1354" w:type="dxa"/>
            <w:shd w:val="clear" w:color="auto" w:fill="auto"/>
            <w:vAlign w:val="center"/>
          </w:tcPr>
          <w:p w14:paraId="3C8329EC" w14:textId="77777777" w:rsidR="0015162E" w:rsidRPr="0015162E" w:rsidRDefault="0015162E" w:rsidP="008B1D00">
            <w:pPr>
              <w:jc w:val="center"/>
              <w:rPr>
                <w:rFonts w:ascii="Times New Roman" w:hAnsi="Times New Roman" w:cs="Times New Roman"/>
                <w:sz w:val="20"/>
                <w:szCs w:val="20"/>
                <w:lang w:val="en-GB"/>
              </w:rPr>
            </w:pPr>
            <w:r w:rsidRPr="0015162E">
              <w:rPr>
                <w:rFonts w:ascii="Times New Roman" w:hAnsi="Times New Roman" w:cs="Times New Roman"/>
                <w:sz w:val="20"/>
                <w:szCs w:val="20"/>
                <w:lang w:val="en-GB"/>
              </w:rPr>
              <w:t>x</w:t>
            </w:r>
          </w:p>
        </w:tc>
      </w:tr>
    </w:tbl>
    <w:p w14:paraId="74BADA77" w14:textId="77777777" w:rsidR="0015162E" w:rsidRDefault="0015162E">
      <w:pPr>
        <w:rPr>
          <w:rFonts w:ascii="Times New Roman" w:hAnsi="Times New Roman" w:cs="Times New Roman"/>
          <w:sz w:val="20"/>
          <w:szCs w:val="20"/>
          <w:lang w:val="en-GB"/>
        </w:rPr>
      </w:pPr>
    </w:p>
    <w:p w14:paraId="22F2EBFB" w14:textId="41E8E1B2" w:rsidR="007152BB" w:rsidRPr="007152BB" w:rsidRDefault="007152BB">
      <w:pPr>
        <w:rPr>
          <w:rFonts w:ascii="Times New Roman" w:hAnsi="Times New Roman" w:cs="Times New Roman"/>
          <w:b/>
          <w:bCs/>
          <w:sz w:val="24"/>
          <w:szCs w:val="24"/>
          <w:lang w:val="en-GB"/>
        </w:rPr>
      </w:pPr>
      <w:r w:rsidRPr="007152BB">
        <w:rPr>
          <w:rFonts w:ascii="Times New Roman" w:hAnsi="Times New Roman" w:cs="Times New Roman"/>
          <w:b/>
          <w:bCs/>
          <w:sz w:val="24"/>
          <w:szCs w:val="24"/>
          <w:lang w:val="en-GB"/>
        </w:rPr>
        <w:t>References</w:t>
      </w:r>
    </w:p>
    <w:p w14:paraId="555E3D03" w14:textId="7EDF4481"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Pr>
          <w:rFonts w:ascii="Times New Roman" w:hAnsi="Times New Roman" w:cs="Times New Roman"/>
          <w:sz w:val="20"/>
          <w:szCs w:val="20"/>
          <w:lang w:val="en-GB"/>
        </w:rPr>
        <w:fldChar w:fldCharType="begin" w:fldLock="1"/>
      </w:r>
      <w:r>
        <w:rPr>
          <w:rFonts w:ascii="Times New Roman" w:hAnsi="Times New Roman" w:cs="Times New Roman"/>
          <w:sz w:val="20"/>
          <w:szCs w:val="20"/>
          <w:lang w:val="en-GB"/>
        </w:rPr>
        <w:instrText xml:space="preserve">ADDIN Mendeley Bibliography CSL_BIBLIOGRAPHY </w:instrText>
      </w:r>
      <w:r>
        <w:rPr>
          <w:rFonts w:ascii="Times New Roman" w:hAnsi="Times New Roman" w:cs="Times New Roman"/>
          <w:sz w:val="20"/>
          <w:szCs w:val="20"/>
          <w:lang w:val="en-GB"/>
        </w:rPr>
        <w:fldChar w:fldCharType="separate"/>
      </w:r>
      <w:r w:rsidRPr="00625045">
        <w:rPr>
          <w:rFonts w:ascii="Times New Roman" w:hAnsi="Times New Roman" w:cs="Times New Roman"/>
          <w:noProof/>
          <w:sz w:val="20"/>
          <w:lang w:val="en-GB"/>
        </w:rPr>
        <w:t>1. Brown CJ, Foley KT, Lowman JDJ, MacLennan PA, Razjouyan J, Najafi B, et al. Comparison of Posthospitalization Function and Community Mobility in Hospital  Mobility Program and Usual Care Patients: A Randomized Clinical Trial. JAMA Intern Med. 2016;176:921–7.</w:t>
      </w:r>
    </w:p>
    <w:p w14:paraId="1B5776FB"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 Fairhall N, Sherrington C, Kurrle SE, Lord SR, Lockwood K, Cameron ID. Effect of a multifactorial interdisciplinary intervention on mobility-related disability in frail older people: randomised controlled trial. BMC Med. 2012;10.</w:t>
      </w:r>
    </w:p>
    <w:p w14:paraId="057C3B53"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3. Jensen GL, Roy M-A, Buchanan AE, Berg MB. Weight loss intervention for obese older women: improvements in performance and  function. Obes Res. 2004;12:1814–20.</w:t>
      </w:r>
    </w:p>
    <w:p w14:paraId="09FCA53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4. Kamioka Y, Miura Y, Matsuda T, Iijima Y, Suzuki A, Nakazato K, et al. Changes in social participation and life-space mobility in newly enrolled home-based rehabilitation users over 6 months. J Phys Ther Sci. 2020;32:375–84.</w:t>
      </w:r>
    </w:p>
    <w:p w14:paraId="3C5ADC16"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5. Tay L, Tay EL, Mah SM, Latib A, Ng YS. Intrinsic capacity rather than intervention exposure influences reversal to robustness among prefrail community-dwelling older adults: A non-randomized controlled study of a multidomain exercise and nutrition intervention. Front Med. 2022;9.</w:t>
      </w:r>
    </w:p>
    <w:p w14:paraId="04BA1F2C"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6. Todo E, Higuchi Y, Ueda T, Murakami T, Kozuki W. A 3-month multicomponent home-based rehabilitation program for older people with restricted life-space mobility: a pilot study. J Phys Ther Sci. 2021;33:158–63.</w:t>
      </w:r>
    </w:p>
    <w:p w14:paraId="734A930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BA2D0F">
        <w:rPr>
          <w:rFonts w:ascii="Times New Roman" w:hAnsi="Times New Roman" w:cs="Times New Roman"/>
          <w:noProof/>
          <w:sz w:val="20"/>
        </w:rPr>
        <w:t>7. Ul</w:t>
      </w:r>
      <w:r w:rsidRPr="007152BB">
        <w:rPr>
          <w:rFonts w:ascii="Times New Roman" w:hAnsi="Times New Roman" w:cs="Times New Roman"/>
          <w:noProof/>
          <w:sz w:val="20"/>
        </w:rPr>
        <w:t xml:space="preserve">lrich P, Werner C, Bongartz M, Eckert T, Abel B, Schönstein A, et al. </w:t>
      </w:r>
      <w:r w:rsidRPr="00625045">
        <w:rPr>
          <w:rFonts w:ascii="Times New Roman" w:hAnsi="Times New Roman" w:cs="Times New Roman"/>
          <w:noProof/>
          <w:sz w:val="20"/>
          <w:lang w:val="en-GB"/>
        </w:rPr>
        <w:t>Increasing Life-Space Mobility in Community-Dwelling Older Persons With Cognitive  Impairment Following Rehabilitation: A Randomized Controlled Trial. J Gerontol A Biol Sci Med Sci. 2021;76:1988–96.</w:t>
      </w:r>
    </w:p>
    <w:p w14:paraId="0EF76EA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8. Crotty M, Killington M, Liu E, Cameron ID, Kurrle S, Kaambwa B, et al. Should we provide outreach rehabilitation to very old people living in Nursing Care  Facilities after a hip fracture? A randomised controlled trial. Age Ageing. 2019;48:373–80.</w:t>
      </w:r>
    </w:p>
    <w:p w14:paraId="455CC0ED"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9. Jansen CP, Diegelmann M, Schilling OK, Werner C, Schnabel EL, Wahl HW, et al. Pushing the Boundaries: A Physical Activity Intervention Extends Sensor-Assessed Life-Space in Nursing Home Residents. Gerontologist. 2018;58:979–88.</w:t>
      </w:r>
    </w:p>
    <w:p w14:paraId="12623026"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10. Crist K, Jankowska MM, Schipperijn J, Rosenberg DE, Takemoto M, Zlatar ZZ, et al. Change in GPS-</w:t>
      </w:r>
      <w:r w:rsidRPr="00625045">
        <w:rPr>
          <w:rFonts w:ascii="Times New Roman" w:hAnsi="Times New Roman" w:cs="Times New Roman"/>
          <w:noProof/>
          <w:sz w:val="20"/>
          <w:lang w:val="en-GB"/>
        </w:rPr>
        <w:lastRenderedPageBreak/>
        <w:t>assessed walking locations following a cluster-randomized controlled physical activity trial in older adults , results from the MIPARC trial. Heal Place. 2021;69 April:102573.</w:t>
      </w:r>
    </w:p>
    <w:p w14:paraId="5BDDD26F"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11. Liu M, Xue Q-LL, Gitlin LN, Wolff JL, Guralnik J, Leff B, et al. Disability Prevention Program Improves Life-Space and Falls Efficacy: A Randomized  Controlled Trial. J Am Geriatr Soc. 2021;69:85–90.</w:t>
      </w:r>
    </w:p>
    <w:p w14:paraId="67DEC1BE"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12. Tanaka S, Yamagami T, Yamaguchi H. Effects of a group-based physical and cognitive intervention on social activity and  quality of life for elderly people with dementia in a geriatric health service facility: a quasi-randomised controlled trial. Psychogeriatrics. 2021;21:71–9.</w:t>
      </w:r>
    </w:p>
    <w:p w14:paraId="67BB728F"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13. Hiyama Y, Kamitani T, Mori K. Effects of an Intervention to Improve Life-Space Mobility and Self-Efficacy in  Patients following Total Knee Arthroplasty. J Knee Surg. 2019;32:966–71.</w:t>
      </w:r>
    </w:p>
    <w:p w14:paraId="1D26BE4E"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14. Collins KJ, Schrack JA, VanSwearingen JM, Glynn NW, Pospisil MC, Gant VE, et al. Randomized Controlled Trial of Exercise to Improve Walking Energetics in Older Adults. Innov aging. 2018;2:1–10.</w:t>
      </w:r>
    </w:p>
    <w:p w14:paraId="725F6E74"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15. Matsuda K, Ikeda S, Nakahara M, Ikeda T, Okamoto R, Kurosawa K, et al. Factors affecting the coefficient of variation of stride time of the elderly without  falling history: a prospective study. J Phys Ther Sci. 2015;27:1087–90.</w:t>
      </w:r>
    </w:p>
    <w:p w14:paraId="521D5A3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16. Nakagawa K, Inomata N, Konno Y, Nakazawa R, Hagiwara K, Sakamoto M. The Characteristic of a Simple Exercise Program under the Instruction of Physiotherapists-For General Elderly People and Frail Elderly People. J Phys Ther Sci. 2008;20:197–203.</w:t>
      </w:r>
    </w:p>
    <w:p w14:paraId="4B1AD668"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17. Hewitt J, Goodall S, Clemson L, Henwood T, Refshauge K. Progressive Resistance and Balance Training for Falls Prevention in Long-Term  Residential Aged Care: A Cluster Randomized Trial of the Sunbeam Program. J Am Med Dir Assoc. 2018;19:361–9.</w:t>
      </w:r>
    </w:p>
    <w:p w14:paraId="5FA0393C"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fr-FR"/>
        </w:rPr>
      </w:pPr>
      <w:r w:rsidRPr="00625045">
        <w:rPr>
          <w:rFonts w:ascii="Times New Roman" w:hAnsi="Times New Roman" w:cs="Times New Roman"/>
          <w:noProof/>
          <w:sz w:val="20"/>
          <w:lang w:val="en-GB"/>
        </w:rPr>
        <w:t xml:space="preserve">18. Makizako H, Tsutsumimoto K, Doi T, Makino K, Nakakubo S, Liu-Ambrose T, et al. Exercise and Horticultural Programs for Older Adults with Depressive Symptoms and  Memory Problems: A Randomized Controlled Trial. </w:t>
      </w:r>
      <w:r w:rsidRPr="00625045">
        <w:rPr>
          <w:rFonts w:ascii="Times New Roman" w:hAnsi="Times New Roman" w:cs="Times New Roman"/>
          <w:noProof/>
          <w:sz w:val="20"/>
          <w:lang w:val="fr-FR"/>
        </w:rPr>
        <w:t>J Clin Med. 2019;9.</w:t>
      </w:r>
    </w:p>
    <w:p w14:paraId="20C08A64"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fr-FR"/>
        </w:rPr>
        <w:t xml:space="preserve">19. Levasseur M, Filiatrault J, Larivière N, Trépanier J, Lévesque M-H, Beaudry M, et al. </w:t>
      </w:r>
      <w:r w:rsidRPr="00625045">
        <w:rPr>
          <w:rFonts w:ascii="Times New Roman" w:hAnsi="Times New Roman" w:cs="Times New Roman"/>
          <w:noProof/>
          <w:sz w:val="20"/>
          <w:lang w:val="en-GB"/>
        </w:rPr>
        <w:t>Influence of Lifestyle Redesign(®) on Health, Social Participation, Leisure, and  Mobility of Older French-Canadians. Am J Occup Ther  Off Publ Am  Occup Ther Assoc. 2019;73:7305205030p1–18.</w:t>
      </w:r>
    </w:p>
    <w:p w14:paraId="1589DEC5"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20. Uemura K, Yamada M, Okamoto H. The Effectiveness of an Active Learning Program in Promoting a Healthy Lifestyle  among Older Adults with Low Health Literacy: A Randomized Controlled Trial. Gerontology. 2021;67:25–35.</w:t>
      </w:r>
    </w:p>
    <w:p w14:paraId="6533E722"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21. Kamga H, McCusker J, Yaffe M, Sewitch M, Sussman T, Strumpf E, et al. Self-care tools to treat depressive symptoms in patients with age-related eye  disease: a randomized controlled clinical trial. Clin Experiment Ophthalmol. 2017;45:371–8.</w:t>
      </w:r>
    </w:p>
    <w:p w14:paraId="1336ECB4"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22. Siltanen S, Portegijs E, Pynnönen K, Hassandra M, Rantalainen T, Karavirta L, et al. Effects of an Individualized Active Aging Counseling Intervention on Mobility and Physical Activity: Secondary Analyses of a Randomized Controlled Trial. J Aging Health. 2020;32:1316–24.</w:t>
      </w:r>
    </w:p>
    <w:p w14:paraId="3D2377B4"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23. Swan F, English A, Allgar V, Hart SP, Johnson MJ. The Hand-Held Fan and the Calming Hand for People With Chronic Breathlessness: A  Feasibility Trial. J Pain Symptom Manage. 2019;57:1051-1061.e1.</w:t>
      </w:r>
    </w:p>
    <w:p w14:paraId="14B404B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24. Liddle J, Haynes M, Pachana NA, Mitchell G, McKenna K, Gustafsson L. Effect of a Group Intervention to Promote Older Adults’ Adjustment to Driving Cessation on Community Mobility: A Randomized Controlled Trial. Gerontologist. 2014;54:409–22.</w:t>
      </w:r>
    </w:p>
    <w:p w14:paraId="5925AF87"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25. Kato K, Yoshimi T, Aimoto K, Sato K, Itoh N, Kondo I. A rise-assisting robot extends life space and improves facial expressions of  nursing home residents. BMC Health Serv Res. 2022;22:1588.</w:t>
      </w:r>
    </w:p>
    <w:p w14:paraId="15CBC016" w14:textId="77777777" w:rsidR="007152BB" w:rsidRPr="00625045" w:rsidRDefault="007152BB" w:rsidP="007152BB">
      <w:pPr>
        <w:widowControl w:val="0"/>
        <w:autoSpaceDE w:val="0"/>
        <w:autoSpaceDN w:val="0"/>
        <w:adjustRightInd w:val="0"/>
        <w:spacing w:line="240" w:lineRule="auto"/>
        <w:rPr>
          <w:rFonts w:ascii="Times New Roman" w:hAnsi="Times New Roman" w:cs="Times New Roman"/>
          <w:noProof/>
          <w:sz w:val="20"/>
          <w:lang w:val="en-GB"/>
        </w:rPr>
      </w:pPr>
      <w:r w:rsidRPr="00625045">
        <w:rPr>
          <w:rFonts w:ascii="Times New Roman" w:hAnsi="Times New Roman" w:cs="Times New Roman"/>
          <w:noProof/>
          <w:sz w:val="20"/>
          <w:lang w:val="en-GB"/>
        </w:rPr>
        <w:t>26. Murabayashi N, Akahoshi T, Ishimine R, Saji N, Takeda C, Nakayama H, et al. Effects of Music Therapy in Frail Elderlies: Controlled Crossover Study. Dement Geriatr Cogn Dis Extra. 2019;9:87–99.</w:t>
      </w:r>
    </w:p>
    <w:p w14:paraId="4494D100" w14:textId="77777777" w:rsidR="007152BB" w:rsidRPr="007152BB" w:rsidRDefault="007152BB" w:rsidP="007152BB">
      <w:pPr>
        <w:widowControl w:val="0"/>
        <w:autoSpaceDE w:val="0"/>
        <w:autoSpaceDN w:val="0"/>
        <w:adjustRightInd w:val="0"/>
        <w:spacing w:line="240" w:lineRule="auto"/>
        <w:rPr>
          <w:rFonts w:ascii="Times New Roman" w:hAnsi="Times New Roman" w:cs="Times New Roman"/>
          <w:noProof/>
          <w:sz w:val="20"/>
        </w:rPr>
      </w:pPr>
      <w:r w:rsidRPr="00625045">
        <w:rPr>
          <w:rFonts w:ascii="Times New Roman" w:hAnsi="Times New Roman" w:cs="Times New Roman"/>
          <w:noProof/>
          <w:sz w:val="20"/>
          <w:lang w:val="en-GB"/>
        </w:rPr>
        <w:t xml:space="preserve">27. Brienza DM, Karg PE, Bertolet M, Schmeler M, Poojary-Mazzotta P, Vlachos H, et al. A Randomized Clinical Trial of Wheeled Mobility for Pressure Injury Prevention and Better Function. </w:t>
      </w:r>
      <w:r w:rsidRPr="007152BB">
        <w:rPr>
          <w:rFonts w:ascii="Times New Roman" w:hAnsi="Times New Roman" w:cs="Times New Roman"/>
          <w:noProof/>
          <w:sz w:val="20"/>
        </w:rPr>
        <w:t>J Am Geriatr Soc. 2018;66:1752–9.</w:t>
      </w:r>
    </w:p>
    <w:p w14:paraId="15E7D122" w14:textId="1C22D201" w:rsidR="007152BB" w:rsidRPr="0015162E" w:rsidRDefault="007152BB" w:rsidP="007152BB">
      <w:pPr>
        <w:widowControl w:val="0"/>
        <w:autoSpaceDE w:val="0"/>
        <w:autoSpaceDN w:val="0"/>
        <w:adjustRightInd w:val="0"/>
        <w:spacing w:line="240" w:lineRule="auto"/>
        <w:ind w:left="640" w:hanging="640"/>
        <w:rPr>
          <w:rFonts w:ascii="Times New Roman" w:hAnsi="Times New Roman" w:cs="Times New Roman"/>
          <w:sz w:val="20"/>
          <w:szCs w:val="20"/>
          <w:lang w:val="en-GB"/>
        </w:rPr>
      </w:pPr>
      <w:r>
        <w:rPr>
          <w:rFonts w:ascii="Times New Roman" w:hAnsi="Times New Roman" w:cs="Times New Roman"/>
          <w:sz w:val="20"/>
          <w:szCs w:val="20"/>
          <w:lang w:val="en-GB"/>
        </w:rPr>
        <w:fldChar w:fldCharType="end"/>
      </w:r>
    </w:p>
    <w:sectPr w:rsidR="007152BB" w:rsidRPr="0015162E">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06BC" w14:textId="77777777" w:rsidR="00C604B0" w:rsidRDefault="00C604B0" w:rsidP="006A6AE8">
      <w:pPr>
        <w:spacing w:after="0" w:line="240" w:lineRule="auto"/>
      </w:pPr>
      <w:r>
        <w:separator/>
      </w:r>
    </w:p>
  </w:endnote>
  <w:endnote w:type="continuationSeparator" w:id="0">
    <w:p w14:paraId="4294B00C" w14:textId="77777777" w:rsidR="00C604B0" w:rsidRDefault="00C604B0" w:rsidP="006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023CB" w14:textId="6399AC0D" w:rsidR="006A6AE8" w:rsidRPr="006A6AE8" w:rsidRDefault="00BA2D0F">
    <w:pPr>
      <w:pStyle w:val="Fuzeile"/>
      <w:rPr>
        <w:rFonts w:ascii="Times New Roman" w:hAnsi="Times New Roman" w:cs="Times New Roman"/>
        <w:sz w:val="20"/>
        <w:szCs w:val="20"/>
        <w:lang w:val="en-GB"/>
      </w:rPr>
    </w:pPr>
    <w:r>
      <w:rPr>
        <w:rFonts w:ascii="Times New Roman" w:hAnsi="Times New Roman" w:cs="Times New Roman"/>
        <w:sz w:val="20"/>
        <w:szCs w:val="20"/>
        <w:lang w:val="en-GB"/>
      </w:rPr>
      <w:t>Multidimensional i</w:t>
    </w:r>
    <w:r w:rsidR="006A6AE8" w:rsidRPr="006A6AE8">
      <w:rPr>
        <w:rFonts w:ascii="Times New Roman" w:hAnsi="Times New Roman" w:cs="Times New Roman"/>
        <w:sz w:val="20"/>
        <w:szCs w:val="20"/>
        <w:lang w:val="en-GB"/>
      </w:rPr>
      <w:t>nterventions to increase life-space mobility in older adults: a systematic scoping review_Additional File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5179F" w14:textId="77777777" w:rsidR="00C604B0" w:rsidRDefault="00C604B0" w:rsidP="006A6AE8">
      <w:pPr>
        <w:spacing w:after="0" w:line="240" w:lineRule="auto"/>
      </w:pPr>
      <w:r>
        <w:separator/>
      </w:r>
    </w:p>
  </w:footnote>
  <w:footnote w:type="continuationSeparator" w:id="0">
    <w:p w14:paraId="0455565C" w14:textId="77777777" w:rsidR="00C604B0" w:rsidRDefault="00C604B0" w:rsidP="006A6A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D21BF"/>
    <w:multiLevelType w:val="multilevel"/>
    <w:tmpl w:val="931AF754"/>
    <w:lvl w:ilvl="0">
      <w:start w:val="1"/>
      <w:numFmt w:val="decimal"/>
      <w:pStyle w:val="berschrif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F6049A"/>
    <w:multiLevelType w:val="hybridMultilevel"/>
    <w:tmpl w:val="DE423992"/>
    <w:lvl w:ilvl="0" w:tplc="AE5685B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01290639">
    <w:abstractNumId w:val="1"/>
  </w:num>
  <w:num w:numId="2" w16cid:durableId="145628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AB"/>
    <w:rsid w:val="00036AFC"/>
    <w:rsid w:val="000C3030"/>
    <w:rsid w:val="0015162E"/>
    <w:rsid w:val="001D52E4"/>
    <w:rsid w:val="001F1E24"/>
    <w:rsid w:val="002A7C11"/>
    <w:rsid w:val="00356C7B"/>
    <w:rsid w:val="00375BB8"/>
    <w:rsid w:val="003D7833"/>
    <w:rsid w:val="004540F5"/>
    <w:rsid w:val="00574A31"/>
    <w:rsid w:val="005C7043"/>
    <w:rsid w:val="005F5BEC"/>
    <w:rsid w:val="00616DA6"/>
    <w:rsid w:val="00625045"/>
    <w:rsid w:val="006948DF"/>
    <w:rsid w:val="006A6AE8"/>
    <w:rsid w:val="006E6A0E"/>
    <w:rsid w:val="007152BB"/>
    <w:rsid w:val="00734BB7"/>
    <w:rsid w:val="00776EA6"/>
    <w:rsid w:val="007A7CA8"/>
    <w:rsid w:val="009B0B5C"/>
    <w:rsid w:val="00A44876"/>
    <w:rsid w:val="00A66DAB"/>
    <w:rsid w:val="00B029D6"/>
    <w:rsid w:val="00B45DD7"/>
    <w:rsid w:val="00BA2D0F"/>
    <w:rsid w:val="00BE32B0"/>
    <w:rsid w:val="00BE7D6D"/>
    <w:rsid w:val="00C558C5"/>
    <w:rsid w:val="00C604B0"/>
    <w:rsid w:val="00CC5322"/>
    <w:rsid w:val="00CE05EF"/>
    <w:rsid w:val="00D00D29"/>
    <w:rsid w:val="00D868B6"/>
    <w:rsid w:val="00DA17C4"/>
    <w:rsid w:val="00E03945"/>
    <w:rsid w:val="00E45469"/>
    <w:rsid w:val="00E5179F"/>
    <w:rsid w:val="00E821C3"/>
    <w:rsid w:val="00EE1EE7"/>
    <w:rsid w:val="00FB694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9D58E"/>
  <w15:chartTrackingRefBased/>
  <w15:docId w15:val="{9F5D53B8-A0D2-4367-953E-A4A972F6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Listenabsatz"/>
    <w:next w:val="Standard"/>
    <w:link w:val="berschrift1Zchn"/>
    <w:uiPriority w:val="2"/>
    <w:qFormat/>
    <w:rsid w:val="00E45469"/>
    <w:pPr>
      <w:numPr>
        <w:numId w:val="2"/>
      </w:numPr>
      <w:spacing w:before="240" w:after="240" w:line="240" w:lineRule="auto"/>
      <w:ind w:hanging="360"/>
      <w:contextualSpacing w:val="0"/>
      <w:outlineLvl w:val="0"/>
    </w:pPr>
    <w:rPr>
      <w:rFonts w:ascii="Times New Roman" w:eastAsia="Cambria" w:hAnsi="Times New Roman" w:cs="Times New Roman"/>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2"/>
    <w:rsid w:val="00E45469"/>
    <w:rPr>
      <w:rFonts w:ascii="Times New Roman" w:eastAsia="Cambria" w:hAnsi="Times New Roman" w:cs="Times New Roman"/>
      <w:b/>
      <w:sz w:val="24"/>
      <w:szCs w:val="24"/>
    </w:rPr>
  </w:style>
  <w:style w:type="paragraph" w:styleId="Listenabsatz">
    <w:name w:val="List Paragraph"/>
    <w:basedOn w:val="Standard"/>
    <w:uiPriority w:val="34"/>
    <w:qFormat/>
    <w:rsid w:val="00E45469"/>
    <w:pPr>
      <w:ind w:left="720"/>
      <w:contextualSpacing/>
    </w:pPr>
  </w:style>
  <w:style w:type="table" w:styleId="Tabellenraster">
    <w:name w:val="Table Grid"/>
    <w:basedOn w:val="NormaleTabelle"/>
    <w:uiPriority w:val="39"/>
    <w:rsid w:val="00A66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A6A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6AE8"/>
  </w:style>
  <w:style w:type="paragraph" w:styleId="Fuzeile">
    <w:name w:val="footer"/>
    <w:basedOn w:val="Standard"/>
    <w:link w:val="FuzeileZchn"/>
    <w:uiPriority w:val="99"/>
    <w:unhideWhenUsed/>
    <w:rsid w:val="006A6A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1EED4-A403-46E6-A830-5D1FFD986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14530</Words>
  <Characters>91539</Characters>
  <Application>Microsoft Office Word</Application>
  <DocSecurity>0</DocSecurity>
  <Lines>762</Lines>
  <Paragraphs>211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Seinsche  Julia</dc:creator>
  <cp:keywords/>
  <dc:description/>
  <cp:lastModifiedBy>Seinsche  Julia</cp:lastModifiedBy>
  <cp:revision>6</cp:revision>
  <dcterms:created xsi:type="dcterms:W3CDTF">2023-05-29T12:58:00Z</dcterms:created>
  <dcterms:modified xsi:type="dcterms:W3CDTF">2023-05-31T09:15:00Z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http://csl.mendeley.com/styles/533651851/american-medical-association-2</vt:lpwstr>
  </property>
  <property fmtid="{D5CDD505-2E9C-101B-9397-08002B2CF9AE}" pid="3" name="Mendeley Recent Style Name 0_1">
    <vt:lpwstr>American Medical Association 11th edition - Julia Seinsche</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http://www.zotero.org/styles/bmc-geriatrics</vt:lpwstr>
  </property>
  <property fmtid="{D5CDD505-2E9C-101B-9397-08002B2CF9AE}" pid="7" name="Mendeley Recent Style Name 2_1">
    <vt:lpwstr>BMC Geriatrics</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http://www.zotero.org/styles/springer-vancouver</vt:lpwstr>
  </property>
  <property fmtid="{D5CDD505-2E9C-101B-9397-08002B2CF9AE}" pid="21" name="Mendeley Recent Style Name 9_1">
    <vt:lpwstr>Springer - Vancouver</vt:lpwstr>
  </property>
  <property fmtid="{D5CDD505-2E9C-101B-9397-08002B2CF9AE}" pid="22" name="Mendeley Document_1">
    <vt:lpwstr>True</vt:lpwstr>
  </property>
  <property fmtid="{D5CDD505-2E9C-101B-9397-08002B2CF9AE}" pid="23" name="Mendeley Unique User Id_1">
    <vt:lpwstr>63921f5d-ee8c-3153-86b7-bccf223daf9e</vt:lpwstr>
  </property>
  <property fmtid="{D5CDD505-2E9C-101B-9397-08002B2CF9AE}" pid="24" name="Mendeley Citation Style_1">
    <vt:lpwstr>http://www.zotero.org/styles/bmc-geriatrics</vt:lpwstr>
  </property>
</Properties>
</file>