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73675" cy="4036060"/>
            <wp:effectExtent l="0" t="0" r="9525" b="2540"/>
            <wp:docPr id="1" name="图片 1" descr="Supplementary Fig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.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/>
          <w:sz w:val="24"/>
        </w:rPr>
      </w:pPr>
      <w:r>
        <w:rPr>
          <w:rFonts w:hint="default" w:ascii="Times New Roman Bold" w:hAnsi="Times New Roman Bold" w:cs="Times New Roman Bold"/>
          <w:b/>
          <w:bCs/>
          <w:sz w:val="24"/>
        </w:rPr>
        <w:t xml:space="preserve">Supplementary </w:t>
      </w:r>
      <w:r>
        <w:rPr>
          <w:rFonts w:ascii="Times New Roman Bold" w:hAnsi="Times New Roman Bold" w:cs="Times New Roman Bold"/>
          <w:b/>
          <w:bCs/>
          <w:sz w:val="24"/>
        </w:rPr>
        <w:t>Fig.</w:t>
      </w:r>
      <w:r>
        <w:rPr>
          <w:rFonts w:hint="default" w:ascii="Times New Roman Bold" w:hAnsi="Times New Roman Bold" w:cs="Times New Roman Bold"/>
          <w:b/>
          <w:bCs/>
          <w:sz w:val="24"/>
        </w:rPr>
        <w:t>2</w:t>
      </w:r>
      <w:r>
        <w:rPr>
          <w:rFonts w:ascii="Times New Roman Bold" w:hAnsi="Times New Roman Bold" w:cs="Times New Roman Bold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Forest plots of </w:t>
      </w:r>
      <w:r>
        <w:rPr>
          <w:rFonts w:hint="eastAsia" w:ascii="Times New Roman" w:hAnsi="Times New Roman"/>
          <w:sz w:val="24"/>
        </w:rPr>
        <w:t xml:space="preserve">Fine and Gray </w:t>
      </w:r>
      <w:r>
        <w:rPr>
          <w:rFonts w:hint="default" w:ascii="Times New Roman" w:hAnsi="Times New Roman"/>
          <w:sz w:val="24"/>
        </w:rPr>
        <w:t>analysis</w:t>
      </w:r>
      <w:r>
        <w:rPr>
          <w:rFonts w:ascii="Times New Roman" w:hAnsi="Times New Roman"/>
          <w:sz w:val="24"/>
        </w:rPr>
        <w:t xml:space="preserve"> for BCS</w:t>
      </w:r>
      <w:r>
        <w:rPr>
          <w:rFonts w:hint="default"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 in matched patients with (A)</w:t>
      </w:r>
      <w:r>
        <w:rPr>
          <w:rFonts w:hint="default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T1-2N1 breast cancer</w:t>
      </w:r>
      <w:r>
        <w:rPr>
          <w:rFonts w:hint="default" w:ascii="Times New Roman" w:hAnsi="Times New Roman"/>
          <w:sz w:val="24"/>
        </w:rPr>
        <w:t xml:space="preserve"> and </w:t>
      </w:r>
      <w:r>
        <w:rPr>
          <w:rFonts w:ascii="Times New Roman" w:hAnsi="Times New Roman"/>
          <w:sz w:val="24"/>
        </w:rPr>
        <w:t>(</w:t>
      </w:r>
      <w:r>
        <w:rPr>
          <w:rFonts w:hint="default" w:ascii="Times New Roman" w:hAnsi="Times New Roman"/>
          <w:sz w:val="24"/>
        </w:rPr>
        <w:t>B</w:t>
      </w:r>
      <w:r>
        <w:rPr>
          <w:rFonts w:ascii="Times New Roman" w:hAnsi="Times New Roman"/>
          <w:sz w:val="24"/>
        </w:rPr>
        <w:t>) in patients rematched by known subtype. LN: lymph node; G: Grad</w:t>
      </w:r>
      <w:bookmarkStart w:id="0" w:name="_GoBack"/>
      <w:bookmarkEnd w:id="0"/>
      <w:r>
        <w:rPr>
          <w:rFonts w:ascii="Times New Roman" w:hAnsi="Times New Roman"/>
          <w:sz w:val="24"/>
        </w:rPr>
        <w:t>e; HR: hormone receptor; HER-2: human epidermal growth factor receptor 2; SLNB=sentinel lymph node biopsy; ALND=axillary lymph node dissection</w:t>
      </w:r>
    </w:p>
    <w:p>
      <w:pPr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97894"/>
    <w:rsid w:val="66E9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Office_5.4.0.7910_F1E327BC-269C-435d-A152-05C5408002CA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2023-06-25T10:19:00Z</dcterms:created>
  <dc:creator>Jingyi Ling</dc:creator>
  <cp:lastModifiedBy>Jingyi Ling</cp:lastModifiedBy>
  <dcterms:modified xsi:type="dcterms:W3CDTF">2023-06-25T10:20:18Z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2052-5.4.0.7910</vt:lpwstr>
  </property>
  <property fmtid="{D5CDD505-2E9C-101B-9397-08002B2CF9AE}" pid="3" name="ICV">
    <vt:lpwstr>C2FC5D447FA8535C45A49764AB29713E_41</vt:lpwstr>
  </property>
</Properties>
</file>