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197A6" w14:textId="77777777" w:rsidR="00771D02" w:rsidRPr="003E421B" w:rsidRDefault="00771D02" w:rsidP="003E421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E421B">
        <w:rPr>
          <w:rFonts w:cstheme="minorHAnsi"/>
          <w:b/>
          <w:sz w:val="24"/>
          <w:szCs w:val="24"/>
        </w:rPr>
        <w:t xml:space="preserve">SUPPLEMENTARY MATERIAL: </w:t>
      </w:r>
    </w:p>
    <w:p w14:paraId="76E3D1A6" w14:textId="77777777" w:rsidR="00D57100" w:rsidRPr="003E421B" w:rsidRDefault="00D57100" w:rsidP="003E421B">
      <w:pPr>
        <w:spacing w:after="0" w:line="240" w:lineRule="auto"/>
        <w:jc w:val="both"/>
        <w:rPr>
          <w:sz w:val="24"/>
          <w:szCs w:val="24"/>
        </w:rPr>
      </w:pPr>
      <w:r w:rsidRPr="003E421B">
        <w:rPr>
          <w:sz w:val="24"/>
          <w:szCs w:val="24"/>
        </w:rPr>
        <w:t>A longitudinal study of frailty, quality of life and dialysis in older people with advanced CKD</w:t>
      </w:r>
    </w:p>
    <w:p w14:paraId="080D2D40" w14:textId="77777777" w:rsidR="00771D02" w:rsidRPr="003E421B" w:rsidRDefault="00771D02" w:rsidP="003E421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C8D92B7" w14:textId="5D0808CF" w:rsidR="00771D02" w:rsidRDefault="00771D02" w:rsidP="003E421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846DABF" w14:textId="77777777" w:rsidR="003E421B" w:rsidRPr="003E421B" w:rsidRDefault="003E421B" w:rsidP="003E421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E426599" w14:textId="77777777" w:rsidR="00771D02" w:rsidRPr="003E421B" w:rsidRDefault="00771D02" w:rsidP="003E421B">
      <w:pPr>
        <w:spacing w:after="0" w:line="240" w:lineRule="auto"/>
        <w:rPr>
          <w:rFonts w:cstheme="minorHAnsi"/>
          <w:b/>
          <w:sz w:val="24"/>
          <w:szCs w:val="24"/>
        </w:rPr>
      </w:pPr>
      <w:r w:rsidRPr="003E421B">
        <w:rPr>
          <w:rFonts w:cstheme="minorHAnsi"/>
          <w:b/>
          <w:sz w:val="24"/>
          <w:szCs w:val="24"/>
        </w:rPr>
        <w:t>TABLE OF CONTENTS:</w:t>
      </w:r>
    </w:p>
    <w:p w14:paraId="344086CF" w14:textId="27094469" w:rsidR="00771D02" w:rsidRPr="003E421B" w:rsidRDefault="00771D02" w:rsidP="003E421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E421B">
        <w:rPr>
          <w:rFonts w:cstheme="minorHAnsi"/>
          <w:sz w:val="24"/>
          <w:szCs w:val="24"/>
        </w:rPr>
        <w:t>Supplementary Table 1. Predictors of percent change in FI and QOL from baseline to follow-up</w:t>
      </w:r>
      <w:r w:rsidR="003E421B">
        <w:rPr>
          <w:rFonts w:cstheme="minorHAnsi"/>
          <w:sz w:val="24"/>
          <w:szCs w:val="24"/>
        </w:rPr>
        <w:t xml:space="preserve"> </w:t>
      </w:r>
      <w:r w:rsidRPr="003E421B">
        <w:rPr>
          <w:rFonts w:cstheme="minorHAnsi"/>
          <w:sz w:val="24"/>
          <w:szCs w:val="24"/>
        </w:rPr>
        <w:t>assessment………</w:t>
      </w:r>
      <w:r w:rsidR="003E421B">
        <w:rPr>
          <w:rFonts w:cstheme="minorHAnsi"/>
          <w:sz w:val="24"/>
          <w:szCs w:val="24"/>
        </w:rPr>
        <w:t>…</w:t>
      </w:r>
      <w:r w:rsidRPr="003E421B">
        <w:rPr>
          <w:rFonts w:cstheme="minorHAnsi"/>
          <w:sz w:val="24"/>
          <w:szCs w:val="24"/>
        </w:rPr>
        <w:t>……………………………………………………………</w:t>
      </w:r>
      <w:r w:rsidR="00D57100" w:rsidRPr="003E421B">
        <w:rPr>
          <w:rFonts w:cstheme="minorHAnsi"/>
          <w:sz w:val="24"/>
          <w:szCs w:val="24"/>
        </w:rPr>
        <w:t>……………………………………….</w:t>
      </w:r>
      <w:r w:rsidRPr="003E421B">
        <w:rPr>
          <w:rFonts w:cstheme="minorHAnsi"/>
          <w:sz w:val="24"/>
          <w:szCs w:val="24"/>
        </w:rPr>
        <w:t>…....2</w:t>
      </w:r>
    </w:p>
    <w:p w14:paraId="1034BFE3" w14:textId="124EF128" w:rsidR="008B5F1D" w:rsidRDefault="008B5F1D"/>
    <w:p w14:paraId="79864932" w14:textId="4F46FEF0" w:rsidR="00771D02" w:rsidRDefault="00771D02"/>
    <w:p w14:paraId="71AF15E6" w14:textId="64E81B27" w:rsidR="00771D02" w:rsidRDefault="00771D02"/>
    <w:p w14:paraId="37669816" w14:textId="75E55390" w:rsidR="00771D02" w:rsidRDefault="00771D02"/>
    <w:p w14:paraId="79C3B7C4" w14:textId="646DCF2A" w:rsidR="00771D02" w:rsidRDefault="00771D02"/>
    <w:p w14:paraId="63B16CED" w14:textId="28ACA4CE" w:rsidR="00771D02" w:rsidRDefault="00771D02"/>
    <w:p w14:paraId="023B2B1C" w14:textId="32F19475" w:rsidR="00771D02" w:rsidRDefault="00771D02"/>
    <w:p w14:paraId="78D92AB0" w14:textId="3E479F25" w:rsidR="00771D02" w:rsidRDefault="00771D02"/>
    <w:p w14:paraId="5CB115FF" w14:textId="10A5C363" w:rsidR="00771D02" w:rsidRDefault="00771D02"/>
    <w:p w14:paraId="42456815" w14:textId="7BB6D387" w:rsidR="00771D02" w:rsidRDefault="00771D02"/>
    <w:p w14:paraId="2FDDE372" w14:textId="6E6B5A90" w:rsidR="00771D02" w:rsidRDefault="00771D02"/>
    <w:p w14:paraId="277E3176" w14:textId="2F3C4C1E" w:rsidR="00771D02" w:rsidRDefault="00771D02"/>
    <w:p w14:paraId="3740E2FB" w14:textId="4F5086FB" w:rsidR="00771D02" w:rsidRDefault="00771D02"/>
    <w:p w14:paraId="5F57362E" w14:textId="2FC66B3D" w:rsidR="00771D02" w:rsidRDefault="00771D02"/>
    <w:p w14:paraId="6A0CC58B" w14:textId="71429A4A" w:rsidR="00771D02" w:rsidRDefault="00771D02"/>
    <w:p w14:paraId="2325FEF9" w14:textId="03B35421" w:rsidR="003E421B" w:rsidRDefault="003E421B"/>
    <w:p w14:paraId="11AF15E9" w14:textId="04E84DA9" w:rsidR="003E421B" w:rsidRDefault="003E421B"/>
    <w:p w14:paraId="5EF800D8" w14:textId="6B453E00" w:rsidR="003E421B" w:rsidRDefault="003E421B"/>
    <w:p w14:paraId="1A4F9C4C" w14:textId="77777777" w:rsidR="003E421B" w:rsidRDefault="003E421B"/>
    <w:p w14:paraId="27FF9A19" w14:textId="13C77D23" w:rsidR="00771D02" w:rsidRDefault="00771D02"/>
    <w:p w14:paraId="67186933" w14:textId="2E88C04A" w:rsidR="00771D02" w:rsidRDefault="00771D02"/>
    <w:p w14:paraId="5BE91CEA" w14:textId="1907180D" w:rsidR="00771D02" w:rsidRDefault="00771D02"/>
    <w:p w14:paraId="67491CB7" w14:textId="6CF96406" w:rsidR="00771D02" w:rsidRPr="003E421B" w:rsidRDefault="00771D02" w:rsidP="00771D02">
      <w:pPr>
        <w:jc w:val="both"/>
        <w:rPr>
          <w:b/>
          <w:bCs/>
          <w:sz w:val="24"/>
          <w:szCs w:val="24"/>
        </w:rPr>
      </w:pPr>
      <w:r w:rsidRPr="003E421B">
        <w:rPr>
          <w:b/>
          <w:bCs/>
          <w:sz w:val="24"/>
          <w:szCs w:val="24"/>
        </w:rPr>
        <w:lastRenderedPageBreak/>
        <w:t>Supplementary Table 1. Predictors of percent change in FI and QOL from baseline to follow-up assessment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560"/>
        <w:gridCol w:w="1134"/>
        <w:gridCol w:w="1275"/>
        <w:gridCol w:w="1560"/>
        <w:gridCol w:w="958"/>
      </w:tblGrid>
      <w:tr w:rsidR="006E5EA5" w:rsidRPr="00242500" w14:paraId="3E4F6F15" w14:textId="77777777" w:rsidTr="006F5997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8BC2" w14:textId="77777777" w:rsidR="006E5EA5" w:rsidRPr="00242500" w:rsidRDefault="006E5EA5" w:rsidP="002A1564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6DA4" w14:textId="77777777" w:rsidR="006E5EA5" w:rsidRPr="00242500" w:rsidRDefault="006E5EA5" w:rsidP="002A1564">
            <w:pPr>
              <w:spacing w:after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Percent</w:t>
            </w:r>
            <w:r w:rsidRPr="00242500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  <w:szCs w:val="24"/>
              </w:rPr>
              <w:t>C</w:t>
            </w:r>
            <w:r w:rsidRPr="00242500">
              <w:rPr>
                <w:rFonts w:ascii="Calibri" w:hAnsi="Calibri"/>
                <w:b/>
                <w:sz w:val="24"/>
                <w:szCs w:val="24"/>
              </w:rPr>
              <w:t>hange in FI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8F016" w14:textId="77777777" w:rsidR="006E5EA5" w:rsidRPr="00242500" w:rsidRDefault="006E5EA5" w:rsidP="002A1564">
            <w:pPr>
              <w:spacing w:after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Percent</w:t>
            </w:r>
            <w:r w:rsidRPr="00242500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  <w:szCs w:val="24"/>
              </w:rPr>
              <w:t>C</w:t>
            </w:r>
            <w:r w:rsidRPr="00242500">
              <w:rPr>
                <w:rFonts w:ascii="Calibri" w:hAnsi="Calibri"/>
                <w:b/>
                <w:sz w:val="24"/>
                <w:szCs w:val="24"/>
              </w:rPr>
              <w:t>hange in EQ-VAS</w:t>
            </w:r>
          </w:p>
        </w:tc>
      </w:tr>
      <w:tr w:rsidR="006E5EA5" w:rsidRPr="00242500" w14:paraId="42B2F940" w14:textId="77777777" w:rsidTr="006F5997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55279" w14:textId="77777777" w:rsidR="006E5EA5" w:rsidRPr="00242500" w:rsidRDefault="006E5EA5" w:rsidP="002A1564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199744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Coefficient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CCE518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D97F2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p-value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3AEAAC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Coefficient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496E1A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95% CI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1195F7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p-value</w:t>
            </w:r>
          </w:p>
        </w:tc>
      </w:tr>
      <w:tr w:rsidR="006E5EA5" w:rsidRPr="00242500" w14:paraId="54665299" w14:textId="77777777" w:rsidTr="006F5997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E1E4" w14:textId="18DCE49D" w:rsidR="006E5EA5" w:rsidRPr="00242500" w:rsidRDefault="006E5EA5" w:rsidP="002A1564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242500">
              <w:rPr>
                <w:rFonts w:ascii="Calibri" w:hAnsi="Calibri" w:cs="Calibri"/>
                <w:b/>
                <w:sz w:val="24"/>
                <w:szCs w:val="24"/>
              </w:rPr>
              <w:t>Age</w:t>
            </w:r>
            <w:r w:rsidR="00AE1669">
              <w:rPr>
                <w:rFonts w:ascii="Calibri" w:hAnsi="Calibri" w:cs="Calibri"/>
                <w:b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years</w:t>
            </w:r>
            <w:r w:rsidR="00AE1669">
              <w:rPr>
                <w:rFonts w:ascii="Calibri" w:hAnsi="Calibri" w:cs="Calibri"/>
                <w:b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0DB6D946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0.37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3ABA060E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-1.22, 1.96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26B3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0.641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14E44BD0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153D398A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-2.48, 2.96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68D527D7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0.858</w:t>
            </w:r>
          </w:p>
        </w:tc>
      </w:tr>
      <w:tr w:rsidR="006E5EA5" w:rsidRPr="00242500" w14:paraId="43D7A3E5" w14:textId="77777777" w:rsidTr="006F599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9C35" w14:textId="77777777" w:rsidR="006E5EA5" w:rsidRPr="00242500" w:rsidRDefault="006E5EA5" w:rsidP="002A1564">
            <w:pPr>
              <w:spacing w:after="0"/>
              <w:rPr>
                <w:rFonts w:ascii="Calibri" w:hAnsi="Calibri"/>
                <w:b/>
                <w:sz w:val="24"/>
                <w:szCs w:val="24"/>
              </w:rPr>
            </w:pPr>
            <w:r w:rsidRPr="00242500">
              <w:rPr>
                <w:rFonts w:ascii="Calibri" w:hAnsi="Calibri"/>
                <w:b/>
                <w:sz w:val="24"/>
                <w:szCs w:val="24"/>
              </w:rPr>
              <w:t>Dialysis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45249B49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-12.28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28660714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-33.01, 8.45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4FA6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0.237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0B3E74CA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29.46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761328FE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0.12, 58.80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5818A0A4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0.049</w:t>
            </w:r>
          </w:p>
        </w:tc>
      </w:tr>
      <w:tr w:rsidR="006E5EA5" w:rsidRPr="00242500" w14:paraId="7A58FB3A" w14:textId="77777777" w:rsidTr="006F5997">
        <w:trPr>
          <w:trHeight w:val="300"/>
        </w:trPr>
        <w:tc>
          <w:tcPr>
            <w:tcW w:w="2127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6CBF" w14:textId="77777777" w:rsidR="006E5EA5" w:rsidRPr="00242500" w:rsidRDefault="006E5EA5" w:rsidP="002A1564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242500">
              <w:rPr>
                <w:rFonts w:ascii="Calibri" w:hAnsi="Calibri" w:cs="Calibri"/>
                <w:b/>
                <w:sz w:val="24"/>
                <w:szCs w:val="24"/>
              </w:rPr>
              <w:t>Days on dialysis</w:t>
            </w:r>
            <w:r w:rsidRPr="007B798F">
              <w:rPr>
                <w:rFonts w:ascii="Calibri" w:hAnsi="Calibri" w:cs="Calibri"/>
                <w:b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275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11D3AC16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0.00</w:t>
            </w:r>
          </w:p>
        </w:tc>
        <w:tc>
          <w:tcPr>
            <w:tcW w:w="1560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007D9386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-0.04, 0.03</w:t>
            </w:r>
          </w:p>
        </w:tc>
        <w:tc>
          <w:tcPr>
            <w:tcW w:w="1134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32C0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0.789</w:t>
            </w:r>
          </w:p>
        </w:tc>
        <w:tc>
          <w:tcPr>
            <w:tcW w:w="1275" w:type="dxa"/>
            <w:tcBorders>
              <w:top w:val="single" w:sz="4" w:space="0" w:color="D0CECE" w:themeColor="background2" w:themeShade="E6"/>
              <w:left w:val="single" w:sz="4" w:space="0" w:color="auto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1954DD00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0.02</w:t>
            </w:r>
          </w:p>
        </w:tc>
        <w:tc>
          <w:tcPr>
            <w:tcW w:w="1560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67AF0192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-0.03, 0.07</w:t>
            </w:r>
          </w:p>
        </w:tc>
        <w:tc>
          <w:tcPr>
            <w:tcW w:w="958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3FDC1D33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0.329</w:t>
            </w:r>
          </w:p>
        </w:tc>
      </w:tr>
      <w:tr w:rsidR="006E5EA5" w:rsidRPr="00242500" w14:paraId="05244B4C" w14:textId="77777777" w:rsidTr="006F5997">
        <w:trPr>
          <w:trHeight w:val="300"/>
        </w:trPr>
        <w:tc>
          <w:tcPr>
            <w:tcW w:w="2127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C7C5" w14:textId="77777777" w:rsidR="006E5EA5" w:rsidRPr="00242500" w:rsidRDefault="006E5EA5" w:rsidP="002A1564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242500">
              <w:rPr>
                <w:rFonts w:ascii="Calibri" w:hAnsi="Calibri" w:cs="Calibri"/>
                <w:b/>
                <w:sz w:val="24"/>
                <w:szCs w:val="24"/>
              </w:rPr>
              <w:t>eGFR</w:t>
            </w:r>
          </w:p>
        </w:tc>
        <w:tc>
          <w:tcPr>
            <w:tcW w:w="1275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2CBEB965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0.49</w:t>
            </w:r>
          </w:p>
        </w:tc>
        <w:tc>
          <w:tcPr>
            <w:tcW w:w="1560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2BDB0F97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-2.93, 3.90</w:t>
            </w:r>
          </w:p>
        </w:tc>
        <w:tc>
          <w:tcPr>
            <w:tcW w:w="1134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DAAB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0.775</w:t>
            </w:r>
          </w:p>
        </w:tc>
        <w:tc>
          <w:tcPr>
            <w:tcW w:w="1275" w:type="dxa"/>
            <w:tcBorders>
              <w:top w:val="single" w:sz="4" w:space="0" w:color="D0CECE" w:themeColor="background2" w:themeShade="E6"/>
              <w:left w:val="single" w:sz="4" w:space="0" w:color="auto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125E7830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-6.19</w:t>
            </w:r>
          </w:p>
        </w:tc>
        <w:tc>
          <w:tcPr>
            <w:tcW w:w="1560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4D358767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-10.73, -1.65</w:t>
            </w:r>
          </w:p>
        </w:tc>
        <w:tc>
          <w:tcPr>
            <w:tcW w:w="958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19985C94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0.009</w:t>
            </w:r>
          </w:p>
        </w:tc>
      </w:tr>
      <w:tr w:rsidR="006E5EA5" w:rsidRPr="00242500" w14:paraId="2E2A51AD" w14:textId="77777777" w:rsidTr="006F5997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588E" w14:textId="77777777" w:rsidR="006E5EA5" w:rsidRPr="00242500" w:rsidRDefault="006E5EA5" w:rsidP="002A1564">
            <w:pPr>
              <w:spacing w:after="0"/>
              <w:rPr>
                <w:rFonts w:ascii="Calibri" w:hAnsi="Calibri"/>
                <w:b/>
                <w:sz w:val="24"/>
                <w:szCs w:val="24"/>
              </w:rPr>
            </w:pPr>
            <w:r w:rsidRPr="00242500">
              <w:rPr>
                <w:rFonts w:ascii="Calibri" w:hAnsi="Calibri"/>
                <w:b/>
                <w:sz w:val="24"/>
                <w:szCs w:val="24"/>
              </w:rPr>
              <w:t>Female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50773765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-5.34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0895088B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-25.85, 15.16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70B8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2C7233D6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-10.01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343B6F49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-40.00, 19.97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6729157D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0.501</w:t>
            </w:r>
          </w:p>
        </w:tc>
      </w:tr>
      <w:tr w:rsidR="006E5EA5" w:rsidRPr="00242500" w14:paraId="056D6CAF" w14:textId="77777777" w:rsidTr="006F5997">
        <w:trPr>
          <w:trHeight w:val="300"/>
        </w:trPr>
        <w:tc>
          <w:tcPr>
            <w:tcW w:w="2127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1797" w14:textId="77777777" w:rsidR="006E5EA5" w:rsidRPr="00242500" w:rsidRDefault="006E5EA5" w:rsidP="002A1564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242500">
              <w:rPr>
                <w:rFonts w:ascii="Calibri" w:hAnsi="Calibri" w:cs="Calibri"/>
                <w:b/>
                <w:sz w:val="24"/>
                <w:szCs w:val="24"/>
              </w:rPr>
              <w:t>EQ-VAS</w:t>
            </w:r>
            <w:r w:rsidRPr="00242500" w:rsidDel="00F55EA4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2171C91C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-0.14</w:t>
            </w:r>
          </w:p>
        </w:tc>
        <w:tc>
          <w:tcPr>
            <w:tcW w:w="1560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253CF511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-0.72, 0.44</w:t>
            </w:r>
          </w:p>
        </w:tc>
        <w:tc>
          <w:tcPr>
            <w:tcW w:w="1134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4200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0.618</w:t>
            </w:r>
          </w:p>
        </w:tc>
        <w:tc>
          <w:tcPr>
            <w:tcW w:w="1275" w:type="dxa"/>
            <w:tcBorders>
              <w:top w:val="single" w:sz="4" w:space="0" w:color="D0CECE" w:themeColor="background2" w:themeShade="E6"/>
              <w:left w:val="single" w:sz="4" w:space="0" w:color="auto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3BFAD603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20F10D07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nil"/>
            </w:tcBorders>
            <w:shd w:val="clear" w:color="auto" w:fill="auto"/>
            <w:noWrap/>
            <w:vAlign w:val="bottom"/>
            <w:hideMark/>
          </w:tcPr>
          <w:p w14:paraId="5A8D9A83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5EA5" w:rsidRPr="00242500" w14:paraId="2B2A16B6" w14:textId="77777777" w:rsidTr="006F5997">
        <w:trPr>
          <w:trHeight w:val="300"/>
        </w:trPr>
        <w:tc>
          <w:tcPr>
            <w:tcW w:w="2127" w:type="dxa"/>
            <w:tcBorders>
              <w:top w:val="single" w:sz="4" w:space="0" w:color="D0CECE" w:themeColor="background2" w:themeShade="E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F27ED" w14:textId="77777777" w:rsidR="006E5EA5" w:rsidRPr="00242500" w:rsidRDefault="006E5EA5" w:rsidP="002A1564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242500">
              <w:rPr>
                <w:rFonts w:ascii="Calibri" w:hAnsi="Calibri" w:cs="Calibri"/>
                <w:b/>
                <w:sz w:val="24"/>
                <w:szCs w:val="24"/>
              </w:rPr>
              <w:t xml:space="preserve">Frailty index </w:t>
            </w:r>
          </w:p>
          <w:p w14:paraId="5EDB8B55" w14:textId="781A085C" w:rsidR="006E5EA5" w:rsidRPr="00242500" w:rsidRDefault="006E5EA5" w:rsidP="002A1564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242500">
              <w:rPr>
                <w:rFonts w:ascii="Calibri" w:hAnsi="Calibri" w:cs="Calibri"/>
                <w:b/>
                <w:sz w:val="24"/>
                <w:szCs w:val="24"/>
              </w:rPr>
              <w:t>(</w:t>
            </w:r>
            <w:proofErr w:type="gramStart"/>
            <w:r w:rsidRPr="00242500">
              <w:rPr>
                <w:rFonts w:ascii="Calibri" w:hAnsi="Calibri" w:cs="Calibri"/>
                <w:b/>
                <w:sz w:val="24"/>
                <w:szCs w:val="24"/>
              </w:rPr>
              <w:t>increas</w:t>
            </w:r>
            <w:r w:rsidR="006F5997">
              <w:rPr>
                <w:rFonts w:ascii="Calibri" w:hAnsi="Calibri" w:cs="Calibri"/>
                <w:b/>
                <w:sz w:val="24"/>
                <w:szCs w:val="24"/>
              </w:rPr>
              <w:t>ing</w:t>
            </w:r>
            <w:proofErr w:type="gramEnd"/>
            <w:r w:rsidR="006F5997">
              <w:rPr>
                <w:rFonts w:ascii="Calibri" w:hAnsi="Calibri" w:cs="Calibri"/>
                <w:b/>
                <w:sz w:val="24"/>
                <w:szCs w:val="24"/>
              </w:rPr>
              <w:t xml:space="preserve"> 0.1 intervals</w:t>
            </w:r>
            <w:r w:rsidRPr="00242500">
              <w:rPr>
                <w:rFonts w:ascii="Calibri" w:hAnsi="Calibri" w:cs="Calibri"/>
                <w:b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D0CECE" w:themeColor="background2" w:themeShade="E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7D2CB9" w14:textId="77777777" w:rsidR="006E5EA5" w:rsidRPr="00242500" w:rsidRDefault="006E5EA5" w:rsidP="002A1564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D0CECE" w:themeColor="background2" w:themeShade="E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297DD1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D0CECE" w:themeColor="background2" w:themeShade="E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C6EC7" w14:textId="77777777" w:rsidR="006E5EA5" w:rsidRPr="00242500" w:rsidRDefault="006E5EA5" w:rsidP="002A1564">
            <w:pPr>
              <w:spacing w:after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D0CECE" w:themeColor="background2" w:themeShade="E6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C29671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-8.87</w:t>
            </w:r>
          </w:p>
        </w:tc>
        <w:tc>
          <w:tcPr>
            <w:tcW w:w="1560" w:type="dxa"/>
            <w:tcBorders>
              <w:top w:val="single" w:sz="4" w:space="0" w:color="D0CECE" w:themeColor="background2" w:themeShade="E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125832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-25.92, 8.18</w:t>
            </w:r>
          </w:p>
        </w:tc>
        <w:tc>
          <w:tcPr>
            <w:tcW w:w="958" w:type="dxa"/>
            <w:tcBorders>
              <w:top w:val="single" w:sz="4" w:space="0" w:color="D0CECE" w:themeColor="background2" w:themeShade="E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CE6CA1" w14:textId="77777777" w:rsidR="006E5EA5" w:rsidRPr="00242500" w:rsidRDefault="006E5EA5" w:rsidP="002A1564">
            <w:pPr>
              <w:spacing w:after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42500">
              <w:rPr>
                <w:rFonts w:ascii="Calibri" w:hAnsi="Calibri" w:cs="Calibri"/>
                <w:sz w:val="24"/>
                <w:szCs w:val="24"/>
              </w:rPr>
              <w:t>0.297</w:t>
            </w:r>
          </w:p>
        </w:tc>
      </w:tr>
    </w:tbl>
    <w:p w14:paraId="08B5FCC4" w14:textId="35EAA260" w:rsidR="006E5EA5" w:rsidRPr="00242500" w:rsidRDefault="006E5EA5" w:rsidP="006E5EA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42500">
        <w:rPr>
          <w:rFonts w:cstheme="minorHAnsi"/>
          <w:sz w:val="20"/>
          <w:szCs w:val="20"/>
        </w:rPr>
        <w:t xml:space="preserve">Abbreviations: FI, frailty index; EQ-VAS, </w:t>
      </w:r>
      <w:proofErr w:type="spellStart"/>
      <w:r w:rsidRPr="00242500">
        <w:rPr>
          <w:rFonts w:cstheme="minorHAnsi"/>
          <w:sz w:val="20"/>
          <w:szCs w:val="20"/>
        </w:rPr>
        <w:t>EuroQol</w:t>
      </w:r>
      <w:proofErr w:type="spellEnd"/>
      <w:r w:rsidRPr="00242500">
        <w:rPr>
          <w:rFonts w:cstheme="minorHAnsi"/>
          <w:sz w:val="20"/>
          <w:szCs w:val="20"/>
        </w:rPr>
        <w:t xml:space="preserve"> 5D-5L visual analogue scale; eGFR, estimated glomerular filtration rate in mL/min/1.73m</w:t>
      </w:r>
      <w:r w:rsidRPr="00242500">
        <w:rPr>
          <w:rFonts w:cstheme="minorHAnsi"/>
          <w:sz w:val="20"/>
          <w:szCs w:val="20"/>
          <w:vertAlign w:val="superscript"/>
        </w:rPr>
        <w:t>2</w:t>
      </w:r>
      <w:r w:rsidRPr="00242500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#</w:t>
      </w:r>
      <w:proofErr w:type="gramStart"/>
      <w:r>
        <w:rPr>
          <w:rFonts w:cstheme="minorHAnsi"/>
          <w:sz w:val="20"/>
          <w:szCs w:val="20"/>
        </w:rPr>
        <w:t>only</w:t>
      </w:r>
      <w:proofErr w:type="gramEnd"/>
      <w:r>
        <w:rPr>
          <w:rFonts w:cstheme="minorHAnsi"/>
          <w:sz w:val="20"/>
          <w:szCs w:val="20"/>
        </w:rPr>
        <w:t xml:space="preserve"> for participants who commenced dialysis (n=35).</w:t>
      </w:r>
    </w:p>
    <w:p w14:paraId="40325DE6" w14:textId="77777777" w:rsidR="00771D02" w:rsidRDefault="00771D02"/>
    <w:sectPr w:rsidR="00771D02" w:rsidSect="000E46BE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AD295" w14:textId="77777777" w:rsidR="00924DCC" w:rsidRDefault="00924DCC" w:rsidP="00771D02">
      <w:pPr>
        <w:spacing w:after="0" w:line="240" w:lineRule="auto"/>
      </w:pPr>
      <w:r>
        <w:separator/>
      </w:r>
    </w:p>
  </w:endnote>
  <w:endnote w:type="continuationSeparator" w:id="0">
    <w:p w14:paraId="0F1CF139" w14:textId="77777777" w:rsidR="00924DCC" w:rsidRDefault="00924DCC" w:rsidP="00771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47670175"/>
      <w:docPartObj>
        <w:docPartGallery w:val="Page Numbers (Bottom of Page)"/>
        <w:docPartUnique/>
      </w:docPartObj>
    </w:sdtPr>
    <w:sdtContent>
      <w:p w14:paraId="4A80D863" w14:textId="54AB1477" w:rsidR="00771D02" w:rsidRDefault="00771D02" w:rsidP="00CC443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0A6992" w14:textId="77777777" w:rsidR="00771D02" w:rsidRDefault="00771D02" w:rsidP="00771D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14942696"/>
      <w:docPartObj>
        <w:docPartGallery w:val="Page Numbers (Bottom of Page)"/>
        <w:docPartUnique/>
      </w:docPartObj>
    </w:sdtPr>
    <w:sdtContent>
      <w:p w14:paraId="7872933D" w14:textId="79B3AC31" w:rsidR="00771D02" w:rsidRDefault="00771D02" w:rsidP="00CC443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29FD31A" w14:textId="77777777" w:rsidR="00771D02" w:rsidRDefault="00771D02" w:rsidP="00771D0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78219" w14:textId="77777777" w:rsidR="00924DCC" w:rsidRDefault="00924DCC" w:rsidP="00771D02">
      <w:pPr>
        <w:spacing w:after="0" w:line="240" w:lineRule="auto"/>
      </w:pPr>
      <w:r>
        <w:separator/>
      </w:r>
    </w:p>
  </w:footnote>
  <w:footnote w:type="continuationSeparator" w:id="0">
    <w:p w14:paraId="28059575" w14:textId="77777777" w:rsidR="00924DCC" w:rsidRDefault="00924DCC" w:rsidP="00771D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02"/>
    <w:rsid w:val="000514D5"/>
    <w:rsid w:val="00077301"/>
    <w:rsid w:val="000857F0"/>
    <w:rsid w:val="00085927"/>
    <w:rsid w:val="000B5A22"/>
    <w:rsid w:val="000E1530"/>
    <w:rsid w:val="000E46BE"/>
    <w:rsid w:val="000F7E21"/>
    <w:rsid w:val="001838C3"/>
    <w:rsid w:val="001C6DDF"/>
    <w:rsid w:val="00234E1F"/>
    <w:rsid w:val="0023687E"/>
    <w:rsid w:val="002E1BB6"/>
    <w:rsid w:val="003063D4"/>
    <w:rsid w:val="00312030"/>
    <w:rsid w:val="00315EED"/>
    <w:rsid w:val="00330A33"/>
    <w:rsid w:val="0034663D"/>
    <w:rsid w:val="003B4E6A"/>
    <w:rsid w:val="003D1B51"/>
    <w:rsid w:val="003E1311"/>
    <w:rsid w:val="003E421B"/>
    <w:rsid w:val="003E522F"/>
    <w:rsid w:val="00414FFD"/>
    <w:rsid w:val="004A1387"/>
    <w:rsid w:val="004B1804"/>
    <w:rsid w:val="00577617"/>
    <w:rsid w:val="005E4E22"/>
    <w:rsid w:val="00633783"/>
    <w:rsid w:val="006944AC"/>
    <w:rsid w:val="006E5EA5"/>
    <w:rsid w:val="006F3F1B"/>
    <w:rsid w:val="006F5997"/>
    <w:rsid w:val="00720E36"/>
    <w:rsid w:val="00735FBE"/>
    <w:rsid w:val="0076631C"/>
    <w:rsid w:val="00771D02"/>
    <w:rsid w:val="007E113D"/>
    <w:rsid w:val="007E4359"/>
    <w:rsid w:val="008326A2"/>
    <w:rsid w:val="00894876"/>
    <w:rsid w:val="00897FFB"/>
    <w:rsid w:val="008A26CA"/>
    <w:rsid w:val="008B1D74"/>
    <w:rsid w:val="008B5F1D"/>
    <w:rsid w:val="008C0F85"/>
    <w:rsid w:val="008E068B"/>
    <w:rsid w:val="008F7FDD"/>
    <w:rsid w:val="00901E8D"/>
    <w:rsid w:val="00924DCC"/>
    <w:rsid w:val="00936ABC"/>
    <w:rsid w:val="0097658E"/>
    <w:rsid w:val="00984F02"/>
    <w:rsid w:val="009C76F0"/>
    <w:rsid w:val="00A3072D"/>
    <w:rsid w:val="00A54DF4"/>
    <w:rsid w:val="00A91236"/>
    <w:rsid w:val="00AA6315"/>
    <w:rsid w:val="00AC5246"/>
    <w:rsid w:val="00AE1669"/>
    <w:rsid w:val="00B770CA"/>
    <w:rsid w:val="00B956AF"/>
    <w:rsid w:val="00C03D52"/>
    <w:rsid w:val="00C14B14"/>
    <w:rsid w:val="00C33F38"/>
    <w:rsid w:val="00C94191"/>
    <w:rsid w:val="00C95EFE"/>
    <w:rsid w:val="00CB04E9"/>
    <w:rsid w:val="00CD6B22"/>
    <w:rsid w:val="00D14538"/>
    <w:rsid w:val="00D57100"/>
    <w:rsid w:val="00D7620F"/>
    <w:rsid w:val="00D90599"/>
    <w:rsid w:val="00D909CA"/>
    <w:rsid w:val="00DC7A1D"/>
    <w:rsid w:val="00DE095E"/>
    <w:rsid w:val="00DE1163"/>
    <w:rsid w:val="00E46758"/>
    <w:rsid w:val="00E47C97"/>
    <w:rsid w:val="00E54363"/>
    <w:rsid w:val="00E5714F"/>
    <w:rsid w:val="00EA2397"/>
    <w:rsid w:val="00ED1C9A"/>
    <w:rsid w:val="00F20A84"/>
    <w:rsid w:val="00F55311"/>
    <w:rsid w:val="00FC438F"/>
    <w:rsid w:val="00FD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E25D25"/>
  <w15:chartTrackingRefBased/>
  <w15:docId w15:val="{49CB178F-55E9-4445-B2B6-895D70253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D0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23687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3687E"/>
    <w:rPr>
      <w:rFonts w:ascii="Calibri" w:hAnsi="Calibri" w:cs="Calibri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23687E"/>
    <w:pPr>
      <w:spacing w:after="0" w:line="240" w:lineRule="auto"/>
      <w:jc w:val="center"/>
    </w:pPr>
    <w:rPr>
      <w:rFonts w:ascii="Calibri" w:hAnsi="Calibri" w:cs="Calibri"/>
      <w:sz w:val="24"/>
      <w:szCs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3687E"/>
    <w:rPr>
      <w:rFonts w:ascii="Calibri" w:hAnsi="Calibri" w:cs="Calibri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3687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3687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3687E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3687E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3687E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3687E"/>
  </w:style>
  <w:style w:type="character" w:styleId="FootnoteReference">
    <w:name w:val="footnote reference"/>
    <w:basedOn w:val="DefaultParagraphFont"/>
    <w:uiPriority w:val="99"/>
    <w:semiHidden/>
    <w:unhideWhenUsed/>
    <w:rsid w:val="0023687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6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687E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3687E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3687E"/>
  </w:style>
  <w:style w:type="character" w:styleId="Hyperlink">
    <w:name w:val="Hyperlink"/>
    <w:basedOn w:val="DefaultParagraphFont"/>
    <w:uiPriority w:val="99"/>
    <w:unhideWhenUsed/>
    <w:rsid w:val="002368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3687E"/>
    <w:pPr>
      <w:spacing w:after="0" w:line="240" w:lineRule="auto"/>
      <w:ind w:left="720"/>
      <w:contextualSpacing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36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3687E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71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King</dc:creator>
  <cp:keywords/>
  <dc:description/>
  <cp:lastModifiedBy>Shannon King</cp:lastModifiedBy>
  <cp:revision>6</cp:revision>
  <dcterms:created xsi:type="dcterms:W3CDTF">2022-12-19T04:28:00Z</dcterms:created>
  <dcterms:modified xsi:type="dcterms:W3CDTF">2023-01-31T03:52:00Z</dcterms:modified>
</cp:coreProperties>
</file>