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sdt>
      <w:sdtPr>
        <w:rPr>
          <w:rFonts w:ascii="宋体" w:hAnsi="宋体" w:eastAsia="宋体"/>
          <w:sz w:val="28"/>
          <w:szCs w:val="28"/>
        </w:rPr>
        <w:id w:val="147471367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 w:eastAsiaTheme="minorEastAsia"/>
          <w:bCs/>
          <w:color w:val="4472C4" w:themeColor="accent1"/>
          <w:sz w:val="21"/>
          <w:szCs w:val="36"/>
          <w14:textFill>
            <w14:solidFill>
              <w14:schemeClr w14:val="accent1"/>
            </w14:solidFill>
          </w14:textFill>
        </w:rPr>
      </w:sdtEndPr>
      <w:sdtContent>
        <w:p>
          <w:pPr>
            <w:jc w:val="center"/>
            <w:rPr>
              <w:rFonts w:ascii="Arial" w:hAnsi="Arial" w:cs="Arial"/>
              <w:b/>
              <w:bCs/>
              <w:sz w:val="22"/>
              <w:szCs w:val="24"/>
            </w:rPr>
          </w:pPr>
          <w:r>
            <w:rPr>
              <w:rFonts w:ascii="Times New Roman" w:hAnsi="Times New Roman" w:cs="Times New Roman"/>
              <w:b/>
              <w:bCs/>
              <w:color w:val="4472C4" w:themeColor="accent1"/>
              <w:sz w:val="28"/>
              <w:szCs w:val="28"/>
              <w14:textFill>
                <w14:solidFill>
                  <w14:schemeClr w14:val="accent1"/>
                </w14:solidFill>
              </w14:textFill>
            </w:rPr>
            <w:t>Supplementary Materials – Content</w:t>
          </w:r>
        </w:p>
        <w:p>
          <w:pPr>
            <w:pStyle w:val="11"/>
            <w:tabs>
              <w:tab w:val="right" w:leader="dot" w:pos="8296"/>
            </w:tabs>
            <w:spacing w:line="360" w:lineRule="auto"/>
            <w:rPr>
              <w:rFonts w:ascii="Arial" w:hAnsi="Arial" w:cs="Arial"/>
              <w:b/>
              <w:bCs/>
              <w:kern w:val="2"/>
              <w:szCs w:val="24"/>
              <w14:ligatures w14:val="standardContextual"/>
            </w:rPr>
          </w:pPr>
          <w:r>
            <w:rPr>
              <w:rFonts w:ascii="Arial" w:hAnsi="Arial" w:cs="Arial"/>
              <w:b/>
              <w:bCs/>
              <w:color w:val="4472C4" w:themeColor="accent1"/>
              <w:sz w:val="44"/>
              <w:szCs w:val="48"/>
              <w14:textFill>
                <w14:solidFill>
                  <w14:schemeClr w14:val="accent1"/>
                </w14:solidFill>
              </w14:textFill>
            </w:rPr>
            <w:fldChar w:fldCharType="begin"/>
          </w:r>
          <w:r>
            <w:rPr>
              <w:rFonts w:ascii="Arial" w:hAnsi="Arial" w:cs="Arial"/>
              <w:b/>
              <w:bCs/>
              <w:color w:val="4472C4" w:themeColor="accent1"/>
              <w:sz w:val="44"/>
              <w:szCs w:val="48"/>
              <w14:textFill>
                <w14:solidFill>
                  <w14:schemeClr w14:val="accent1"/>
                </w14:solidFill>
              </w14:textFill>
            </w:rPr>
            <w:instrText xml:space="preserve">TOC \o "1-3" \h \u </w:instrText>
          </w:r>
          <w:r>
            <w:rPr>
              <w:rFonts w:ascii="Arial" w:hAnsi="Arial" w:cs="Arial"/>
              <w:b/>
              <w:bCs/>
              <w:color w:val="4472C4" w:themeColor="accent1"/>
              <w:sz w:val="44"/>
              <w:szCs w:val="48"/>
              <w14:textFill>
                <w14:solidFill>
                  <w14:schemeClr w14:val="accent1"/>
                </w14:solidFill>
              </w14:textFill>
            </w:rPr>
            <w:fldChar w:fldCharType="separate"/>
          </w:r>
          <w:r>
            <w:fldChar w:fldCharType="begin"/>
          </w:r>
          <w:r>
            <w:instrText xml:space="preserve"> HYPERLINK \l "_Toc146238748" </w:instrText>
          </w:r>
          <w:r>
            <w:fldChar w:fldCharType="separate"/>
          </w:r>
          <w:r>
            <w:rPr>
              <w:rStyle w:val="19"/>
              <w:rFonts w:ascii="Arial" w:hAnsi="Arial" w:cs="Arial"/>
              <w:b/>
              <w:bCs/>
              <w:sz w:val="24"/>
              <w:szCs w:val="24"/>
            </w:rPr>
            <w:t>Supplementary Table 1. The variance inflation factor for all covariates of fully adjust</w:t>
          </w:r>
          <w:r>
            <w:rPr>
              <w:rStyle w:val="19"/>
              <w:rFonts w:hint="eastAsia" w:ascii="Arial" w:hAnsi="Arial" w:cs="Arial"/>
              <w:b/>
              <w:bCs/>
              <w:sz w:val="24"/>
              <w:szCs w:val="24"/>
              <w:lang w:val="en-US" w:eastAsia="zh-CN"/>
            </w:rPr>
            <w:t>e</w:t>
          </w:r>
          <w:r>
            <w:rPr>
              <w:rStyle w:val="19"/>
              <w:rFonts w:ascii="Arial" w:hAnsi="Arial" w:cs="Arial"/>
              <w:b/>
              <w:bCs/>
              <w:sz w:val="24"/>
              <w:szCs w:val="24"/>
            </w:rPr>
            <w:t>d model.</w:t>
          </w:r>
          <w:r>
            <w:rPr>
              <w:rFonts w:ascii="Arial" w:hAnsi="Arial" w:cs="Arial"/>
              <w:b/>
              <w:bCs/>
              <w:sz w:val="24"/>
              <w:szCs w:val="24"/>
            </w:rPr>
            <w:tab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b/>
              <w:bCs/>
              <w:sz w:val="24"/>
              <w:szCs w:val="24"/>
            </w:rPr>
            <w:instrText xml:space="preserve"> PAGEREF _Toc146238748 \h </w:instrTex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b/>
              <w:bCs/>
              <w:sz w:val="24"/>
              <w:szCs w:val="24"/>
            </w:rPr>
            <w:t>1</w: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  <w:p>
          <w:pPr>
            <w:pStyle w:val="11"/>
            <w:tabs>
              <w:tab w:val="right" w:leader="dot" w:pos="8296"/>
            </w:tabs>
            <w:spacing w:line="360" w:lineRule="auto"/>
            <w:rPr>
              <w:rFonts w:ascii="Arial" w:hAnsi="Arial" w:cs="Arial"/>
              <w:b/>
              <w:bCs/>
              <w:kern w:val="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HYPERLINK \l "_Toc146238749" </w:instrText>
          </w:r>
          <w:r>
            <w:fldChar w:fldCharType="separate"/>
          </w:r>
          <w:r>
            <w:rPr>
              <w:rStyle w:val="19"/>
              <w:rFonts w:ascii="Arial" w:hAnsi="Arial" w:cs="Arial"/>
              <w:b/>
              <w:bCs/>
              <w:sz w:val="24"/>
              <w:szCs w:val="24"/>
            </w:rPr>
            <w:t>Supplementary Table 2. The association between various TyG index groups and risk of delirium in the ICU after excluding the in-ICU outcome was death (N=4,138).</w:t>
          </w:r>
          <w:r>
            <w:rPr>
              <w:rFonts w:ascii="Arial" w:hAnsi="Arial" w:cs="Arial"/>
              <w:b/>
              <w:bCs/>
              <w:sz w:val="24"/>
              <w:szCs w:val="24"/>
            </w:rPr>
            <w:tab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b/>
              <w:bCs/>
              <w:sz w:val="24"/>
              <w:szCs w:val="24"/>
            </w:rPr>
            <w:instrText xml:space="preserve"> PAGEREF _Toc146238749 \h </w:instrTex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b/>
              <w:bCs/>
              <w:sz w:val="24"/>
              <w:szCs w:val="24"/>
            </w:rPr>
            <w:t>3</w: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  <w:p>
          <w:pPr>
            <w:pStyle w:val="11"/>
            <w:tabs>
              <w:tab w:val="right" w:leader="dot" w:pos="8296"/>
            </w:tabs>
            <w:spacing w:line="360" w:lineRule="auto"/>
            <w:rPr>
              <w:rFonts w:ascii="Arial" w:hAnsi="Arial" w:cs="Arial"/>
              <w:b/>
              <w:bCs/>
              <w:kern w:val="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HYPERLINK \l "_Toc146238750" </w:instrText>
          </w:r>
          <w:r>
            <w:fldChar w:fldCharType="separate"/>
          </w:r>
          <w:r>
            <w:rPr>
              <w:rStyle w:val="19"/>
              <w:rFonts w:ascii="Arial" w:hAnsi="Arial" w:cs="Arial"/>
              <w:b/>
              <w:bCs/>
              <w:sz w:val="24"/>
              <w:szCs w:val="24"/>
            </w:rPr>
            <w:t>Supplementary Table 3. The association between various TyG index groups and risk of delirium in the ICU after excluding patients with sepsis (N=3,639).</w:t>
          </w:r>
          <w:r>
            <w:rPr>
              <w:rFonts w:ascii="Arial" w:hAnsi="Arial" w:cs="Arial"/>
              <w:b/>
              <w:bCs/>
              <w:sz w:val="24"/>
              <w:szCs w:val="24"/>
            </w:rPr>
            <w:tab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b/>
              <w:bCs/>
              <w:sz w:val="24"/>
              <w:szCs w:val="24"/>
            </w:rPr>
            <w:instrText xml:space="preserve"> PAGEREF _Toc146238750 \h </w:instrTex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b/>
              <w:bCs/>
              <w:sz w:val="24"/>
              <w:szCs w:val="24"/>
            </w:rPr>
            <w:t>4</w: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  <w:p>
          <w:pPr>
            <w:pStyle w:val="11"/>
            <w:tabs>
              <w:tab w:val="right" w:leader="dot" w:pos="8296"/>
            </w:tabs>
            <w:spacing w:line="360" w:lineRule="auto"/>
            <w:rPr>
              <w:rFonts w:ascii="Arial" w:hAnsi="Arial" w:cs="Arial"/>
              <w:b/>
              <w:bCs/>
              <w:kern w:val="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HYPERLINK \l "_Toc146238751" </w:instrText>
          </w:r>
          <w:r>
            <w:fldChar w:fldCharType="separate"/>
          </w:r>
          <w:r>
            <w:rPr>
              <w:rStyle w:val="19"/>
              <w:rFonts w:ascii="Arial" w:hAnsi="Arial" w:cs="Arial"/>
              <w:b/>
              <w:bCs/>
              <w:sz w:val="24"/>
              <w:szCs w:val="24"/>
            </w:rPr>
            <w:t>Supplementary Table 4. The association between various TyG index groups and risk of delirium in the ICU after excluding patients with diabetes (N=3,058).</w:t>
          </w:r>
          <w:r>
            <w:rPr>
              <w:rFonts w:ascii="Arial" w:hAnsi="Arial" w:cs="Arial"/>
              <w:b/>
              <w:bCs/>
              <w:sz w:val="24"/>
              <w:szCs w:val="24"/>
            </w:rPr>
            <w:tab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b/>
              <w:bCs/>
              <w:sz w:val="24"/>
              <w:szCs w:val="24"/>
            </w:rPr>
            <w:instrText xml:space="preserve"> PAGEREF _Toc146238751 \h </w:instrTex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b/>
              <w:bCs/>
              <w:sz w:val="24"/>
              <w:szCs w:val="24"/>
            </w:rPr>
            <w:t>5</w: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  <w:p>
          <w:pPr>
            <w:pStyle w:val="11"/>
            <w:tabs>
              <w:tab w:val="right" w:leader="dot" w:pos="8296"/>
            </w:tabs>
            <w:spacing w:line="360" w:lineRule="auto"/>
            <w:rPr>
              <w:rFonts w:ascii="Arial" w:hAnsi="Arial" w:cs="Arial"/>
              <w:b/>
              <w:bCs/>
              <w:kern w:val="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HYPERLINK \l "_Toc146238752" </w:instrText>
          </w:r>
          <w:r>
            <w:fldChar w:fldCharType="separate"/>
          </w:r>
          <w:r>
            <w:rPr>
              <w:rStyle w:val="19"/>
              <w:rFonts w:ascii="Arial" w:hAnsi="Arial" w:cs="Arial"/>
              <w:b/>
              <w:bCs/>
              <w:sz w:val="24"/>
              <w:szCs w:val="24"/>
            </w:rPr>
            <w:t>Supplementary Table 5. The association between TyG index groups and risk of delirium in the ICU after propensity score matching (N=3,494).</w:t>
          </w:r>
          <w:r>
            <w:rPr>
              <w:rFonts w:ascii="Arial" w:hAnsi="Arial" w:cs="Arial"/>
              <w:b/>
              <w:bCs/>
              <w:sz w:val="24"/>
              <w:szCs w:val="24"/>
            </w:rPr>
            <w:tab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b/>
              <w:bCs/>
              <w:sz w:val="24"/>
              <w:szCs w:val="24"/>
            </w:rPr>
            <w:instrText xml:space="preserve"> PAGEREF _Toc146238752 \h </w:instrTex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b/>
              <w:bCs/>
              <w:sz w:val="24"/>
              <w:szCs w:val="24"/>
            </w:rPr>
            <w:t>6</w: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  <w:p>
          <w:pPr>
            <w:pStyle w:val="11"/>
            <w:tabs>
              <w:tab w:val="right" w:leader="dot" w:pos="8296"/>
            </w:tabs>
            <w:spacing w:line="360" w:lineRule="auto"/>
            <w:rPr>
              <w:rFonts w:ascii="Arial" w:hAnsi="Arial" w:cs="Arial"/>
              <w:b/>
              <w:bCs/>
              <w:kern w:val="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HYPERLINK \l "_Toc146238753" </w:instrText>
          </w:r>
          <w:r>
            <w:fldChar w:fldCharType="separate"/>
          </w:r>
          <w:r>
            <w:rPr>
              <w:rStyle w:val="19"/>
              <w:rFonts w:ascii="Arial" w:hAnsi="Arial" w:cs="Arial"/>
              <w:b/>
              <w:bCs/>
              <w:sz w:val="24"/>
              <w:szCs w:val="24"/>
            </w:rPr>
            <w:t>Supplementary Table 6. The baseline clinical characteristics of the patients after propensity score matching in both TyG groups were analyzed.</w:t>
          </w:r>
          <w:r>
            <w:rPr>
              <w:rFonts w:ascii="Arial" w:hAnsi="Arial" w:cs="Arial"/>
              <w:b/>
              <w:bCs/>
              <w:sz w:val="24"/>
              <w:szCs w:val="24"/>
            </w:rPr>
            <w:tab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b/>
              <w:bCs/>
              <w:sz w:val="24"/>
              <w:szCs w:val="24"/>
            </w:rPr>
            <w:instrText xml:space="preserve"> PAGEREF _Toc146238753 \h </w:instrTex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b/>
              <w:bCs/>
              <w:sz w:val="24"/>
              <w:szCs w:val="24"/>
            </w:rPr>
            <w:t>7</w: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  <w:p>
          <w:pPr>
            <w:pStyle w:val="11"/>
            <w:tabs>
              <w:tab w:val="right" w:leader="dot" w:pos="8296"/>
            </w:tabs>
            <w:spacing w:line="360" w:lineRule="auto"/>
            <w:rPr>
              <w:rFonts w:ascii="Arial" w:hAnsi="Arial" w:cs="Arial"/>
              <w:b/>
              <w:bCs/>
              <w:kern w:val="2"/>
              <w:szCs w:val="24"/>
              <w14:ligatures w14:val="standardContextual"/>
            </w:rPr>
          </w:pPr>
          <w:r>
            <w:fldChar w:fldCharType="begin"/>
          </w:r>
          <w:r>
            <w:instrText xml:space="preserve"> HYPERLINK \l "_Toc146238754" </w:instrText>
          </w:r>
          <w:r>
            <w:fldChar w:fldCharType="separate"/>
          </w:r>
          <w:r>
            <w:rPr>
              <w:rStyle w:val="19"/>
              <w:rFonts w:ascii="Arial" w:hAnsi="Arial" w:cs="Arial"/>
              <w:b/>
              <w:bCs/>
              <w:sz w:val="24"/>
              <w:szCs w:val="24"/>
            </w:rPr>
            <w:t>Supplementary Table 7. Subgroup analyses for the association of TyG index with the risk of delirium in ICU patients aged 65 and above.</w:t>
          </w:r>
          <w:r>
            <w:rPr>
              <w:rFonts w:ascii="Arial" w:hAnsi="Arial" w:cs="Arial"/>
              <w:b/>
              <w:bCs/>
              <w:sz w:val="24"/>
              <w:szCs w:val="24"/>
            </w:rPr>
            <w:tab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b/>
              <w:bCs/>
              <w:sz w:val="24"/>
              <w:szCs w:val="24"/>
            </w:rPr>
            <w:instrText xml:space="preserve"> PAGEREF _Toc146238754 \h </w:instrTex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b/>
              <w:bCs/>
              <w:sz w:val="24"/>
              <w:szCs w:val="24"/>
            </w:rPr>
            <w:t>9</w: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  <w:p>
          <w:pPr>
            <w:pStyle w:val="11"/>
            <w:tabs>
              <w:tab w:val="right" w:leader="dot" w:pos="8296"/>
            </w:tabs>
            <w:spacing w:line="360" w:lineRule="auto"/>
            <w:rPr>
              <w:rFonts w:cstheme="minorBidi"/>
              <w:kern w:val="2"/>
              <w:sz w:val="21"/>
              <w14:ligatures w14:val="standardContextual"/>
            </w:rPr>
          </w:pPr>
          <w:r>
            <w:fldChar w:fldCharType="begin"/>
          </w:r>
          <w:r>
            <w:instrText xml:space="preserve"> HYPERLINK \l "_Toc146238755" </w:instrText>
          </w:r>
          <w:r>
            <w:fldChar w:fldCharType="separate"/>
          </w:r>
          <w:r>
            <w:rPr>
              <w:rStyle w:val="19"/>
              <w:rFonts w:ascii="Arial" w:hAnsi="Arial" w:cs="Arial"/>
              <w:b/>
              <w:bCs/>
              <w:sz w:val="24"/>
              <w:szCs w:val="24"/>
            </w:rPr>
            <w:t xml:space="preserve">Supplementary Figure 1. Kaplan-Meier analysis showed the cumulative incidence of mortality at 30 days, 90 days, and </w:t>
          </w:r>
          <w:r>
            <w:rPr>
              <w:rStyle w:val="19"/>
              <w:rFonts w:hint="eastAsia" w:ascii="Arial" w:hAnsi="Arial" w:cs="Arial"/>
              <w:b/>
              <w:bCs/>
              <w:sz w:val="24"/>
              <w:szCs w:val="24"/>
              <w:lang w:val="en-US" w:eastAsia="zh-CN"/>
            </w:rPr>
            <w:t>360 days</w:t>
          </w:r>
          <w:r>
            <w:rPr>
              <w:rStyle w:val="19"/>
              <w:rFonts w:ascii="Arial" w:hAnsi="Arial" w:cs="Arial"/>
              <w:b/>
              <w:bCs/>
              <w:sz w:val="24"/>
              <w:szCs w:val="24"/>
            </w:rPr>
            <w:t xml:space="preserve"> after delirium in ICU patients aged 65 and above with TyG index.</w:t>
          </w:r>
          <w:r>
            <w:rPr>
              <w:rFonts w:ascii="Arial" w:hAnsi="Arial" w:cs="Arial"/>
              <w:b/>
              <w:bCs/>
              <w:sz w:val="24"/>
              <w:szCs w:val="24"/>
            </w:rPr>
            <w:tab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begin"/>
          </w:r>
          <w:r>
            <w:rPr>
              <w:rFonts w:ascii="Arial" w:hAnsi="Arial" w:cs="Arial"/>
              <w:b/>
              <w:bCs/>
              <w:sz w:val="24"/>
              <w:szCs w:val="24"/>
            </w:rPr>
            <w:instrText xml:space="preserve"> PAGEREF _Toc146238755 \h </w:instrTex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separate"/>
          </w:r>
          <w:r>
            <w:rPr>
              <w:rFonts w:ascii="Arial" w:hAnsi="Arial" w:cs="Arial"/>
              <w:b/>
              <w:bCs/>
              <w:sz w:val="24"/>
              <w:szCs w:val="24"/>
            </w:rPr>
            <w:t>10</w:t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  <w:r>
            <w:rPr>
              <w:rFonts w:ascii="Arial" w:hAnsi="Arial" w:cs="Arial"/>
              <w:b/>
              <w:bCs/>
              <w:sz w:val="24"/>
              <w:szCs w:val="24"/>
            </w:rPr>
            <w:fldChar w:fldCharType="end"/>
          </w:r>
        </w:p>
        <w:p>
          <w:pPr>
            <w:rPr>
              <w:rFonts w:ascii="Times New Roman" w:hAnsi="Times New Roman" w:cs="Times New Roman"/>
              <w:bCs/>
              <w:color w:val="4472C4" w:themeColor="accent1"/>
              <w:szCs w:val="36"/>
              <w14:textFill>
                <w14:solidFill>
                  <w14:schemeClr w14:val="accent1"/>
                </w14:solidFill>
              </w14:textFill>
            </w:rPr>
          </w:pPr>
          <w:r>
            <w:rPr>
              <w:rFonts w:ascii="Arial" w:hAnsi="Arial" w:cs="Arial"/>
              <w:bCs/>
              <w:color w:val="4472C4" w:themeColor="accent1"/>
              <w:szCs w:val="48"/>
              <w14:textFill>
                <w14:solidFill>
                  <w14:schemeClr w14:val="accent1"/>
                </w14:solidFill>
              </w14:textFill>
            </w:rPr>
            <w:fldChar w:fldCharType="end"/>
          </w:r>
        </w:p>
      </w:sdtContent>
    </w:sdt>
    <w:p>
      <w:pPr>
        <w:rPr>
          <w:rFonts w:ascii="Times New Roman" w:hAnsi="Times New Roman" w:cs="Times New Roman"/>
          <w:bCs/>
          <w:color w:val="4472C4" w:themeColor="accent1"/>
          <w:szCs w:val="36"/>
          <w14:textFill>
            <w14:solidFill>
              <w14:schemeClr w14:val="accent1"/>
            </w14:solidFill>
          </w14:textFill>
        </w:rPr>
      </w:pPr>
      <w:bookmarkStart w:id="0" w:name="_Hlk134539371"/>
      <w:bookmarkStart w:id="1" w:name="_Hlk128564019"/>
    </w:p>
    <w:p>
      <w:pPr>
        <w:rPr>
          <w:rFonts w:ascii="Times New Roman" w:hAnsi="Times New Roman" w:cs="Times New Roman"/>
          <w:bCs/>
          <w:color w:val="4472C4" w:themeColor="accent1"/>
          <w:szCs w:val="36"/>
          <w14:textFill>
            <w14:solidFill>
              <w14:schemeClr w14:val="accent1"/>
            </w14:solidFill>
          </w14:textFill>
        </w:rPr>
      </w:pPr>
    </w:p>
    <w:p>
      <w:pPr>
        <w:widowControl/>
        <w:jc w:val="left"/>
        <w:rPr>
          <w:rFonts w:ascii="Times New Roman" w:hAnsi="Times New Roman" w:cs="Times New Roman"/>
          <w:bCs/>
          <w:color w:val="4472C4" w:themeColor="accent1"/>
          <w:szCs w:val="36"/>
          <w14:textFill>
            <w14:solidFill>
              <w14:schemeClr w14:val="accent1"/>
            </w14:solidFill>
          </w14:textFill>
        </w:rPr>
      </w:pPr>
    </w:p>
    <w:p>
      <w:pPr>
        <w:pStyle w:val="2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2" w:name="_Toc146238748"/>
      <w:r>
        <w:rPr>
          <w:rFonts w:ascii="Times New Roman" w:hAnsi="Times New Roman" w:cs="Times New Roman"/>
          <w:sz w:val="24"/>
          <w:szCs w:val="24"/>
        </w:rPr>
        <w:t xml:space="preserve">Supplementary Table 1.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The variance inflation factor for all covariates of fully adjusted model.</w:t>
      </w:r>
      <w:bookmarkEnd w:id="2"/>
    </w:p>
    <w:tbl>
      <w:tblPr>
        <w:tblStyle w:val="1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4"/>
        <w:gridCol w:w="414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16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Variable</w:t>
            </w:r>
          </w:p>
        </w:tc>
        <w:tc>
          <w:tcPr>
            <w:tcW w:w="4142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VIF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  <w:tcBorders>
              <w:top w:val="single" w:color="auto" w:sz="4" w:space="0"/>
            </w:tcBorders>
          </w:tcPr>
          <w:p>
            <w:pPr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Sex</w:t>
            </w:r>
          </w:p>
        </w:tc>
        <w:tc>
          <w:tcPr>
            <w:tcW w:w="4142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1.076033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Age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1.004415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Albumin, g/dL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1.332620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Serum sodium, mEq/L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38949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  <w:vAlign w:val="center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Serum potassium, mEq/L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/>
              </w:rPr>
              <w:t>07668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>Creatinine, mg/dL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412066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 xml:space="preserve">WBC,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/L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1.055</w:t>
            </w:r>
            <w:r>
              <w:rPr>
                <w:rFonts w:ascii="Times New Roman" w:hAnsi="Times New Roman" w:cs="Times New Roman"/>
              </w:rPr>
              <w:t>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eastAsia="宋体" w:cs="Times New Roman"/>
                <w:color w:val="000000"/>
                <w:kern w:val="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 xml:space="preserve">RBC,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/L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.227770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</w:rPr>
              <w:t xml:space="preserve">Platelet,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/L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1.0</w:t>
            </w:r>
            <w:r>
              <w:rPr>
                <w:rFonts w:ascii="Times New Roman" w:hAnsi="Times New Roman" w:cs="Times New Roman"/>
              </w:rPr>
              <w:t>91687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Chronic pulmonary disease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1.050</w:t>
            </w:r>
            <w:r>
              <w:rPr>
                <w:rFonts w:ascii="Times New Roman" w:hAnsi="Times New Roman" w:cs="Times New Roman"/>
              </w:rPr>
              <w:t>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Liver disease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1.08</w:t>
            </w:r>
            <w:r>
              <w:rPr>
                <w:rFonts w:ascii="Times New Roman" w:hAnsi="Times New Roman" w:cs="Times New Roman"/>
              </w:rPr>
              <w:t>4190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Cerebrovascular disease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301132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Renal disease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854796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Hypertension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616361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Malignant cancer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1.08</w:t>
            </w:r>
            <w:r>
              <w:rPr>
                <w:rFonts w:ascii="Times New Roman" w:hAnsi="Times New Roman" w:cs="Times New Roman"/>
              </w:rPr>
              <w:t>9775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Diabetes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1.16</w:t>
            </w:r>
            <w:r>
              <w:rPr>
                <w:rFonts w:ascii="Times New Roman" w:hAnsi="Times New Roman" w:cs="Times New Roman"/>
              </w:rPr>
              <w:t>0272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Myocardial infarct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1.100</w:t>
            </w:r>
            <w:r>
              <w:rPr>
                <w:rFonts w:ascii="Times New Roman" w:hAnsi="Times New Roman" w:cs="Times New Roman"/>
              </w:rPr>
              <w:t>168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Sepsis</w:t>
            </w:r>
          </w:p>
        </w:tc>
        <w:tc>
          <w:tcPr>
            <w:tcW w:w="414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.223566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164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>
              <w:rPr>
                <w:rFonts w:hint="eastAsia" w:ascii="Times New Roman" w:hAnsi="Times New Roman" w:cs="Times New Roman"/>
              </w:rPr>
              <w:t>o</w:t>
            </w:r>
            <w:r>
              <w:rPr>
                <w:rFonts w:ascii="Times New Roman" w:hAnsi="Times New Roman" w:cs="Times New Roman"/>
              </w:rPr>
              <w:t>ngestive heart failure</w:t>
            </w:r>
          </w:p>
        </w:tc>
        <w:tc>
          <w:tcPr>
            <w:tcW w:w="4142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1.233313</w:t>
            </w:r>
          </w:p>
        </w:tc>
      </w:tr>
    </w:tbl>
    <w:p>
      <w:pPr>
        <w:pStyle w:val="8"/>
      </w:pPr>
      <w:r>
        <w:rPr>
          <w:rFonts w:ascii="Times New Roman" w:hAnsi="Times New Roman" w:cs="Times New Roman"/>
          <w:b/>
          <w:bCs/>
        </w:rPr>
        <w:t>Abbreviations:</w:t>
      </w:r>
      <w:r>
        <w:rPr>
          <w:rFonts w:ascii="Times New Roman" w:hAnsi="Times New Roman"/>
        </w:rPr>
        <w:t xml:space="preserve"> VIF, </w:t>
      </w:r>
      <w:r>
        <w:rPr>
          <w:rFonts w:ascii="Times New Roman" w:hAnsi="Times New Roman"/>
          <w:szCs w:val="21"/>
        </w:rPr>
        <w:t>Variance inflation factor;</w:t>
      </w:r>
      <w:r>
        <w:rPr>
          <w:rFonts w:hint="eastAsia" w:ascii="Times New Roman" w:hAnsi="Times New Roman" w:eastAsia="宋体" w:cs="Times New Roman"/>
          <w:color w:val="000000"/>
          <w:kern w:val="0"/>
          <w:sz w:val="22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22"/>
        </w:rPr>
        <w:t>WBC, White cell count; RBC,</w:t>
      </w:r>
      <w: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22"/>
        </w:rPr>
        <w:t>Red cell count</w:t>
      </w:r>
    </w:p>
    <w:p>
      <w:pPr>
        <w:rPr>
          <w:rFonts w:ascii="Arial" w:hAnsi="Arial" w:cs="Arial"/>
          <w:sz w:val="22"/>
          <w:szCs w:val="24"/>
        </w:rPr>
      </w:pPr>
    </w:p>
    <w:p>
      <w:pPr>
        <w:rPr>
          <w:rFonts w:ascii="Arial" w:hAnsi="Arial" w:cs="Arial"/>
          <w:sz w:val="22"/>
          <w:szCs w:val="24"/>
        </w:rPr>
      </w:pPr>
    </w:p>
    <w:p>
      <w:pPr>
        <w:widowControl/>
        <w:jc w:val="left"/>
        <w:rPr>
          <w:rFonts w:ascii="Arial" w:hAnsi="Arial" w:cs="Arial"/>
          <w:b/>
          <w:kern w:val="44"/>
          <w:sz w:val="24"/>
          <w:szCs w:val="15"/>
        </w:rPr>
      </w:pPr>
      <w:r>
        <w:rPr>
          <w:rFonts w:ascii="Arial" w:hAnsi="Arial" w:cs="Arial"/>
          <w:sz w:val="24"/>
          <w:szCs w:val="15"/>
        </w:rPr>
        <w:br w:type="page"/>
      </w:r>
    </w:p>
    <w:p>
      <w:pPr>
        <w:pStyle w:val="2"/>
        <w:rPr>
          <w:rFonts w:ascii="Times New Roman" w:hAnsi="Times New Roman" w:cs="Times New Roman"/>
          <w:b w:val="0"/>
          <w:bCs/>
          <w:sz w:val="24"/>
          <w:szCs w:val="15"/>
        </w:rPr>
      </w:pPr>
      <w:bookmarkStart w:id="3" w:name="_Toc146238749"/>
      <w:r>
        <w:rPr>
          <w:rFonts w:ascii="Times New Roman" w:hAnsi="Times New Roman" w:cs="Times New Roman"/>
          <w:sz w:val="24"/>
          <w:szCs w:val="24"/>
        </w:rPr>
        <w:t>Supplementary</w:t>
      </w:r>
      <w:r>
        <w:rPr>
          <w:rFonts w:ascii="Times New Roman" w:hAnsi="Times New Roman" w:cs="Times New Roman"/>
          <w:sz w:val="24"/>
          <w:szCs w:val="15"/>
        </w:rPr>
        <w:t xml:space="preserve"> Table 2. </w:t>
      </w:r>
      <w:r>
        <w:rPr>
          <w:rFonts w:ascii="Times New Roman" w:hAnsi="Times New Roman" w:cs="Times New Roman"/>
          <w:b w:val="0"/>
          <w:bCs/>
          <w:sz w:val="24"/>
          <w:szCs w:val="15"/>
        </w:rPr>
        <w:t>The association between various TyG index groups and risk of delirium in the ICU after excluding the in-ICU outcome was death</w:t>
      </w:r>
      <w:r>
        <w:rPr>
          <w:rFonts w:hint="eastAsia" w:ascii="Times New Roman" w:hAnsi="Times New Roman" w:cs="Times New Roman"/>
          <w:b w:val="0"/>
          <w:bCs/>
          <w:sz w:val="24"/>
          <w:szCs w:val="15"/>
        </w:rPr>
        <w:t xml:space="preserve"> (</w:t>
      </w:r>
      <w:r>
        <w:rPr>
          <w:rFonts w:ascii="Times New Roman" w:hAnsi="Times New Roman" w:cs="Times New Roman"/>
          <w:b w:val="0"/>
          <w:bCs/>
          <w:sz w:val="24"/>
          <w:szCs w:val="15"/>
        </w:rPr>
        <w:t>N=4,138</w:t>
      </w:r>
      <w:r>
        <w:rPr>
          <w:rFonts w:hint="eastAsia" w:ascii="Times New Roman" w:hAnsi="Times New Roman" w:cs="Times New Roman"/>
          <w:b w:val="0"/>
          <w:bCs/>
          <w:sz w:val="24"/>
          <w:szCs w:val="15"/>
        </w:rPr>
        <w:t>)</w:t>
      </w:r>
      <w:r>
        <w:rPr>
          <w:rFonts w:ascii="Times New Roman" w:hAnsi="Times New Roman" w:cs="Times New Roman"/>
          <w:b w:val="0"/>
          <w:bCs/>
          <w:sz w:val="24"/>
          <w:szCs w:val="15"/>
        </w:rPr>
        <w:t>.</w:t>
      </w:r>
      <w:bookmarkEnd w:id="3"/>
    </w:p>
    <w:tbl>
      <w:tblPr>
        <w:tblStyle w:val="16"/>
        <w:tblW w:w="10915" w:type="dxa"/>
        <w:tblInd w:w="-127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3"/>
        <w:gridCol w:w="1975"/>
        <w:gridCol w:w="994"/>
        <w:gridCol w:w="1984"/>
        <w:gridCol w:w="993"/>
        <w:gridCol w:w="1984"/>
        <w:gridCol w:w="99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2969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Model </w:t>
            </w:r>
            <w:r>
              <w:rPr>
                <w:rFonts w:hint="eastAsia" w:ascii="Times New Roman" w:hAnsi="Times New Roman" w:cs="Times New Roman"/>
                <w:b/>
                <w:bCs/>
              </w:rPr>
              <w:t>1</w:t>
            </w:r>
          </w:p>
        </w:tc>
        <w:tc>
          <w:tcPr>
            <w:tcW w:w="2977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Model </w:t>
            </w:r>
            <w:r>
              <w:rPr>
                <w:rFonts w:hint="eastAsia" w:ascii="Times New Roman" w:hAnsi="Times New Roman" w:cs="Times New Roman"/>
                <w:b/>
                <w:bCs/>
              </w:rPr>
              <w:t>2</w:t>
            </w:r>
          </w:p>
        </w:tc>
        <w:tc>
          <w:tcPr>
            <w:tcW w:w="2976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Model </w:t>
            </w:r>
            <w:r>
              <w:rPr>
                <w:rFonts w:hint="eastAsia" w:ascii="Times New Roman" w:hAnsi="Times New Roman" w:cs="Times New Roman"/>
                <w:b/>
                <w:bCs/>
              </w:rPr>
              <w:t>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OR(95%CI)</w:t>
            </w:r>
          </w:p>
        </w:tc>
        <w:tc>
          <w:tcPr>
            <w:tcW w:w="99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OR(95%CI)</w:t>
            </w:r>
          </w:p>
        </w:tc>
        <w:tc>
          <w:tcPr>
            <w:tcW w:w="993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198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OR(95%CI)</w:t>
            </w:r>
          </w:p>
        </w:tc>
        <w:tc>
          <w:tcPr>
            <w:tcW w:w="992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</w:rPr>
              <w:t>TyG index</w:t>
            </w:r>
            <w:r>
              <w:rPr>
                <w:rFonts w:ascii="Times New Roman" w:hAnsi="Times New Roman" w:eastAsia="等线" w:cs="Times New Roman"/>
                <w:sz w:val="22"/>
                <w:szCs w:val="24"/>
                <w:vertAlign w:val="superscript"/>
              </w:rPr>
              <w:t>*</w:t>
            </w:r>
          </w:p>
        </w:tc>
        <w:tc>
          <w:tcPr>
            <w:tcW w:w="1975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eastAsia" w:ascii="Times New Roman" w:hAnsi="Times New Roman" w:cs="Times New Roman"/>
              </w:rPr>
              <w:t>299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</w:t>
            </w:r>
            <w:r>
              <w:rPr>
                <w:rFonts w:hint="eastAsia" w:ascii="Times New Roman" w:hAnsi="Times New Roman" w:cs="Times New Roman"/>
              </w:rPr>
              <w:t>192</w:t>
            </w:r>
            <w:r>
              <w:rPr>
                <w:rFonts w:ascii="Times New Roman" w:hAnsi="Times New Roman" w:cs="Times New Roman"/>
              </w:rPr>
              <w:t>-1.</w:t>
            </w:r>
            <w:r>
              <w:rPr>
                <w:rFonts w:hint="eastAsia" w:ascii="Times New Roman" w:hAnsi="Times New Roman" w:cs="Times New Roman"/>
              </w:rPr>
              <w:t>417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8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1.288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</w:t>
            </w:r>
            <w:r>
              <w:rPr>
                <w:rFonts w:hint="eastAsia" w:ascii="Times New Roman" w:hAnsi="Times New Roman" w:cs="Times New Roman"/>
              </w:rPr>
              <w:t>181</w:t>
            </w:r>
            <w:r>
              <w:rPr>
                <w:rFonts w:ascii="Times New Roman" w:hAnsi="Times New Roman" w:cs="Times New Roman"/>
              </w:rPr>
              <w:t>-1.</w:t>
            </w:r>
            <w:r>
              <w:rPr>
                <w:rFonts w:hint="eastAsia" w:ascii="Times New Roman" w:hAnsi="Times New Roman" w:cs="Times New Roman"/>
              </w:rPr>
              <w:t>406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8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eastAsia" w:ascii="Times New Roman" w:hAnsi="Times New Roman" w:cs="Times New Roman"/>
              </w:rPr>
              <w:t>370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</w:t>
            </w:r>
            <w:r>
              <w:rPr>
                <w:rFonts w:hint="eastAsia" w:ascii="Times New Roman" w:hAnsi="Times New Roman" w:cs="Times New Roman"/>
              </w:rPr>
              <w:t>246</w:t>
            </w:r>
            <w:r>
              <w:rPr>
                <w:rFonts w:ascii="Times New Roman" w:hAnsi="Times New Roman" w:cs="Times New Roman"/>
              </w:rPr>
              <w:t>-1.</w:t>
            </w:r>
            <w:r>
              <w:rPr>
                <w:rFonts w:hint="eastAsia" w:ascii="Times New Roman" w:hAnsi="Times New Roman" w:cs="Times New Roman"/>
              </w:rPr>
              <w:t>509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915" w:type="dxa"/>
            <w:gridSpan w:val="7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</w:rPr>
              <w:t>TyG</w:t>
            </w:r>
            <w:r>
              <w:rPr>
                <w:rFonts w:hint="eastAsia" w:ascii="宋体" w:hAnsi="宋体" w:eastAsia="宋体" w:cs="宋体"/>
                <w:sz w:val="22"/>
                <w:szCs w:val="24"/>
                <w:vertAlign w:val="superscript"/>
              </w:rPr>
              <w:t>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</w:t>
            </w: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8.91</w:t>
            </w: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75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Reference)</w:t>
            </w:r>
          </w:p>
        </w:tc>
        <w:tc>
          <w:tcPr>
            <w:tcW w:w="99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Reference)</w:t>
            </w:r>
          </w:p>
        </w:tc>
        <w:tc>
          <w:tcPr>
            <w:tcW w:w="993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Reference)</w:t>
            </w:r>
          </w:p>
        </w:tc>
        <w:tc>
          <w:tcPr>
            <w:tcW w:w="992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93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</w:t>
            </w: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/>
              </w:rPr>
              <w:t>8.91</w:t>
            </w: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7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eastAsia" w:ascii="Times New Roman" w:hAnsi="Times New Roman" w:cs="Times New Roman"/>
              </w:rPr>
              <w:t>253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</w:t>
            </w:r>
            <w:r>
              <w:rPr>
                <w:rFonts w:hint="eastAsia" w:ascii="Times New Roman" w:hAnsi="Times New Roman" w:cs="Times New Roman"/>
              </w:rPr>
              <w:t>108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hint="eastAsia" w:ascii="Times New Roman" w:hAnsi="Times New Roman" w:cs="Times New Roman"/>
              </w:rPr>
              <w:t>1.417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4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84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eastAsia" w:ascii="Times New Roman" w:hAnsi="Times New Roman" w:cs="Times New Roman"/>
              </w:rPr>
              <w:t>239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(1.0</w:t>
            </w:r>
            <w:r>
              <w:rPr>
                <w:rFonts w:hint="eastAsia" w:ascii="Times New Roman" w:hAnsi="Times New Roman" w:cs="Times New Roman"/>
              </w:rPr>
              <w:t>94</w:t>
            </w:r>
            <w:r>
              <w:rPr>
                <w:rFonts w:ascii="Times New Roman" w:hAnsi="Times New Roman" w:cs="Times New Roman"/>
              </w:rPr>
              <w:t>-1.</w:t>
            </w:r>
            <w:r>
              <w:rPr>
                <w:rFonts w:hint="eastAsia" w:ascii="Times New Roman" w:hAnsi="Times New Roman" w:cs="Times New Roman"/>
              </w:rPr>
              <w:t>403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3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84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hint="eastAsia" w:ascii="Times New Roman" w:hAnsi="Times New Roman" w:cs="Times New Roman"/>
              </w:rPr>
              <w:t>328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</w:t>
            </w:r>
            <w:r>
              <w:rPr>
                <w:rFonts w:hint="eastAsia" w:ascii="Times New Roman" w:hAnsi="Times New Roman" w:cs="Times New Roman"/>
              </w:rPr>
              <w:t>161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hint="eastAsia" w:ascii="Times New Roman" w:hAnsi="Times New Roman" w:cs="Times New Roman"/>
              </w:rPr>
              <w:t>1.520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992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</w:tbl>
    <w:p>
      <w:pPr>
        <w:widowControl/>
        <w:jc w:val="left"/>
        <w:rPr>
          <w:rFonts w:ascii="Times New Roman" w:hAnsi="Times New Roman" w:cs="Times New Roman"/>
          <w:sz w:val="24"/>
          <w:szCs w:val="15"/>
        </w:rPr>
      </w:pPr>
      <w:r>
        <w:rPr>
          <w:rFonts w:ascii="Times New Roman" w:hAnsi="Times New Roman" w:cs="Times New Roman"/>
          <w:sz w:val="24"/>
          <w:szCs w:val="15"/>
        </w:rPr>
        <w:t xml:space="preserve">  </w:t>
      </w:r>
    </w:p>
    <w:p>
      <w:pPr>
        <w:pStyle w:val="8"/>
        <w:spacing w:line="360" w:lineRule="auto"/>
        <w:jc w:val="both"/>
        <w:rPr>
          <w:rFonts w:ascii="Times New Roman" w:hAnsi="Times New Roman"/>
          <w:sz w:val="21"/>
          <w:szCs w:val="21"/>
        </w:rPr>
      </w:pPr>
      <w:bookmarkStart w:id="4" w:name="OLE_LINK4"/>
      <w:r>
        <w:rPr>
          <w:rFonts w:hint="eastAsia" w:ascii="Times New Roman" w:hAnsi="Times New Roman"/>
          <w:b/>
          <w:bCs/>
        </w:rPr>
        <w:t>N</w:t>
      </w:r>
      <w:r>
        <w:rPr>
          <w:rFonts w:ascii="Times New Roman" w:hAnsi="Times New Roman"/>
          <w:b/>
          <w:bCs/>
        </w:rPr>
        <w:t xml:space="preserve">otes: </w:t>
      </w:r>
      <w:r>
        <w:rPr>
          <w:rFonts w:ascii="Times New Roman" w:hAnsi="Times New Roman" w:eastAsia="等线" w:cs="Times New Roman"/>
          <w:sz w:val="22"/>
          <w:szCs w:val="24"/>
        </w:rPr>
        <w:t>#</w:t>
      </w:r>
      <w:r>
        <w:rPr>
          <w:rFonts w:ascii="Times New Roman" w:hAnsi="Times New Roman"/>
          <w:sz w:val="21"/>
          <w:szCs w:val="21"/>
        </w:rPr>
        <w:t>Stands for</w:t>
      </w:r>
      <w:r>
        <w:rPr>
          <w:rFonts w:ascii="Times New Roman" w:hAnsi="Times New Roman" w:cs="Times New Roman"/>
          <w:sz w:val="21"/>
          <w:szCs w:val="21"/>
        </w:rPr>
        <w:t xml:space="preserve"> TyG index were continuous variable per 1 unit.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2"/>
          <w:szCs w:val="24"/>
        </w:rPr>
        <w:t>※</w:t>
      </w:r>
      <w:r>
        <w:rPr>
          <w:rFonts w:ascii="Times New Roman" w:hAnsi="Times New Roman"/>
          <w:sz w:val="21"/>
          <w:szCs w:val="21"/>
        </w:rPr>
        <w:t xml:space="preserve">Stands for the TyG continuous variables were divided into 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two</w:t>
      </w:r>
      <w:r>
        <w:rPr>
          <w:rFonts w:ascii="Times New Roman" w:hAnsi="Times New Roman"/>
          <w:sz w:val="21"/>
          <w:szCs w:val="21"/>
        </w:rPr>
        <w:t xml:space="preserve"> groups based on the cut values obtained from the multivariate RCS regression analysis, with the lowest group used as the reference group. Model 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1</w:t>
      </w:r>
      <w:r>
        <w:rPr>
          <w:rFonts w:ascii="Times New Roman" w:hAnsi="Times New Roman"/>
          <w:sz w:val="21"/>
          <w:szCs w:val="21"/>
        </w:rPr>
        <w:t>: unadjusted model; Model 2: adjusted for sex, age</w:t>
      </w:r>
      <w:r>
        <w:rPr>
          <w:rFonts w:hint="eastAsia" w:ascii="Times New Roman" w:hAnsi="Times New Roman"/>
          <w:sz w:val="21"/>
          <w:szCs w:val="21"/>
        </w:rPr>
        <w:t>,</w:t>
      </w:r>
      <w:r>
        <w:rPr>
          <w:rFonts w:ascii="Times New Roman" w:hAnsi="Times New Roman"/>
          <w:sz w:val="21"/>
          <w:szCs w:val="21"/>
        </w:rPr>
        <w:t xml:space="preserve"> laboratory parameters (albumin, serum potassium, serum sodium, creatinine, WBC, RBC, platelet); Model 3: adjusted for sex, age, laboratory parameters (albumin, serum potassium, serum sodium, creatinine, WBC, RBC, platelet) and </w:t>
      </w:r>
      <w:r>
        <w:rPr>
          <w:rFonts w:hint="eastAsia" w:ascii="Times New Roman" w:hAnsi="Times New Roman"/>
          <w:sz w:val="21"/>
          <w:szCs w:val="21"/>
        </w:rPr>
        <w:t>comorbidit</w:t>
      </w:r>
      <w:r>
        <w:rPr>
          <w:rFonts w:ascii="Times New Roman" w:hAnsi="Times New Roman"/>
          <w:sz w:val="21"/>
          <w:szCs w:val="21"/>
        </w:rPr>
        <w:t>ies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/>
          <w:sz w:val="21"/>
          <w:szCs w:val="21"/>
        </w:rPr>
        <w:t>(congestive heart failure,</w:t>
      </w:r>
      <w:r>
        <w:rPr>
          <w:rFonts w:hint="eastAsia" w:ascii="Times New Roman" w:hAnsi="Times New Roman"/>
          <w:sz w:val="21"/>
          <w:szCs w:val="21"/>
        </w:rPr>
        <w:t xml:space="preserve"> c</w:t>
      </w:r>
      <w:r>
        <w:rPr>
          <w:rFonts w:ascii="Times New Roman" w:hAnsi="Times New Roman"/>
          <w:sz w:val="21"/>
          <w:szCs w:val="21"/>
        </w:rPr>
        <w:t xml:space="preserve">hronic pulmonary disease, sepsis, </w:t>
      </w:r>
      <w:r>
        <w:rPr>
          <w:rFonts w:hint="eastAsia" w:ascii="Times New Roman" w:hAnsi="Times New Roman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 xml:space="preserve">yocardial infarction, </w:t>
      </w:r>
      <w:r>
        <w:rPr>
          <w:rFonts w:hint="eastAsia" w:ascii="Times New Roman" w:hAnsi="Times New Roman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 xml:space="preserve">iver disease, </w:t>
      </w:r>
      <w:r>
        <w:rPr>
          <w:rFonts w:hint="eastAsia" w:ascii="Times New Roman" w:hAnsi="Times New Roman"/>
          <w:sz w:val="21"/>
          <w:szCs w:val="21"/>
        </w:rPr>
        <w:t>c</w:t>
      </w:r>
      <w:r>
        <w:rPr>
          <w:rFonts w:ascii="Times New Roman" w:hAnsi="Times New Roman"/>
          <w:sz w:val="21"/>
          <w:szCs w:val="21"/>
        </w:rPr>
        <w:t xml:space="preserve">erebrovascular disease, </w:t>
      </w:r>
      <w:r>
        <w:rPr>
          <w:rFonts w:hint="eastAsia" w:ascii="Times New Roman" w:hAnsi="Times New Roman"/>
          <w:sz w:val="21"/>
          <w:szCs w:val="21"/>
        </w:rPr>
        <w:t>d</w:t>
      </w:r>
      <w:r>
        <w:rPr>
          <w:rFonts w:ascii="Times New Roman" w:hAnsi="Times New Roman"/>
          <w:sz w:val="21"/>
          <w:szCs w:val="21"/>
        </w:rPr>
        <w:t xml:space="preserve">iabetes, </w:t>
      </w:r>
      <w:r>
        <w:rPr>
          <w:rFonts w:hint="eastAsia"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z w:val="21"/>
          <w:szCs w:val="21"/>
        </w:rPr>
        <w:t xml:space="preserve">enal disease, </w:t>
      </w:r>
      <w:r>
        <w:rPr>
          <w:rFonts w:hint="eastAsia" w:ascii="Times New Roman" w:hAnsi="Times New Roman"/>
          <w:sz w:val="21"/>
          <w:szCs w:val="21"/>
        </w:rPr>
        <w:t>h</w:t>
      </w:r>
      <w:r>
        <w:rPr>
          <w:rFonts w:ascii="Times New Roman" w:hAnsi="Times New Roman"/>
          <w:sz w:val="21"/>
          <w:szCs w:val="21"/>
        </w:rPr>
        <w:t xml:space="preserve">ypertension, </w:t>
      </w:r>
      <w:r>
        <w:rPr>
          <w:rFonts w:hint="eastAsia" w:ascii="Times New Roman" w:hAnsi="Times New Roman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alignant</w:t>
      </w:r>
      <w:r>
        <w:rPr>
          <w:rFonts w:hint="eastAsia"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cancer);</w:t>
      </w:r>
    </w:p>
    <w:p>
      <w:pPr>
        <w:pStyle w:val="8"/>
        <w:spacing w:line="360" w:lineRule="auto"/>
        <w:rPr>
          <w:rFonts w:ascii="Times New Roman" w:hAnsi="Times New Roman"/>
          <w:b/>
          <w:bCs/>
        </w:rPr>
      </w:pPr>
      <w:bookmarkStart w:id="5" w:name="_Hlk139374394"/>
      <w:bookmarkStart w:id="6" w:name="_Hlk139374504"/>
      <w:r>
        <w:rPr>
          <w:rFonts w:ascii="Times New Roman" w:hAnsi="Times New Roman" w:cs="Times New Roman"/>
          <w:b/>
          <w:bCs/>
        </w:rPr>
        <w:t>Abbreviations:</w:t>
      </w:r>
      <w:r>
        <w:rPr>
          <w:rFonts w:ascii="Times New Roman" w:hAnsi="Times New Roman"/>
        </w:rPr>
        <w:t xml:space="preserve"> </w:t>
      </w:r>
      <w:bookmarkEnd w:id="5"/>
      <w:bookmarkStart w:id="7" w:name="_Hlk139374013"/>
      <w:r>
        <w:rPr>
          <w:rFonts w:ascii="Times New Roman" w:hAnsi="Times New Roman"/>
          <w:szCs w:val="21"/>
        </w:rPr>
        <w:t>TyG, Triglyceride-glucose</w:t>
      </w:r>
      <w:bookmarkEnd w:id="7"/>
      <w:r>
        <w:rPr>
          <w:rFonts w:ascii="Times New Roman" w:hAnsi="Times New Roman"/>
        </w:rPr>
        <w:t xml:space="preserve">; </w:t>
      </w:r>
      <w:bookmarkStart w:id="8" w:name="_Hlk139374098"/>
      <w:r>
        <w:rPr>
          <w:rFonts w:ascii="Times New Roman" w:hAnsi="Times New Roman"/>
        </w:rPr>
        <w:t>OR, odds ratio;</w:t>
      </w:r>
      <w:r>
        <w:t xml:space="preserve"> </w:t>
      </w:r>
      <w:r>
        <w:rPr>
          <w:rFonts w:ascii="Times New Roman" w:hAnsi="Times New Roman"/>
        </w:rPr>
        <w:t>CI, confidence interval</w:t>
      </w:r>
      <w:bookmarkEnd w:id="8"/>
    </w:p>
    <w:bookmarkEnd w:id="4"/>
    <w:bookmarkEnd w:id="6"/>
    <w:p>
      <w:pPr>
        <w:pStyle w:val="8"/>
        <w:spacing w:line="360" w:lineRule="auto"/>
        <w:jc w:val="both"/>
        <w:rPr>
          <w:rFonts w:ascii="Times New Roman" w:hAnsi="Times New Roman"/>
        </w:rPr>
      </w:pPr>
    </w:p>
    <w:p>
      <w:pPr>
        <w:widowControl/>
        <w:jc w:val="left"/>
        <w:rPr>
          <w:rFonts w:ascii="Times New Roman" w:hAnsi="Times New Roman" w:cs="Times New Roman"/>
          <w:b/>
          <w:kern w:val="44"/>
          <w:sz w:val="24"/>
          <w:szCs w:val="15"/>
        </w:rPr>
      </w:pPr>
      <w:r>
        <w:rPr>
          <w:rFonts w:ascii="Times New Roman" w:hAnsi="Times New Roman" w:cs="Times New Roman"/>
          <w:sz w:val="24"/>
          <w:szCs w:val="15"/>
        </w:rPr>
        <w:br w:type="page"/>
      </w:r>
    </w:p>
    <w:p>
      <w:pPr>
        <w:pStyle w:val="2"/>
        <w:rPr>
          <w:rFonts w:ascii="Times New Roman" w:hAnsi="Times New Roman" w:cs="Times New Roman"/>
          <w:b w:val="0"/>
          <w:bCs/>
          <w:sz w:val="24"/>
          <w:szCs w:val="15"/>
        </w:rPr>
      </w:pPr>
      <w:bookmarkStart w:id="9" w:name="_Toc146238750"/>
      <w:r>
        <w:rPr>
          <w:rFonts w:ascii="Times New Roman" w:hAnsi="Times New Roman" w:cs="Times New Roman"/>
          <w:sz w:val="24"/>
          <w:szCs w:val="24"/>
        </w:rPr>
        <w:t>Supplementary</w:t>
      </w:r>
      <w:r>
        <w:rPr>
          <w:rFonts w:ascii="Times New Roman" w:hAnsi="Times New Roman" w:cs="Times New Roman"/>
          <w:sz w:val="24"/>
          <w:szCs w:val="15"/>
        </w:rPr>
        <w:t xml:space="preserve"> Table 3. </w:t>
      </w:r>
      <w:r>
        <w:rPr>
          <w:rFonts w:ascii="Times New Roman" w:hAnsi="Times New Roman" w:cs="Times New Roman"/>
          <w:b w:val="0"/>
          <w:bCs/>
          <w:sz w:val="24"/>
          <w:szCs w:val="15"/>
        </w:rPr>
        <w:t xml:space="preserve">The association between various TyG index groups and risk of delirium in the ICU after excluding patients with </w:t>
      </w:r>
      <w:r>
        <w:rPr>
          <w:rFonts w:hint="eastAsia" w:ascii="Times New Roman" w:hAnsi="Times New Roman" w:cs="Times New Roman"/>
          <w:b w:val="0"/>
          <w:bCs/>
          <w:sz w:val="24"/>
          <w:szCs w:val="15"/>
        </w:rPr>
        <w:t>sepsis</w:t>
      </w:r>
      <w:r>
        <w:rPr>
          <w:rFonts w:ascii="Times New Roman" w:hAnsi="Times New Roman" w:cs="Times New Roman"/>
          <w:b w:val="0"/>
          <w:bCs/>
          <w:sz w:val="24"/>
          <w:szCs w:val="15"/>
        </w:rPr>
        <w:t xml:space="preserve"> </w:t>
      </w:r>
      <w:r>
        <w:rPr>
          <w:rFonts w:hint="eastAsia" w:ascii="Times New Roman" w:hAnsi="Times New Roman" w:cs="Times New Roman"/>
          <w:b w:val="0"/>
          <w:bCs/>
          <w:sz w:val="24"/>
          <w:szCs w:val="15"/>
        </w:rPr>
        <w:t>(N</w:t>
      </w:r>
      <w:r>
        <w:rPr>
          <w:rFonts w:ascii="Times New Roman" w:hAnsi="Times New Roman" w:cs="Times New Roman"/>
          <w:b w:val="0"/>
          <w:bCs/>
          <w:sz w:val="24"/>
          <w:szCs w:val="15"/>
        </w:rPr>
        <w:t>=3,639</w:t>
      </w:r>
      <w:r>
        <w:rPr>
          <w:rFonts w:hint="eastAsia" w:ascii="Times New Roman" w:hAnsi="Times New Roman" w:cs="Times New Roman"/>
          <w:b w:val="0"/>
          <w:bCs/>
          <w:sz w:val="24"/>
          <w:szCs w:val="15"/>
        </w:rPr>
        <w:t>)</w:t>
      </w:r>
      <w:r>
        <w:rPr>
          <w:rFonts w:ascii="Times New Roman" w:hAnsi="Times New Roman" w:cs="Times New Roman"/>
          <w:b w:val="0"/>
          <w:bCs/>
          <w:sz w:val="24"/>
          <w:szCs w:val="15"/>
        </w:rPr>
        <w:t>.</w:t>
      </w:r>
      <w:bookmarkEnd w:id="9"/>
    </w:p>
    <w:tbl>
      <w:tblPr>
        <w:tblStyle w:val="16"/>
        <w:tblW w:w="11199" w:type="dxa"/>
        <w:tblInd w:w="-13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7"/>
        <w:gridCol w:w="1975"/>
        <w:gridCol w:w="1129"/>
        <w:gridCol w:w="1974"/>
        <w:gridCol w:w="991"/>
        <w:gridCol w:w="1974"/>
        <w:gridCol w:w="1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tcBorders>
              <w:top w:val="single" w:color="auto" w:sz="4" w:space="0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310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Model 1</w:t>
            </w:r>
          </w:p>
        </w:tc>
        <w:tc>
          <w:tcPr>
            <w:tcW w:w="296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Model 2</w:t>
            </w:r>
          </w:p>
        </w:tc>
        <w:tc>
          <w:tcPr>
            <w:tcW w:w="3103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Model 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tcBorders>
              <w:top w:val="nil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OR(95%CI)</w:t>
            </w:r>
          </w:p>
        </w:tc>
        <w:tc>
          <w:tcPr>
            <w:tcW w:w="112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197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OR(95%CI)</w:t>
            </w:r>
          </w:p>
        </w:tc>
        <w:tc>
          <w:tcPr>
            <w:tcW w:w="99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197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OR(95%CI)</w:t>
            </w:r>
          </w:p>
        </w:tc>
        <w:tc>
          <w:tcPr>
            <w:tcW w:w="112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</w:rPr>
              <w:t>TyG index</w:t>
            </w:r>
            <w:r>
              <w:rPr>
                <w:rFonts w:ascii="Times New Roman" w:hAnsi="Times New Roman" w:eastAsia="等线" w:cs="Times New Roman"/>
                <w:sz w:val="22"/>
                <w:szCs w:val="24"/>
                <w:vertAlign w:val="superscript"/>
              </w:rPr>
              <w:t>*</w:t>
            </w:r>
          </w:p>
        </w:tc>
        <w:tc>
          <w:tcPr>
            <w:tcW w:w="1975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.198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(1.089-1.318)</w:t>
            </w:r>
          </w:p>
        </w:tc>
        <w:tc>
          <w:tcPr>
            <w:tcW w:w="1129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7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.195(1.0</w:t>
            </w:r>
            <w:r>
              <w:rPr>
                <w:rFonts w:hint="eastAsia"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5-1.316)</w:t>
            </w:r>
          </w:p>
        </w:tc>
        <w:tc>
          <w:tcPr>
            <w:tcW w:w="99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7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.293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(1.164-1.43</w:t>
            </w:r>
            <w:r>
              <w:rPr>
                <w:rFonts w:hint="eastAsia"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129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99" w:type="dxa"/>
            <w:gridSpan w:val="7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</w:rPr>
              <w:t>TyG</w:t>
            </w:r>
            <w:r>
              <w:rPr>
                <w:rFonts w:ascii="Times New Roman" w:hAnsi="Times New Roman"/>
                <w:vertAlign w:val="superscript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</w:t>
            </w: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8.91</w:t>
            </w: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75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Reference)</w:t>
            </w:r>
          </w:p>
        </w:tc>
        <w:tc>
          <w:tcPr>
            <w:tcW w:w="112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Reference)</w:t>
            </w:r>
          </w:p>
        </w:tc>
        <w:tc>
          <w:tcPr>
            <w:tcW w:w="991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Reference)</w:t>
            </w:r>
          </w:p>
        </w:tc>
        <w:tc>
          <w:tcPr>
            <w:tcW w:w="112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</w:t>
            </w: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/>
              </w:rPr>
              <w:t>8.91</w:t>
            </w: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7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.135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(0.995-</w:t>
            </w:r>
            <w:r>
              <w:rPr>
                <w:rFonts w:hint="eastAsia"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295)</w:t>
            </w:r>
          </w:p>
        </w:tc>
        <w:tc>
          <w:tcPr>
            <w:tcW w:w="112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0.059</w:t>
            </w:r>
          </w:p>
        </w:tc>
        <w:tc>
          <w:tcPr>
            <w:tcW w:w="1974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.130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(0.989-1.290)</w:t>
            </w:r>
          </w:p>
        </w:tc>
        <w:tc>
          <w:tcPr>
            <w:tcW w:w="991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0.073</w:t>
            </w:r>
          </w:p>
        </w:tc>
        <w:tc>
          <w:tcPr>
            <w:tcW w:w="1974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243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(1.07</w:t>
            </w:r>
            <w:r>
              <w:rPr>
                <w:rFonts w:hint="eastAsia"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-</w:t>
            </w:r>
            <w:r>
              <w:rPr>
                <w:rFonts w:hint="eastAsia" w:ascii="Times New Roman" w:hAnsi="Times New Roman" w:cs="Times New Roman"/>
              </w:rPr>
              <w:t>1.4</w:t>
            </w:r>
            <w:r>
              <w:rPr>
                <w:rFonts w:ascii="Times New Roman" w:hAnsi="Times New Roman" w:cs="Times New Roman"/>
              </w:rPr>
              <w:t>35)</w:t>
            </w:r>
          </w:p>
        </w:tc>
        <w:tc>
          <w:tcPr>
            <w:tcW w:w="112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0.003</w:t>
            </w:r>
          </w:p>
        </w:tc>
      </w:tr>
    </w:tbl>
    <w:p/>
    <w:p>
      <w:pPr>
        <w:pStyle w:val="8"/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hint="eastAsia" w:ascii="Times New Roman" w:hAnsi="Times New Roman"/>
          <w:b/>
          <w:bCs/>
        </w:rPr>
        <w:t>N</w:t>
      </w:r>
      <w:r>
        <w:rPr>
          <w:rFonts w:ascii="Times New Roman" w:hAnsi="Times New Roman"/>
          <w:b/>
          <w:bCs/>
        </w:rPr>
        <w:t xml:space="preserve">otes: </w:t>
      </w:r>
      <w:r>
        <w:rPr>
          <w:rFonts w:ascii="Times New Roman" w:hAnsi="Times New Roman" w:eastAsia="等线" w:cs="Times New Roman"/>
          <w:sz w:val="22"/>
          <w:szCs w:val="24"/>
        </w:rPr>
        <w:t>#</w:t>
      </w:r>
      <w:r>
        <w:rPr>
          <w:rFonts w:ascii="Times New Roman" w:hAnsi="Times New Roman"/>
          <w:sz w:val="21"/>
          <w:szCs w:val="21"/>
        </w:rPr>
        <w:t>Stands for</w:t>
      </w:r>
      <w:r>
        <w:rPr>
          <w:rFonts w:ascii="Times New Roman" w:hAnsi="Times New Roman" w:cs="Times New Roman"/>
          <w:sz w:val="21"/>
          <w:szCs w:val="21"/>
        </w:rPr>
        <w:t xml:space="preserve"> TyG index were continuous variable per 1 unit.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2"/>
          <w:szCs w:val="24"/>
        </w:rPr>
        <w:t>※</w:t>
      </w:r>
      <w:r>
        <w:rPr>
          <w:rFonts w:ascii="Times New Roman" w:hAnsi="Times New Roman"/>
          <w:sz w:val="21"/>
          <w:szCs w:val="21"/>
        </w:rPr>
        <w:t xml:space="preserve">Stands for the TyG continuous variables were divided into 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two</w:t>
      </w:r>
      <w:r>
        <w:rPr>
          <w:rFonts w:ascii="Times New Roman" w:hAnsi="Times New Roman"/>
          <w:sz w:val="21"/>
          <w:szCs w:val="21"/>
        </w:rPr>
        <w:t xml:space="preserve"> groups based on the cut values obtained from the multivariate RCS regression analysis, with the lowest group used as the reference group. Model 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1</w:t>
      </w:r>
      <w:r>
        <w:rPr>
          <w:rFonts w:ascii="Times New Roman" w:hAnsi="Times New Roman"/>
          <w:sz w:val="21"/>
          <w:szCs w:val="21"/>
        </w:rPr>
        <w:t>: unadjusted model; Model 2: adjusted for sex, age</w:t>
      </w:r>
      <w:r>
        <w:rPr>
          <w:rFonts w:hint="eastAsia" w:ascii="Times New Roman" w:hAnsi="Times New Roman"/>
          <w:sz w:val="21"/>
          <w:szCs w:val="21"/>
        </w:rPr>
        <w:t>,</w:t>
      </w:r>
      <w:r>
        <w:rPr>
          <w:rFonts w:ascii="Times New Roman" w:hAnsi="Times New Roman"/>
          <w:sz w:val="21"/>
          <w:szCs w:val="21"/>
        </w:rPr>
        <w:t xml:space="preserve"> laboratory parameters (albumin, </w:t>
      </w:r>
      <w:bookmarkStart w:id="22" w:name="_GoBack"/>
      <w:bookmarkEnd w:id="22"/>
      <w:r>
        <w:rPr>
          <w:rFonts w:ascii="Times New Roman" w:hAnsi="Times New Roman"/>
          <w:sz w:val="21"/>
          <w:szCs w:val="21"/>
        </w:rPr>
        <w:t xml:space="preserve">serum potassium, serum sodium, creatinine, WBC, RBC, platelet); Model 3: adjusted for sex, age, laboratory parameters (albumin, serum potassium, serum sodium, creatinine, WBC, RBC, platelet) and </w:t>
      </w:r>
      <w:r>
        <w:rPr>
          <w:rFonts w:hint="eastAsia" w:ascii="Times New Roman" w:hAnsi="Times New Roman"/>
          <w:sz w:val="21"/>
          <w:szCs w:val="21"/>
        </w:rPr>
        <w:t>comorbidit</w:t>
      </w:r>
      <w:r>
        <w:rPr>
          <w:rFonts w:ascii="Times New Roman" w:hAnsi="Times New Roman"/>
          <w:sz w:val="21"/>
          <w:szCs w:val="21"/>
        </w:rPr>
        <w:t>ies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/>
          <w:sz w:val="21"/>
          <w:szCs w:val="21"/>
        </w:rPr>
        <w:t>(congestive heart failure,</w:t>
      </w:r>
      <w:r>
        <w:rPr>
          <w:rFonts w:hint="eastAsia" w:ascii="Times New Roman" w:hAnsi="Times New Roman"/>
          <w:sz w:val="21"/>
          <w:szCs w:val="21"/>
        </w:rPr>
        <w:t xml:space="preserve"> c</w:t>
      </w:r>
      <w:r>
        <w:rPr>
          <w:rFonts w:ascii="Times New Roman" w:hAnsi="Times New Roman"/>
          <w:sz w:val="21"/>
          <w:szCs w:val="21"/>
        </w:rPr>
        <w:t xml:space="preserve">hronic pulmonary disease, sepsis, </w:t>
      </w:r>
      <w:r>
        <w:rPr>
          <w:rFonts w:hint="eastAsia" w:ascii="Times New Roman" w:hAnsi="Times New Roman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 xml:space="preserve">yocardial infarction, </w:t>
      </w:r>
      <w:r>
        <w:rPr>
          <w:rFonts w:hint="eastAsia" w:ascii="Times New Roman" w:hAnsi="Times New Roman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 xml:space="preserve">iver disease, </w:t>
      </w:r>
      <w:r>
        <w:rPr>
          <w:rFonts w:hint="eastAsia" w:ascii="Times New Roman" w:hAnsi="Times New Roman"/>
          <w:sz w:val="21"/>
          <w:szCs w:val="21"/>
        </w:rPr>
        <w:t>c</w:t>
      </w:r>
      <w:r>
        <w:rPr>
          <w:rFonts w:ascii="Times New Roman" w:hAnsi="Times New Roman"/>
          <w:sz w:val="21"/>
          <w:szCs w:val="21"/>
        </w:rPr>
        <w:t xml:space="preserve">erebrovascular disease, </w:t>
      </w:r>
      <w:r>
        <w:rPr>
          <w:rFonts w:hint="eastAsia" w:ascii="Times New Roman" w:hAnsi="Times New Roman"/>
          <w:sz w:val="21"/>
          <w:szCs w:val="21"/>
        </w:rPr>
        <w:t>d</w:t>
      </w:r>
      <w:r>
        <w:rPr>
          <w:rFonts w:ascii="Times New Roman" w:hAnsi="Times New Roman"/>
          <w:sz w:val="21"/>
          <w:szCs w:val="21"/>
        </w:rPr>
        <w:t xml:space="preserve">iabetes, </w:t>
      </w:r>
      <w:r>
        <w:rPr>
          <w:rFonts w:hint="eastAsia"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z w:val="21"/>
          <w:szCs w:val="21"/>
        </w:rPr>
        <w:t xml:space="preserve">enal disease, </w:t>
      </w:r>
      <w:r>
        <w:rPr>
          <w:rFonts w:hint="eastAsia" w:ascii="Times New Roman" w:hAnsi="Times New Roman"/>
          <w:sz w:val="21"/>
          <w:szCs w:val="21"/>
        </w:rPr>
        <w:t>h</w:t>
      </w:r>
      <w:r>
        <w:rPr>
          <w:rFonts w:ascii="Times New Roman" w:hAnsi="Times New Roman"/>
          <w:sz w:val="21"/>
          <w:szCs w:val="21"/>
        </w:rPr>
        <w:t xml:space="preserve">ypertension, </w:t>
      </w:r>
      <w:r>
        <w:rPr>
          <w:rFonts w:hint="eastAsia" w:ascii="Times New Roman" w:hAnsi="Times New Roman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alignant</w:t>
      </w:r>
      <w:r>
        <w:rPr>
          <w:rFonts w:hint="eastAsia"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cancer);</w:t>
      </w:r>
    </w:p>
    <w:p>
      <w:pPr>
        <w:pStyle w:val="8"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Abbreviations: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Cs w:val="21"/>
        </w:rPr>
        <w:t>TyG, Triglyceride-glucose</w:t>
      </w:r>
      <w:r>
        <w:rPr>
          <w:rFonts w:ascii="Times New Roman" w:hAnsi="Times New Roman"/>
        </w:rPr>
        <w:t>; OR, odds ratio;</w:t>
      </w:r>
      <w:r>
        <w:t xml:space="preserve"> </w:t>
      </w:r>
      <w:r>
        <w:rPr>
          <w:rFonts w:ascii="Times New Roman" w:hAnsi="Times New Roman"/>
        </w:rPr>
        <w:t>CI, confidence interval</w:t>
      </w:r>
    </w:p>
    <w:p>
      <w:pPr>
        <w:widowControl/>
        <w:jc w:val="left"/>
        <w:rPr>
          <w:rFonts w:ascii="Times New Roman" w:hAnsi="Times New Roman" w:cs="Times New Roman"/>
          <w:b/>
          <w:kern w:val="44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>
      <w:pPr>
        <w:pStyle w:val="2"/>
        <w:rPr>
          <w:rFonts w:ascii="Times New Roman" w:hAnsi="Times New Roman" w:cs="Times New Roman"/>
          <w:b w:val="0"/>
          <w:bCs/>
          <w:sz w:val="24"/>
          <w:szCs w:val="15"/>
        </w:rPr>
      </w:pPr>
      <w:bookmarkStart w:id="10" w:name="_Toc146238751"/>
      <w:r>
        <w:rPr>
          <w:rFonts w:ascii="Times New Roman" w:hAnsi="Times New Roman" w:cs="Times New Roman"/>
          <w:sz w:val="24"/>
          <w:szCs w:val="24"/>
        </w:rPr>
        <w:t>Supplementary</w:t>
      </w:r>
      <w:r>
        <w:rPr>
          <w:rFonts w:ascii="Times New Roman" w:hAnsi="Times New Roman" w:cs="Times New Roman"/>
          <w:sz w:val="24"/>
          <w:szCs w:val="15"/>
        </w:rPr>
        <w:t xml:space="preserve"> Table 4. </w:t>
      </w:r>
      <w:r>
        <w:rPr>
          <w:rFonts w:ascii="Times New Roman" w:hAnsi="Times New Roman" w:cs="Times New Roman"/>
          <w:b w:val="0"/>
          <w:bCs/>
          <w:sz w:val="24"/>
          <w:szCs w:val="15"/>
        </w:rPr>
        <w:t xml:space="preserve">The association between various TyG index groups and risk of delirium in the ICU after excluding patients with diabetes </w:t>
      </w:r>
      <w:r>
        <w:rPr>
          <w:rFonts w:hint="eastAsia" w:ascii="Times New Roman" w:hAnsi="Times New Roman" w:cs="Times New Roman"/>
          <w:b w:val="0"/>
          <w:bCs/>
          <w:sz w:val="24"/>
          <w:szCs w:val="15"/>
        </w:rPr>
        <w:t>(N</w:t>
      </w:r>
      <w:r>
        <w:rPr>
          <w:rFonts w:ascii="Times New Roman" w:hAnsi="Times New Roman" w:cs="Times New Roman"/>
          <w:b w:val="0"/>
          <w:bCs/>
          <w:sz w:val="24"/>
          <w:szCs w:val="15"/>
        </w:rPr>
        <w:t>=3,058</w:t>
      </w:r>
      <w:r>
        <w:rPr>
          <w:rFonts w:hint="eastAsia" w:ascii="Times New Roman" w:hAnsi="Times New Roman" w:cs="Times New Roman"/>
          <w:b w:val="0"/>
          <w:bCs/>
          <w:sz w:val="24"/>
          <w:szCs w:val="15"/>
        </w:rPr>
        <w:t>)</w:t>
      </w:r>
      <w:r>
        <w:rPr>
          <w:rFonts w:ascii="Times New Roman" w:hAnsi="Times New Roman" w:cs="Times New Roman"/>
          <w:b w:val="0"/>
          <w:bCs/>
          <w:sz w:val="24"/>
          <w:szCs w:val="15"/>
        </w:rPr>
        <w:t>.</w:t>
      </w:r>
      <w:bookmarkEnd w:id="10"/>
    </w:p>
    <w:tbl>
      <w:tblPr>
        <w:tblStyle w:val="16"/>
        <w:tblW w:w="11199" w:type="dxa"/>
        <w:tblInd w:w="-13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7"/>
        <w:gridCol w:w="1975"/>
        <w:gridCol w:w="1129"/>
        <w:gridCol w:w="1974"/>
        <w:gridCol w:w="991"/>
        <w:gridCol w:w="1974"/>
        <w:gridCol w:w="1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tcBorders>
              <w:top w:val="single" w:color="auto" w:sz="4" w:space="0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310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Model 1</w:t>
            </w:r>
          </w:p>
        </w:tc>
        <w:tc>
          <w:tcPr>
            <w:tcW w:w="296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Model 2</w:t>
            </w:r>
          </w:p>
        </w:tc>
        <w:tc>
          <w:tcPr>
            <w:tcW w:w="3103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Model 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tcBorders>
              <w:top w:val="nil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OR(95%CI)</w:t>
            </w:r>
          </w:p>
        </w:tc>
        <w:tc>
          <w:tcPr>
            <w:tcW w:w="112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197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OR(95%CI)</w:t>
            </w:r>
          </w:p>
        </w:tc>
        <w:tc>
          <w:tcPr>
            <w:tcW w:w="99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197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OR(95%CI)</w:t>
            </w:r>
          </w:p>
        </w:tc>
        <w:tc>
          <w:tcPr>
            <w:tcW w:w="112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</w:rPr>
              <w:t>TyG index</w:t>
            </w:r>
            <w:r>
              <w:rPr>
                <w:rFonts w:ascii="Times New Roman" w:hAnsi="Times New Roman" w:eastAsia="等线" w:cs="Times New Roman"/>
                <w:sz w:val="22"/>
                <w:szCs w:val="24"/>
                <w:vertAlign w:val="superscript"/>
              </w:rPr>
              <w:t>*</w:t>
            </w:r>
          </w:p>
        </w:tc>
        <w:tc>
          <w:tcPr>
            <w:tcW w:w="1975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.323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(1.187-1.476)</w:t>
            </w:r>
          </w:p>
        </w:tc>
        <w:tc>
          <w:tcPr>
            <w:tcW w:w="1129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7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.305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</w:t>
            </w: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69-1.458)</w:t>
            </w:r>
          </w:p>
        </w:tc>
        <w:tc>
          <w:tcPr>
            <w:tcW w:w="99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7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.430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</w:t>
            </w: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73-1.609)</w:t>
            </w:r>
          </w:p>
        </w:tc>
        <w:tc>
          <w:tcPr>
            <w:tcW w:w="1129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99" w:type="dxa"/>
            <w:gridSpan w:val="7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</w:rPr>
              <w:t>TyG</w:t>
            </w:r>
            <w:r>
              <w:rPr>
                <w:rFonts w:ascii="Times New Roman" w:hAnsi="Times New Roman"/>
                <w:vertAlign w:val="superscript"/>
              </w:rPr>
              <w:t>*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</w:t>
            </w: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8.91</w:t>
            </w: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75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Reference)</w:t>
            </w:r>
          </w:p>
        </w:tc>
        <w:tc>
          <w:tcPr>
            <w:tcW w:w="112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Reference)</w:t>
            </w:r>
          </w:p>
        </w:tc>
        <w:tc>
          <w:tcPr>
            <w:tcW w:w="991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Reference)</w:t>
            </w:r>
          </w:p>
        </w:tc>
        <w:tc>
          <w:tcPr>
            <w:tcW w:w="112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</w:t>
            </w: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/>
              </w:rPr>
              <w:t>8.91</w:t>
            </w: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7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.334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</w:t>
            </w: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54-</w:t>
            </w:r>
            <w:r>
              <w:rPr>
                <w:rFonts w:hint="eastAsia"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542)</w:t>
            </w:r>
          </w:p>
        </w:tc>
        <w:tc>
          <w:tcPr>
            <w:tcW w:w="112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74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1.314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1.1</w:t>
            </w:r>
            <w:r>
              <w:rPr>
                <w:rFonts w:ascii="Times New Roman" w:hAnsi="Times New Roman" w:cs="Times New Roman"/>
              </w:rPr>
              <w:t>35-1.522)</w:t>
            </w:r>
          </w:p>
        </w:tc>
        <w:tc>
          <w:tcPr>
            <w:tcW w:w="991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74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1.475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(1.263-</w:t>
            </w:r>
            <w:r>
              <w:rPr>
                <w:rFonts w:hint="eastAsia"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723)</w:t>
            </w:r>
          </w:p>
        </w:tc>
        <w:tc>
          <w:tcPr>
            <w:tcW w:w="112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</w:tbl>
    <w:p/>
    <w:p>
      <w:pPr>
        <w:pStyle w:val="8"/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hint="eastAsia" w:ascii="Times New Roman" w:hAnsi="Times New Roman"/>
          <w:b/>
          <w:bCs/>
        </w:rPr>
        <w:t>N</w:t>
      </w:r>
      <w:r>
        <w:rPr>
          <w:rFonts w:ascii="Times New Roman" w:hAnsi="Times New Roman"/>
          <w:b/>
          <w:bCs/>
        </w:rPr>
        <w:t xml:space="preserve">otes: </w:t>
      </w:r>
      <w:r>
        <w:rPr>
          <w:rFonts w:ascii="Times New Roman" w:hAnsi="Times New Roman" w:eastAsia="等线" w:cs="Times New Roman"/>
          <w:sz w:val="22"/>
          <w:szCs w:val="24"/>
        </w:rPr>
        <w:t>#</w:t>
      </w:r>
      <w:r>
        <w:rPr>
          <w:rFonts w:ascii="Times New Roman" w:hAnsi="Times New Roman"/>
          <w:sz w:val="21"/>
          <w:szCs w:val="21"/>
        </w:rPr>
        <w:t>Stands for</w:t>
      </w:r>
      <w:r>
        <w:rPr>
          <w:rFonts w:ascii="Times New Roman" w:hAnsi="Times New Roman" w:cs="Times New Roman"/>
          <w:sz w:val="21"/>
          <w:szCs w:val="21"/>
        </w:rPr>
        <w:t xml:space="preserve"> TyG index were continuous variable per 1 unit.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2"/>
          <w:szCs w:val="24"/>
        </w:rPr>
        <w:t>※</w:t>
      </w:r>
      <w:r>
        <w:rPr>
          <w:rFonts w:ascii="Times New Roman" w:hAnsi="Times New Roman"/>
          <w:sz w:val="21"/>
          <w:szCs w:val="21"/>
        </w:rPr>
        <w:t xml:space="preserve">Stands for the TyG continuous variables were divided into 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two</w:t>
      </w:r>
      <w:r>
        <w:rPr>
          <w:rFonts w:ascii="Times New Roman" w:hAnsi="Times New Roman"/>
          <w:sz w:val="21"/>
          <w:szCs w:val="21"/>
        </w:rPr>
        <w:t xml:space="preserve"> groups based on the cut values obtained from the multivariate RCS regression analysis, with the lowest group used as the reference group. Model 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1</w:t>
      </w:r>
      <w:r>
        <w:rPr>
          <w:rFonts w:ascii="Times New Roman" w:hAnsi="Times New Roman"/>
          <w:sz w:val="21"/>
          <w:szCs w:val="21"/>
        </w:rPr>
        <w:t>: unadjusted model; Model 2: adjusted for sex, age</w:t>
      </w:r>
      <w:r>
        <w:rPr>
          <w:rFonts w:hint="eastAsia" w:ascii="Times New Roman" w:hAnsi="Times New Roman"/>
          <w:sz w:val="21"/>
          <w:szCs w:val="21"/>
        </w:rPr>
        <w:t>,</w:t>
      </w:r>
      <w:r>
        <w:rPr>
          <w:rFonts w:ascii="Times New Roman" w:hAnsi="Times New Roman"/>
          <w:sz w:val="21"/>
          <w:szCs w:val="21"/>
        </w:rPr>
        <w:t xml:space="preserve"> laboratory parameters (albumin, serum potassium, serum sodium, creatinine, WBC, RBC, platelet); Model 3: adjusted for sex, age, laboratory parameters (albumin, serum potassium, serum sodium, creatinine, WBC, RBC, platelet) and </w:t>
      </w:r>
      <w:r>
        <w:rPr>
          <w:rFonts w:hint="eastAsia" w:ascii="Times New Roman" w:hAnsi="Times New Roman"/>
          <w:sz w:val="21"/>
          <w:szCs w:val="21"/>
        </w:rPr>
        <w:t>comorbidit</w:t>
      </w:r>
      <w:r>
        <w:rPr>
          <w:rFonts w:ascii="Times New Roman" w:hAnsi="Times New Roman"/>
          <w:sz w:val="21"/>
          <w:szCs w:val="21"/>
        </w:rPr>
        <w:t>ies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/>
          <w:sz w:val="21"/>
          <w:szCs w:val="21"/>
        </w:rPr>
        <w:t>(congestive heart failure,</w:t>
      </w:r>
      <w:r>
        <w:rPr>
          <w:rFonts w:hint="eastAsia" w:ascii="Times New Roman" w:hAnsi="Times New Roman"/>
          <w:sz w:val="21"/>
          <w:szCs w:val="21"/>
        </w:rPr>
        <w:t xml:space="preserve"> c</w:t>
      </w:r>
      <w:r>
        <w:rPr>
          <w:rFonts w:ascii="Times New Roman" w:hAnsi="Times New Roman"/>
          <w:sz w:val="21"/>
          <w:szCs w:val="21"/>
        </w:rPr>
        <w:t xml:space="preserve">hronic pulmonary disease, sepsis, </w:t>
      </w:r>
      <w:r>
        <w:rPr>
          <w:rFonts w:hint="eastAsia" w:ascii="Times New Roman" w:hAnsi="Times New Roman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 xml:space="preserve">yocardial infarction, </w:t>
      </w:r>
      <w:r>
        <w:rPr>
          <w:rFonts w:hint="eastAsia" w:ascii="Times New Roman" w:hAnsi="Times New Roman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 xml:space="preserve">iver disease, </w:t>
      </w:r>
      <w:r>
        <w:rPr>
          <w:rFonts w:hint="eastAsia" w:ascii="Times New Roman" w:hAnsi="Times New Roman"/>
          <w:sz w:val="21"/>
          <w:szCs w:val="21"/>
        </w:rPr>
        <w:t>c</w:t>
      </w:r>
      <w:r>
        <w:rPr>
          <w:rFonts w:ascii="Times New Roman" w:hAnsi="Times New Roman"/>
          <w:sz w:val="21"/>
          <w:szCs w:val="21"/>
        </w:rPr>
        <w:t xml:space="preserve">erebrovascular disease, </w:t>
      </w:r>
      <w:r>
        <w:rPr>
          <w:rFonts w:hint="eastAsia" w:ascii="Times New Roman" w:hAnsi="Times New Roman"/>
          <w:sz w:val="21"/>
          <w:szCs w:val="21"/>
        </w:rPr>
        <w:t>d</w:t>
      </w:r>
      <w:r>
        <w:rPr>
          <w:rFonts w:ascii="Times New Roman" w:hAnsi="Times New Roman"/>
          <w:sz w:val="21"/>
          <w:szCs w:val="21"/>
        </w:rPr>
        <w:t xml:space="preserve">iabetes, </w:t>
      </w:r>
      <w:r>
        <w:rPr>
          <w:rFonts w:hint="eastAsia"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z w:val="21"/>
          <w:szCs w:val="21"/>
        </w:rPr>
        <w:t xml:space="preserve">enal disease, </w:t>
      </w:r>
      <w:r>
        <w:rPr>
          <w:rFonts w:hint="eastAsia" w:ascii="Times New Roman" w:hAnsi="Times New Roman"/>
          <w:sz w:val="21"/>
          <w:szCs w:val="21"/>
        </w:rPr>
        <w:t>h</w:t>
      </w:r>
      <w:r>
        <w:rPr>
          <w:rFonts w:ascii="Times New Roman" w:hAnsi="Times New Roman"/>
          <w:sz w:val="21"/>
          <w:szCs w:val="21"/>
        </w:rPr>
        <w:t xml:space="preserve">ypertension, </w:t>
      </w:r>
      <w:r>
        <w:rPr>
          <w:rFonts w:hint="eastAsia" w:ascii="Times New Roman" w:hAnsi="Times New Roman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alignant</w:t>
      </w:r>
      <w:r>
        <w:rPr>
          <w:rFonts w:hint="eastAsia"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cancer);</w:t>
      </w:r>
    </w:p>
    <w:p>
      <w:pPr>
        <w:pStyle w:val="8"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Abbreviations: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Cs w:val="21"/>
        </w:rPr>
        <w:t>TyG, Triglyceride-glucose</w:t>
      </w:r>
      <w:r>
        <w:rPr>
          <w:rFonts w:ascii="Times New Roman" w:hAnsi="Times New Roman"/>
        </w:rPr>
        <w:t>; OR, odds ratio;</w:t>
      </w:r>
      <w:r>
        <w:t xml:space="preserve"> </w:t>
      </w:r>
      <w:r>
        <w:rPr>
          <w:rFonts w:ascii="Times New Roman" w:hAnsi="Times New Roman"/>
        </w:rPr>
        <w:t>CI, confidence interval</w:t>
      </w:r>
    </w:p>
    <w:p>
      <w:pPr>
        <w:pStyle w:val="8"/>
        <w:spacing w:line="360" w:lineRule="auto"/>
        <w:jc w:val="both"/>
        <w:rPr>
          <w:rFonts w:ascii="Times New Roman" w:hAnsi="Times New Roman" w:cs="Times New Roman"/>
          <w:b/>
          <w:kern w:val="44"/>
          <w:sz w:val="24"/>
          <w:szCs w:val="15"/>
        </w:rPr>
      </w:pPr>
      <w:r>
        <w:rPr>
          <w:rFonts w:ascii="Times New Roman" w:hAnsi="Times New Roman" w:cs="Times New Roman"/>
          <w:sz w:val="24"/>
          <w:szCs w:val="15"/>
        </w:rPr>
        <w:br w:type="page"/>
      </w:r>
    </w:p>
    <w:p>
      <w:pPr>
        <w:pStyle w:val="2"/>
        <w:rPr>
          <w:rFonts w:ascii="Times New Roman" w:hAnsi="Times New Roman" w:cs="Times New Roman"/>
          <w:b w:val="0"/>
          <w:bCs/>
          <w:sz w:val="24"/>
          <w:szCs w:val="15"/>
        </w:rPr>
      </w:pPr>
      <w:bookmarkStart w:id="11" w:name="_Toc146238752"/>
      <w:r>
        <w:rPr>
          <w:rFonts w:ascii="Times New Roman" w:hAnsi="Times New Roman" w:cs="Times New Roman"/>
          <w:sz w:val="24"/>
          <w:szCs w:val="24"/>
        </w:rPr>
        <w:t>Supplementary</w:t>
      </w:r>
      <w:r>
        <w:rPr>
          <w:rFonts w:ascii="Times New Roman" w:hAnsi="Times New Roman" w:cs="Times New Roman"/>
          <w:sz w:val="24"/>
          <w:szCs w:val="15"/>
        </w:rPr>
        <w:t xml:space="preserve"> Table 5. </w:t>
      </w:r>
      <w:r>
        <w:rPr>
          <w:rFonts w:ascii="Times New Roman" w:hAnsi="Times New Roman" w:cs="Times New Roman"/>
          <w:b w:val="0"/>
          <w:bCs/>
          <w:sz w:val="24"/>
          <w:szCs w:val="15"/>
        </w:rPr>
        <w:t>The association between TyG index groups and risk of delirium in the ICU after propensity score matching</w:t>
      </w:r>
      <w:r>
        <w:rPr>
          <w:rFonts w:hint="eastAsia" w:ascii="Times New Roman" w:hAnsi="Times New Roman" w:cs="Times New Roman"/>
          <w:b w:val="0"/>
          <w:bCs/>
          <w:sz w:val="24"/>
          <w:szCs w:val="15"/>
        </w:rPr>
        <w:t xml:space="preserve"> (N</w:t>
      </w:r>
      <w:r>
        <w:rPr>
          <w:rFonts w:ascii="Times New Roman" w:hAnsi="Times New Roman" w:cs="Times New Roman"/>
          <w:b w:val="0"/>
          <w:bCs/>
          <w:sz w:val="24"/>
          <w:szCs w:val="15"/>
        </w:rPr>
        <w:t>=3,494</w:t>
      </w:r>
      <w:r>
        <w:rPr>
          <w:rFonts w:hint="eastAsia" w:ascii="Times New Roman" w:hAnsi="Times New Roman" w:cs="Times New Roman"/>
          <w:b w:val="0"/>
          <w:bCs/>
          <w:sz w:val="24"/>
          <w:szCs w:val="15"/>
        </w:rPr>
        <w:t>)</w:t>
      </w:r>
      <w:r>
        <w:rPr>
          <w:rFonts w:ascii="Times New Roman" w:hAnsi="Times New Roman" w:cs="Times New Roman"/>
          <w:b w:val="0"/>
          <w:bCs/>
          <w:sz w:val="24"/>
          <w:szCs w:val="15"/>
        </w:rPr>
        <w:t>.</w:t>
      </w:r>
      <w:bookmarkEnd w:id="11"/>
    </w:p>
    <w:tbl>
      <w:tblPr>
        <w:tblStyle w:val="16"/>
        <w:tblW w:w="11199" w:type="dxa"/>
        <w:tblInd w:w="-131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7"/>
        <w:gridCol w:w="1975"/>
        <w:gridCol w:w="1129"/>
        <w:gridCol w:w="1974"/>
        <w:gridCol w:w="991"/>
        <w:gridCol w:w="1974"/>
        <w:gridCol w:w="112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tcBorders>
              <w:top w:val="single" w:color="auto" w:sz="4" w:space="0"/>
              <w:bottom w:val="nil"/>
            </w:tcBorders>
          </w:tcPr>
          <w:p>
            <w:pPr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3104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Model 1</w:t>
            </w:r>
          </w:p>
        </w:tc>
        <w:tc>
          <w:tcPr>
            <w:tcW w:w="2965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Model 2</w:t>
            </w:r>
          </w:p>
        </w:tc>
        <w:tc>
          <w:tcPr>
            <w:tcW w:w="3103" w:type="dxa"/>
            <w:gridSpan w:val="2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Model 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tcBorders>
              <w:top w:val="nil"/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97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OR(95%CI)</w:t>
            </w:r>
          </w:p>
        </w:tc>
        <w:tc>
          <w:tcPr>
            <w:tcW w:w="112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197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OR(95%CI)</w:t>
            </w:r>
          </w:p>
        </w:tc>
        <w:tc>
          <w:tcPr>
            <w:tcW w:w="99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  <w:tc>
          <w:tcPr>
            <w:tcW w:w="197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OR(95%CI)</w:t>
            </w:r>
          </w:p>
        </w:tc>
        <w:tc>
          <w:tcPr>
            <w:tcW w:w="112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</w:t>
            </w:r>
            <w:r>
              <w:rPr>
                <w:rFonts w:ascii="Times New Roman" w:hAnsi="Times New Roman" w:cs="Times New Roman"/>
              </w:rPr>
              <w:t>-value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</w:rPr>
              <w:t>TyG index</w:t>
            </w:r>
            <w:r>
              <w:rPr>
                <w:rFonts w:ascii="Times New Roman" w:hAnsi="Times New Roman" w:cs="Times New Roman"/>
                <w:sz w:val="22"/>
                <w:szCs w:val="24"/>
                <w:vertAlign w:val="superscript"/>
              </w:rPr>
              <w:t>*</w:t>
            </w:r>
          </w:p>
        </w:tc>
        <w:tc>
          <w:tcPr>
            <w:tcW w:w="1975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.352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(1.228-1.490)</w:t>
            </w:r>
          </w:p>
        </w:tc>
        <w:tc>
          <w:tcPr>
            <w:tcW w:w="1129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7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.343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(1.219-1.481)</w:t>
            </w:r>
          </w:p>
        </w:tc>
        <w:tc>
          <w:tcPr>
            <w:tcW w:w="99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74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.362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(1.231-1.508)</w:t>
            </w:r>
          </w:p>
        </w:tc>
        <w:tc>
          <w:tcPr>
            <w:tcW w:w="1129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99" w:type="dxa"/>
            <w:gridSpan w:val="7"/>
          </w:tcPr>
          <w:p>
            <w:pPr>
              <w:jc w:val="left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</w:rPr>
              <w:t>TyG</w:t>
            </w:r>
            <w:r>
              <w:rPr>
                <w:rFonts w:hint="eastAsia" w:ascii="宋体" w:hAnsi="宋体" w:eastAsia="宋体" w:cs="宋体"/>
                <w:sz w:val="22"/>
                <w:szCs w:val="24"/>
                <w:vertAlign w:val="superscript"/>
              </w:rPr>
              <w:t>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</w:t>
            </w: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 xml:space="preserve"> 8.91</w:t>
            </w: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75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Reference)</w:t>
            </w:r>
          </w:p>
        </w:tc>
        <w:tc>
          <w:tcPr>
            <w:tcW w:w="112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Reference)</w:t>
            </w:r>
          </w:p>
        </w:tc>
        <w:tc>
          <w:tcPr>
            <w:tcW w:w="991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74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Reference)</w:t>
            </w:r>
          </w:p>
        </w:tc>
        <w:tc>
          <w:tcPr>
            <w:tcW w:w="1129" w:type="dxa"/>
          </w:tcPr>
          <w:p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027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Q</w:t>
            </w: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/>
              </w:rPr>
              <w:t>8.91</w:t>
            </w:r>
            <w:r>
              <w:rPr>
                <w:rFonts w:hint="eastAsia"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975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.353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</w:t>
            </w: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84-</w:t>
            </w:r>
            <w:r>
              <w:rPr>
                <w:rFonts w:hint="eastAsia"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546)</w:t>
            </w:r>
          </w:p>
        </w:tc>
        <w:tc>
          <w:tcPr>
            <w:tcW w:w="112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74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1.346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r>
              <w:rPr>
                <w:rFonts w:hint="eastAsia"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177-1.539)</w:t>
            </w:r>
          </w:p>
        </w:tc>
        <w:tc>
          <w:tcPr>
            <w:tcW w:w="991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  <w:tc>
          <w:tcPr>
            <w:tcW w:w="1974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1.368</w:t>
            </w:r>
            <w:r>
              <w:rPr>
                <w:rFonts w:hint="eastAsia" w:ascii="Times New Roman" w:hAnsi="Times New Roman" w:cs="Times New Roman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(1.190-</w:t>
            </w:r>
            <w:r>
              <w:rPr>
                <w:rFonts w:hint="eastAsia"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.572)</w:t>
            </w:r>
          </w:p>
        </w:tc>
        <w:tc>
          <w:tcPr>
            <w:tcW w:w="1129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eastAsia"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0.001</w:t>
            </w:r>
          </w:p>
        </w:tc>
      </w:tr>
    </w:tbl>
    <w:p>
      <w:pPr>
        <w:widowControl/>
        <w:jc w:val="left"/>
        <w:rPr>
          <w:rFonts w:ascii="Times New Roman" w:hAnsi="Times New Roman" w:cs="Times New Roman"/>
          <w:szCs w:val="11"/>
          <w:vertAlign w:val="superscript"/>
        </w:rPr>
      </w:pPr>
    </w:p>
    <w:p>
      <w:pPr>
        <w:pStyle w:val="8"/>
        <w:spacing w:line="360" w:lineRule="auto"/>
        <w:jc w:val="both"/>
        <w:rPr>
          <w:rFonts w:ascii="Times New Roman" w:hAnsi="Times New Roman"/>
          <w:sz w:val="21"/>
          <w:szCs w:val="21"/>
        </w:rPr>
      </w:pPr>
      <w:r>
        <w:rPr>
          <w:rFonts w:hint="eastAsia" w:ascii="Times New Roman" w:hAnsi="Times New Roman"/>
          <w:b/>
          <w:bCs/>
        </w:rPr>
        <w:t>N</w:t>
      </w:r>
      <w:r>
        <w:rPr>
          <w:rFonts w:ascii="Times New Roman" w:hAnsi="Times New Roman"/>
          <w:b/>
          <w:bCs/>
        </w:rPr>
        <w:t xml:space="preserve">otes: </w:t>
      </w:r>
      <w:r>
        <w:rPr>
          <w:rFonts w:ascii="Times New Roman" w:hAnsi="Times New Roman" w:eastAsia="等线" w:cs="Times New Roman"/>
          <w:sz w:val="22"/>
          <w:szCs w:val="24"/>
        </w:rPr>
        <w:t>#</w:t>
      </w:r>
      <w:r>
        <w:rPr>
          <w:rFonts w:ascii="Times New Roman" w:hAnsi="Times New Roman"/>
          <w:sz w:val="21"/>
          <w:szCs w:val="21"/>
        </w:rPr>
        <w:t>Stands for</w:t>
      </w:r>
      <w:r>
        <w:rPr>
          <w:rFonts w:ascii="Times New Roman" w:hAnsi="Times New Roman" w:cs="Times New Roman"/>
          <w:sz w:val="21"/>
          <w:szCs w:val="21"/>
        </w:rPr>
        <w:t xml:space="preserve"> TyG index were continuous variable per 1 unit.</w:t>
      </w:r>
      <w:r>
        <w:rPr>
          <w:rFonts w:hint="eastAsia" w:ascii="宋体" w:hAnsi="宋体" w:eastAsia="宋体" w:cs="宋体"/>
          <w:sz w:val="21"/>
          <w:szCs w:val="21"/>
        </w:rPr>
        <w:t xml:space="preserve"> </w:t>
      </w:r>
      <w:r>
        <w:rPr>
          <w:rFonts w:hint="eastAsia" w:ascii="宋体" w:hAnsi="宋体" w:eastAsia="宋体" w:cs="宋体"/>
          <w:sz w:val="22"/>
          <w:szCs w:val="24"/>
        </w:rPr>
        <w:t>※</w:t>
      </w:r>
      <w:r>
        <w:rPr>
          <w:rFonts w:ascii="Times New Roman" w:hAnsi="Times New Roman"/>
          <w:sz w:val="21"/>
          <w:szCs w:val="21"/>
        </w:rPr>
        <w:t xml:space="preserve">Stands for the TyG continuous variables were divided into 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two</w:t>
      </w:r>
      <w:r>
        <w:rPr>
          <w:rFonts w:ascii="Times New Roman" w:hAnsi="Times New Roman"/>
          <w:sz w:val="21"/>
          <w:szCs w:val="21"/>
        </w:rPr>
        <w:t xml:space="preserve"> groups based on the cut values obtained from the multivariate RCS regression analysis, with the lowest group used as the reference group. Model 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>1</w:t>
      </w:r>
      <w:r>
        <w:rPr>
          <w:rFonts w:ascii="Times New Roman" w:hAnsi="Times New Roman"/>
          <w:sz w:val="21"/>
          <w:szCs w:val="21"/>
        </w:rPr>
        <w:t>: unadjusted model; Model 2: adjusted for sex, age</w:t>
      </w:r>
      <w:r>
        <w:rPr>
          <w:rFonts w:hint="eastAsia" w:ascii="Times New Roman" w:hAnsi="Times New Roman"/>
          <w:sz w:val="21"/>
          <w:szCs w:val="21"/>
        </w:rPr>
        <w:t>,</w:t>
      </w:r>
      <w:r>
        <w:rPr>
          <w:rFonts w:ascii="Times New Roman" w:hAnsi="Times New Roman"/>
          <w:sz w:val="21"/>
          <w:szCs w:val="21"/>
        </w:rPr>
        <w:t xml:space="preserve"> laboratory parameters (albumin, serum potassium, serum sodium, creatinine, WBC, RBC, platelet); Model 3: adjusted for sex, age, laboratory parameters (albumin, serum potassium, serum sodium, creatinine, WBC, RBC, platelet) and </w:t>
      </w:r>
      <w:r>
        <w:rPr>
          <w:rFonts w:hint="eastAsia" w:ascii="Times New Roman" w:hAnsi="Times New Roman"/>
          <w:sz w:val="21"/>
          <w:szCs w:val="21"/>
        </w:rPr>
        <w:t>comorbidit</w:t>
      </w:r>
      <w:r>
        <w:rPr>
          <w:rFonts w:ascii="Times New Roman" w:hAnsi="Times New Roman"/>
          <w:sz w:val="21"/>
          <w:szCs w:val="21"/>
        </w:rPr>
        <w:t>ies</w:t>
      </w:r>
      <w:r>
        <w:rPr>
          <w:rFonts w:hint="eastAsia" w:ascii="Times New Roman" w:hAnsi="Times New Roman"/>
          <w:sz w:val="21"/>
          <w:szCs w:val="21"/>
          <w:lang w:val="en-US" w:eastAsia="zh-CN"/>
        </w:rPr>
        <w:t xml:space="preserve"> </w:t>
      </w:r>
      <w:r>
        <w:rPr>
          <w:rFonts w:ascii="Times New Roman" w:hAnsi="Times New Roman"/>
          <w:sz w:val="21"/>
          <w:szCs w:val="21"/>
        </w:rPr>
        <w:t>(congestive heart failure,</w:t>
      </w:r>
      <w:r>
        <w:rPr>
          <w:rFonts w:hint="eastAsia" w:ascii="Times New Roman" w:hAnsi="Times New Roman"/>
          <w:sz w:val="21"/>
          <w:szCs w:val="21"/>
        </w:rPr>
        <w:t xml:space="preserve"> c</w:t>
      </w:r>
      <w:r>
        <w:rPr>
          <w:rFonts w:ascii="Times New Roman" w:hAnsi="Times New Roman"/>
          <w:sz w:val="21"/>
          <w:szCs w:val="21"/>
        </w:rPr>
        <w:t xml:space="preserve">hronic pulmonary disease, sepsis, </w:t>
      </w:r>
      <w:r>
        <w:rPr>
          <w:rFonts w:hint="eastAsia" w:ascii="Times New Roman" w:hAnsi="Times New Roman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 xml:space="preserve">yocardial infarction, </w:t>
      </w:r>
      <w:r>
        <w:rPr>
          <w:rFonts w:hint="eastAsia" w:ascii="Times New Roman" w:hAnsi="Times New Roman"/>
          <w:sz w:val="21"/>
          <w:szCs w:val="21"/>
        </w:rPr>
        <w:t>l</w:t>
      </w:r>
      <w:r>
        <w:rPr>
          <w:rFonts w:ascii="Times New Roman" w:hAnsi="Times New Roman"/>
          <w:sz w:val="21"/>
          <w:szCs w:val="21"/>
        </w:rPr>
        <w:t xml:space="preserve">iver disease, </w:t>
      </w:r>
      <w:r>
        <w:rPr>
          <w:rFonts w:hint="eastAsia" w:ascii="Times New Roman" w:hAnsi="Times New Roman"/>
          <w:sz w:val="21"/>
          <w:szCs w:val="21"/>
        </w:rPr>
        <w:t>c</w:t>
      </w:r>
      <w:r>
        <w:rPr>
          <w:rFonts w:ascii="Times New Roman" w:hAnsi="Times New Roman"/>
          <w:sz w:val="21"/>
          <w:szCs w:val="21"/>
        </w:rPr>
        <w:t xml:space="preserve">erebrovascular disease, </w:t>
      </w:r>
      <w:r>
        <w:rPr>
          <w:rFonts w:hint="eastAsia" w:ascii="Times New Roman" w:hAnsi="Times New Roman"/>
          <w:sz w:val="21"/>
          <w:szCs w:val="21"/>
        </w:rPr>
        <w:t>d</w:t>
      </w:r>
      <w:r>
        <w:rPr>
          <w:rFonts w:ascii="Times New Roman" w:hAnsi="Times New Roman"/>
          <w:sz w:val="21"/>
          <w:szCs w:val="21"/>
        </w:rPr>
        <w:t xml:space="preserve">iabetes, </w:t>
      </w:r>
      <w:r>
        <w:rPr>
          <w:rFonts w:hint="eastAsia" w:ascii="Times New Roman" w:hAnsi="Times New Roman"/>
          <w:sz w:val="21"/>
          <w:szCs w:val="21"/>
        </w:rPr>
        <w:t>r</w:t>
      </w:r>
      <w:r>
        <w:rPr>
          <w:rFonts w:ascii="Times New Roman" w:hAnsi="Times New Roman"/>
          <w:sz w:val="21"/>
          <w:szCs w:val="21"/>
        </w:rPr>
        <w:t xml:space="preserve">enal disease, </w:t>
      </w:r>
      <w:r>
        <w:rPr>
          <w:rFonts w:hint="eastAsia" w:ascii="Times New Roman" w:hAnsi="Times New Roman"/>
          <w:sz w:val="21"/>
          <w:szCs w:val="21"/>
        </w:rPr>
        <w:t>h</w:t>
      </w:r>
      <w:r>
        <w:rPr>
          <w:rFonts w:ascii="Times New Roman" w:hAnsi="Times New Roman"/>
          <w:sz w:val="21"/>
          <w:szCs w:val="21"/>
        </w:rPr>
        <w:t xml:space="preserve">ypertension, </w:t>
      </w:r>
      <w:r>
        <w:rPr>
          <w:rFonts w:hint="eastAsia" w:ascii="Times New Roman" w:hAnsi="Times New Roman"/>
          <w:sz w:val="21"/>
          <w:szCs w:val="21"/>
        </w:rPr>
        <w:t>m</w:t>
      </w:r>
      <w:r>
        <w:rPr>
          <w:rFonts w:ascii="Times New Roman" w:hAnsi="Times New Roman"/>
          <w:sz w:val="21"/>
          <w:szCs w:val="21"/>
        </w:rPr>
        <w:t>alignant</w:t>
      </w:r>
      <w:r>
        <w:rPr>
          <w:rFonts w:hint="eastAsia"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>cancer);</w:t>
      </w:r>
    </w:p>
    <w:p>
      <w:pPr>
        <w:pStyle w:val="8"/>
        <w:spacing w:line="36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Abbreviations: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zCs w:val="21"/>
        </w:rPr>
        <w:t>TyG, Triglyceride-glucose</w:t>
      </w:r>
      <w:r>
        <w:rPr>
          <w:rFonts w:ascii="Times New Roman" w:hAnsi="Times New Roman"/>
        </w:rPr>
        <w:t>; OR, odds ratio;</w:t>
      </w:r>
      <w:r>
        <w:t xml:space="preserve"> </w:t>
      </w:r>
      <w:r>
        <w:rPr>
          <w:rFonts w:ascii="Times New Roman" w:hAnsi="Times New Roman"/>
        </w:rPr>
        <w:t>CI, confidence interval</w:t>
      </w:r>
    </w:p>
    <w:p>
      <w:pPr>
        <w:pStyle w:val="8"/>
        <w:spacing w:line="360" w:lineRule="auto"/>
        <w:jc w:val="both"/>
        <w:rPr>
          <w:rFonts w:ascii="Times New Roman" w:hAnsi="Times New Roman" w:cs="Times New Roman"/>
          <w:b/>
          <w:kern w:val="44"/>
          <w:sz w:val="24"/>
          <w:szCs w:val="15"/>
        </w:rPr>
      </w:pPr>
      <w:r>
        <w:rPr>
          <w:rFonts w:ascii="Times New Roman" w:hAnsi="Times New Roman" w:cs="Times New Roman"/>
          <w:sz w:val="24"/>
          <w:szCs w:val="15"/>
        </w:rPr>
        <w:br w:type="page"/>
      </w:r>
    </w:p>
    <w:p>
      <w:pPr>
        <w:pStyle w:val="2"/>
        <w:tabs>
          <w:tab w:val="left" w:pos="6955"/>
        </w:tabs>
        <w:rPr>
          <w:rFonts w:ascii="Times New Roman" w:hAnsi="Times New Roman" w:cs="Times New Roman"/>
          <w:b w:val="0"/>
          <w:bCs/>
          <w:sz w:val="24"/>
          <w:szCs w:val="15"/>
        </w:rPr>
      </w:pPr>
      <w:bookmarkStart w:id="12" w:name="_Toc146238753"/>
      <w:r>
        <w:rPr>
          <w:rFonts w:ascii="Times New Roman" w:hAnsi="Times New Roman" w:cs="Times New Roman"/>
          <w:sz w:val="24"/>
          <w:szCs w:val="24"/>
        </w:rPr>
        <w:t>Supplementary</w:t>
      </w:r>
      <w:r>
        <w:rPr>
          <w:rFonts w:ascii="Times New Roman" w:hAnsi="Times New Roman" w:cs="Times New Roman"/>
          <w:sz w:val="24"/>
          <w:szCs w:val="15"/>
        </w:rPr>
        <w:t xml:space="preserve"> Table </w:t>
      </w:r>
      <w:bookmarkEnd w:id="0"/>
      <w:r>
        <w:rPr>
          <w:rFonts w:ascii="Times New Roman" w:hAnsi="Times New Roman" w:cs="Times New Roman"/>
          <w:sz w:val="24"/>
          <w:szCs w:val="15"/>
        </w:rPr>
        <w:t>6.</w:t>
      </w:r>
      <w:bookmarkEnd w:id="1"/>
      <w:r>
        <w:rPr>
          <w:rFonts w:ascii="Times New Roman" w:hAnsi="Times New Roman" w:cs="Times New Roman"/>
          <w:sz w:val="24"/>
          <w:szCs w:val="15"/>
        </w:rPr>
        <w:t xml:space="preserve"> </w:t>
      </w:r>
      <w:r>
        <w:rPr>
          <w:rFonts w:ascii="Times New Roman" w:hAnsi="Times New Roman" w:cs="Times New Roman"/>
          <w:b w:val="0"/>
          <w:bCs/>
          <w:sz w:val="24"/>
          <w:szCs w:val="15"/>
        </w:rPr>
        <w:t>The baseline clinical characteristics of the patients after propensity score matching in both TyG groups were analyzed.</w:t>
      </w:r>
      <w:bookmarkEnd w:id="12"/>
      <w:r>
        <w:rPr>
          <w:rFonts w:ascii="Times New Roman" w:hAnsi="Times New Roman" w:cs="Times New Roman"/>
          <w:b w:val="0"/>
          <w:bCs/>
          <w:sz w:val="24"/>
          <w:szCs w:val="15"/>
        </w:rPr>
        <w:tab/>
      </w:r>
    </w:p>
    <w:tbl>
      <w:tblPr>
        <w:tblStyle w:val="15"/>
        <w:tblW w:w="9870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74"/>
        <w:gridCol w:w="2072"/>
        <w:gridCol w:w="1842"/>
        <w:gridCol w:w="1843"/>
        <w:gridCol w:w="93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0"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b/>
                <w:bCs/>
                <w:kern w:val="0"/>
                <w:szCs w:val="21"/>
              </w:rPr>
              <w:t>ategories</w:t>
            </w:r>
          </w:p>
        </w:tc>
        <w:tc>
          <w:tcPr>
            <w:tcW w:w="207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Total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Q1(&lt; 8.912)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bookmarkStart w:id="13" w:name="OLE_LINK2"/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Q2(≥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8.912)</w:t>
            </w:r>
            <w:bookmarkEnd w:id="13"/>
          </w:p>
        </w:tc>
        <w:tc>
          <w:tcPr>
            <w:tcW w:w="93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Cs w:val="21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 xml:space="preserve"> value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</w:t>
            </w:r>
          </w:p>
        </w:tc>
        <w:tc>
          <w:tcPr>
            <w:tcW w:w="2072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3,494</w:t>
            </w:r>
          </w:p>
        </w:tc>
        <w:tc>
          <w:tcPr>
            <w:tcW w:w="1842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1,747</w:t>
            </w:r>
          </w:p>
        </w:tc>
        <w:tc>
          <w:tcPr>
            <w:tcW w:w="1843" w:type="dxa"/>
            <w:tcBorders>
              <w:top w:val="single" w:color="auto" w:sz="4" w:space="0"/>
              <w:left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1,747</w:t>
            </w:r>
          </w:p>
        </w:tc>
        <w:tc>
          <w:tcPr>
            <w:tcW w:w="939" w:type="dxa"/>
            <w:tcBorders>
              <w:top w:val="single" w:color="auto" w:sz="4" w:space="0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D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emographic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Age, years,</w:t>
            </w:r>
          </w:p>
        </w:tc>
        <w:tc>
          <w:tcPr>
            <w:tcW w:w="207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76 (70,83)</w:t>
            </w:r>
          </w:p>
        </w:tc>
        <w:tc>
          <w:tcPr>
            <w:tcW w:w="1843" w:type="dxa"/>
            <w:tcBorders>
              <w:left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Sex, n(%)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0.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892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Male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,879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937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941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53.9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Female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,616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(4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46.1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Ethnicity, n(%)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White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2,379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1,116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1,213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Other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1,115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581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33.3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534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30.6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V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ital signs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Temperature,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°C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36.7 (36.4,37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36.7 (36.4,37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.0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36.7 (36.4,37.1)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0.014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Heart rate,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beats/minute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Mean blood pressure, mmHg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84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0.110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Respiratory rate,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Cs w:val="21"/>
              </w:rPr>
              <w:t>beats/minute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19 (16,23)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,24)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0.007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L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aboratory tests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Albumin, g/dL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(2.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,3.9)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(2.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,3.9)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3.3 (2.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,3.9)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0.412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BUN, mg/dL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(16,3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0.046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Creatinine, mg/dL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1.1 (0.8,1.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 (0.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,1.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(0.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0.034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Serum sodium, mEq/L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139 (136,142)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139 (136,14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139 (136,14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0.378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Serum potassium, mEq/L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(3.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,4.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4.1 (3.8,4.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4.2 (3.8,4.6)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0.415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INR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(1.1,1.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(1.1,1.5)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1.2 (1.1,1.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0.011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WBC,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/L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7.8,14.9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10.3 (7.5,1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11.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(8.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,15.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RBC,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/L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3.6 (3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(3.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,4.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,4.2)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0.429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Platelet, 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10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  <w:vertAlign w:val="superscript"/>
              </w:rPr>
              <w:t>9</w:t>
            </w:r>
            <w:r>
              <w:rPr>
                <w:rFonts w:ascii="Times New Roman" w:hAnsi="Times New Roman" w:eastAsia="等线" w:cs="Times New Roman"/>
                <w:color w:val="000000"/>
                <w:kern w:val="0"/>
                <w:sz w:val="22"/>
              </w:rPr>
              <w:t>/L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20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,26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.5)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20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(149,27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0.944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Triglycerides, mg/dL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156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,10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,20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Glucose, mg/dL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132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,137)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,19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C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omorbidities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S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epsis, n(%)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0.718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687 (76.9)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339 (76.6)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val="en-US" w:eastAsia="zh-CN"/>
              </w:rPr>
              <w:t>,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348 (77.2)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807 (23.1)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408 (23.4)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399 (22.8)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Myocardial infarction, n(%)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0.734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2,517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,254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71.8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,263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977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493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484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Cerebrovascular disease, n(%)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0.26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2,230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1,131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1,099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(62.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,264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616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35.3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648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(37.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C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ongestive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heart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failure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, n(%)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0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.943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2,284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1,143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65.4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1,141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(6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,210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34.6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606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Chronic pulmonary disease, n(%)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2,505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,253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(71.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,252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(71.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989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494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(28.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495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(28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Diabetes, n(%)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0.245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2,384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68.2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1,208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69.1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1,176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67.3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1,110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31.8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539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30.9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571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32.7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Renal disease, n(%)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2,617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1,297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(7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,320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75.6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877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25.1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450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7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24.4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Malignant cancer, n(%)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0.46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2,936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1,476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1,460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(83.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558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271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287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(16.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Liver disease, n(%)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0.955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3,141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89.9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1,570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89.9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1,571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(89.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176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(10.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Hypertension, n(%)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0.361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,759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893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866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1,735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854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48.9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881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(5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E</w:t>
            </w: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vents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RRT treatment, n(%)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0.107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3,160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90.4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 xml:space="preserve">1,594 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91.2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1,566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334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181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10.4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MV, n(%)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&lt; 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1,771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50.7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1,006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57.6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765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43.8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Yes</w:t>
            </w:r>
          </w:p>
        </w:tc>
        <w:tc>
          <w:tcPr>
            <w:tcW w:w="207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1,723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49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.3)</w:t>
            </w:r>
          </w:p>
        </w:tc>
        <w:tc>
          <w:tcPr>
            <w:tcW w:w="1842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741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(4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2.4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982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56.2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ICU death, n(%)</w:t>
            </w:r>
          </w:p>
        </w:tc>
        <w:tc>
          <w:tcPr>
            <w:tcW w:w="2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0.708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Survivor</w:t>
            </w:r>
          </w:p>
        </w:tc>
        <w:tc>
          <w:tcPr>
            <w:tcW w:w="207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3,099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.7)</w:t>
            </w:r>
          </w:p>
        </w:tc>
        <w:tc>
          <w:tcPr>
            <w:tcW w:w="1842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53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88.9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top w:val="nil"/>
              <w:left w:val="nil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1,546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(8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8.5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3174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Non-survivor</w:t>
            </w:r>
          </w:p>
        </w:tc>
        <w:tc>
          <w:tcPr>
            <w:tcW w:w="2072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395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.3)</w:t>
            </w:r>
          </w:p>
        </w:tc>
        <w:tc>
          <w:tcPr>
            <w:tcW w:w="1842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194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11.1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1843" w:type="dxa"/>
            <w:tcBorders>
              <w:left w:val="nil"/>
              <w:bottom w:val="single" w:color="auto" w:sz="4" w:space="0"/>
              <w:right w:val="nil"/>
            </w:tcBorders>
            <w:vAlign w:val="center"/>
          </w:tcPr>
          <w:p>
            <w:pPr>
              <w:widowControl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01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 xml:space="preserve"> (1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1.5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)</w:t>
            </w:r>
          </w:p>
        </w:tc>
        <w:tc>
          <w:tcPr>
            <w:tcW w:w="939" w:type="dxa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>
            <w:pPr>
              <w:widowControl/>
              <w:jc w:val="lef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</w:tbl>
    <w:p>
      <w:pPr>
        <w:pStyle w:val="8"/>
        <w:spacing w:before="100" w:beforeAutospacing="1" w:line="360" w:lineRule="auto"/>
        <w:jc w:val="both"/>
        <w:rPr>
          <w:szCs w:val="21"/>
        </w:rPr>
      </w:pPr>
      <w:r>
        <w:rPr>
          <w:rFonts w:ascii="Times New Roman" w:hAnsi="Times New Roman" w:cs="Times New Roman"/>
          <w:b/>
          <w:bCs/>
        </w:rPr>
        <w:t>Abbreviations:</w:t>
      </w:r>
      <w:r>
        <w:rPr>
          <w:rFonts w:ascii="Times New Roman" w:hAnsi="Times New Roman"/>
          <w:szCs w:val="21"/>
        </w:rPr>
        <w:t xml:space="preserve"> MIMIC-IV, Medical Information Mart for Intensive Care IV; eICU-CRD, eICU Collaborative Research Database; 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WBC, White cell count; RBC,</w:t>
      </w:r>
      <w:r>
        <w:rPr>
          <w:szCs w:val="21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 xml:space="preserve">Red cell count; </w:t>
      </w:r>
      <w:r>
        <w:rPr>
          <w:rFonts w:ascii="Times New Roman" w:hAnsi="Times New Roman"/>
          <w:szCs w:val="21"/>
        </w:rPr>
        <w:t>RRT, Renal replacement therapy; MV, Mechanical ventilation; TyG, Triglyceride-glucose;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 xml:space="preserve"> ICU, </w:t>
      </w:r>
      <w:r>
        <w:rPr>
          <w:rFonts w:hint="eastAsia" w:ascii="Times New Roman" w:hAnsi="Times New Roman" w:eastAsia="宋体" w:cs="Times New Roman"/>
          <w:color w:val="000000"/>
          <w:kern w:val="0"/>
          <w:szCs w:val="21"/>
          <w:lang w:val="en-US" w:eastAsia="zh-CN"/>
        </w:rPr>
        <w:t>I</w:t>
      </w:r>
      <w:r>
        <w:rPr>
          <w:rFonts w:ascii="Times New Roman" w:hAnsi="Times New Roman" w:eastAsia="宋体" w:cs="Times New Roman"/>
          <w:color w:val="000000"/>
          <w:kern w:val="0"/>
          <w:szCs w:val="21"/>
        </w:rPr>
        <w:t>ntensive care unit.</w:t>
      </w:r>
    </w:p>
    <w:p>
      <w:pPr>
        <w:tabs>
          <w:tab w:val="left" w:pos="312"/>
        </w:tabs>
        <w:rPr>
          <w:rFonts w:ascii="Times New Roman" w:hAnsi="Times New Roman" w:eastAsia="黑体" w:cs="Times New Roman"/>
          <w:b/>
          <w:sz w:val="24"/>
          <w:szCs w:val="21"/>
        </w:rPr>
        <w:sectPr>
          <w:footerReference r:id="rId5" w:type="default"/>
          <w:endnotePr>
            <w:numFmt w:val="lowerLetter"/>
          </w:endnote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pStyle w:val="2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14" w:name="_Toc146238754"/>
      <w:r>
        <w:rPr>
          <w:rFonts w:ascii="Times New Roman" w:hAnsi="Times New Roman" w:cs="Times New Roman"/>
          <w:sz w:val="24"/>
          <w:szCs w:val="24"/>
        </w:rPr>
        <w:t>Supplementary</w:t>
      </w:r>
      <w:r>
        <w:rPr>
          <w:rFonts w:ascii="Times New Roman" w:hAnsi="Times New Roman" w:cs="Times New Roman"/>
          <w:sz w:val="24"/>
          <w:szCs w:val="15"/>
        </w:rPr>
        <w:t xml:space="preserve"> Table</w:t>
      </w:r>
      <w:r>
        <w:rPr>
          <w:rFonts w:ascii="Times New Roman" w:hAnsi="Times New Roman" w:cs="Times New Roman"/>
          <w:sz w:val="24"/>
          <w:szCs w:val="24"/>
        </w:rPr>
        <w:t xml:space="preserve"> 7.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>Subgroup analys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is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for the association of TyG index with the risk of delirium in ICU patients aged 65 and above.</w:t>
      </w:r>
      <w:bookmarkEnd w:id="14"/>
    </w:p>
    <w:tbl>
      <w:tblPr>
        <w:tblStyle w:val="16"/>
        <w:tblW w:w="1049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65"/>
        <w:gridCol w:w="1220"/>
        <w:gridCol w:w="1377"/>
        <w:gridCol w:w="836"/>
        <w:gridCol w:w="1951"/>
        <w:gridCol w:w="850"/>
        <w:gridCol w:w="1691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591" w:type="dxa"/>
            <w:vMerge w:val="restart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15" w:name="_Hlk138361297"/>
          </w:p>
        </w:tc>
        <w:tc>
          <w:tcPr>
            <w:tcW w:w="1165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Case/Total</w:t>
            </w:r>
          </w:p>
        </w:tc>
        <w:tc>
          <w:tcPr>
            <w:tcW w:w="2219" w:type="dxa"/>
            <w:gridSpan w:val="2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Q1(&lt; 8.912)</w:t>
            </w:r>
          </w:p>
        </w:tc>
        <w:tc>
          <w:tcPr>
            <w:tcW w:w="2814" w:type="dxa"/>
            <w:gridSpan w:val="2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000000"/>
                <w:kern w:val="0"/>
                <w:szCs w:val="21"/>
              </w:rPr>
              <w:t>Q2(≥8.912)</w:t>
            </w:r>
          </w:p>
        </w:tc>
        <w:tc>
          <w:tcPr>
            <w:tcW w:w="1701" w:type="dxa"/>
            <w:vMerge w:val="restart"/>
            <w:tcBorders>
              <w:top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  <w:r>
              <w:rPr>
                <w:rFonts w:ascii="Times New Roman" w:hAnsi="Times New Roman" w:cs="Times New Roman"/>
                <w:b/>
                <w:bCs/>
                <w:szCs w:val="21"/>
              </w:rPr>
              <w:t xml:space="preserve"> for interaction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" w:hRule="atLeast"/>
          <w:jc w:val="center"/>
        </w:trPr>
        <w:tc>
          <w:tcPr>
            <w:tcW w:w="2591" w:type="dxa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65" w:type="dxa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  <w:tc>
          <w:tcPr>
            <w:tcW w:w="1378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OR(95%CI)</w:t>
            </w:r>
          </w:p>
        </w:tc>
        <w:tc>
          <w:tcPr>
            <w:tcW w:w="841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963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Cs w:val="21"/>
              </w:rPr>
              <w:t>OR(95%CI)</w:t>
            </w:r>
          </w:p>
        </w:tc>
        <w:tc>
          <w:tcPr>
            <w:tcW w:w="851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Cs w:val="21"/>
              </w:rPr>
              <w:t>P</w:t>
            </w:r>
          </w:p>
        </w:tc>
        <w:tc>
          <w:tcPr>
            <w:tcW w:w="1701" w:type="dxa"/>
            <w:vMerge w:val="continue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Cs w:val="21"/>
              </w:rPr>
            </w:pPr>
            <w:bookmarkStart w:id="16" w:name="_Hlk138412989"/>
            <w:r>
              <w:rPr>
                <w:rFonts w:hint="eastAsia" w:ascii="Times New Roman" w:hAnsi="Times New Roman" w:cs="Times New Roman"/>
                <w:szCs w:val="21"/>
              </w:rPr>
              <w:t>S</w:t>
            </w:r>
            <w:r>
              <w:rPr>
                <w:rFonts w:ascii="Times New Roman" w:hAnsi="Times New Roman" w:cs="Times New Roman"/>
                <w:szCs w:val="21"/>
              </w:rPr>
              <w:t>ex</w:t>
            </w:r>
          </w:p>
        </w:tc>
        <w:tc>
          <w:tcPr>
            <w:tcW w:w="1165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78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41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3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  <w:tcBorders>
              <w:top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  <w:tcBorders>
              <w:top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.570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M</w:t>
            </w:r>
            <w:r>
              <w:rPr>
                <w:rFonts w:ascii="Times New Roman" w:hAnsi="Times New Roman" w:cs="Times New Roman"/>
                <w:szCs w:val="21"/>
              </w:rPr>
              <w:t>ale</w:t>
            </w:r>
          </w:p>
        </w:tc>
        <w:tc>
          <w:tcPr>
            <w:tcW w:w="1165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163/2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506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.332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(1.122-1.580)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F</w:t>
            </w:r>
            <w:r>
              <w:rPr>
                <w:rFonts w:ascii="Times New Roman" w:hAnsi="Times New Roman" w:cs="Times New Roman"/>
                <w:szCs w:val="21"/>
              </w:rPr>
              <w:t>emale</w:t>
            </w:r>
          </w:p>
        </w:tc>
        <w:tc>
          <w:tcPr>
            <w:tcW w:w="1165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002/2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143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1.325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(1.100-1.600)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.003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A</w:t>
            </w:r>
            <w:r>
              <w:rPr>
                <w:rFonts w:ascii="Times New Roman" w:hAnsi="Times New Roman" w:cs="Times New Roman"/>
                <w:szCs w:val="21"/>
              </w:rPr>
              <w:t>ge</w:t>
            </w:r>
            <w:r>
              <w:rPr>
                <w:rFonts w:hint="eastAsia" w:ascii="Times New Roman" w:hAnsi="Times New Roman" w:cs="Times New Roman"/>
                <w:szCs w:val="21"/>
              </w:rPr>
              <w:t>(</w:t>
            </w:r>
            <w:r>
              <w:rPr>
                <w:rFonts w:ascii="Times New Roman" w:hAnsi="Times New Roman" w:cs="Times New Roman"/>
                <w:szCs w:val="21"/>
              </w:rPr>
              <w:t>years)</w:t>
            </w:r>
          </w:p>
        </w:tc>
        <w:tc>
          <w:tcPr>
            <w:tcW w:w="1165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3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.671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&lt;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80</w:t>
            </w:r>
          </w:p>
        </w:tc>
        <w:tc>
          <w:tcPr>
            <w:tcW w:w="1165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355/2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937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.272 (1.087-1.490)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.003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≥80</w:t>
            </w:r>
          </w:p>
        </w:tc>
        <w:tc>
          <w:tcPr>
            <w:tcW w:w="1165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810/1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712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.400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(1.136-1.730)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.002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left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E</w:t>
            </w:r>
            <w:r>
              <w:rPr>
                <w:rFonts w:ascii="Times New Roman" w:hAnsi="Times New Roman" w:cs="Times New Roman"/>
                <w:szCs w:val="21"/>
              </w:rPr>
              <w:t>thnicity</w:t>
            </w:r>
          </w:p>
        </w:tc>
        <w:tc>
          <w:tcPr>
            <w:tcW w:w="1165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3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0.586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17" w:name="_Hlk146036843"/>
            <w:r>
              <w:rPr>
                <w:rFonts w:ascii="Times New Roman" w:hAnsi="Times New Roman" w:cs="Times New Roman"/>
                <w:szCs w:val="21"/>
              </w:rPr>
              <w:t>White</w:t>
            </w:r>
          </w:p>
        </w:tc>
        <w:tc>
          <w:tcPr>
            <w:tcW w:w="1165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795/3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168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1.315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(1.129-1.530)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Other</w:t>
            </w:r>
          </w:p>
        </w:tc>
        <w:tc>
          <w:tcPr>
            <w:tcW w:w="1165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689/1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481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.342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(1.072-1.680)</w:t>
            </w:r>
          </w:p>
        </w:tc>
        <w:tc>
          <w:tcPr>
            <w:tcW w:w="85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.011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bookmarkEnd w:id="17"/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 xml:space="preserve">Congestive </w:t>
            </w:r>
            <w:r>
              <w:rPr>
                <w:rFonts w:hint="eastAsia" w:ascii="Times New Roman" w:hAnsi="Times New Roman" w:cs="Times New Roman"/>
                <w:szCs w:val="21"/>
              </w:rPr>
              <w:t>heart</w:t>
            </w:r>
            <w:r>
              <w:rPr>
                <w:rFonts w:ascii="Times New Roman" w:hAnsi="Times New Roman" w:cs="Times New Roman"/>
                <w:szCs w:val="21"/>
              </w:rPr>
              <w:t xml:space="preserve"> failure</w:t>
            </w:r>
          </w:p>
        </w:tc>
        <w:tc>
          <w:tcPr>
            <w:tcW w:w="1165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78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4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3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.770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165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405/2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978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1.292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(1.106-1.510)</w:t>
            </w:r>
          </w:p>
        </w:tc>
        <w:tc>
          <w:tcPr>
            <w:tcW w:w="85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</w:t>
            </w:r>
            <w:r>
              <w:rPr>
                <w:rFonts w:ascii="Times New Roman" w:hAnsi="Times New Roman" w:cs="Times New Roman"/>
                <w:szCs w:val="21"/>
              </w:rPr>
              <w:t>es</w:t>
            </w:r>
          </w:p>
        </w:tc>
        <w:tc>
          <w:tcPr>
            <w:tcW w:w="1165" w:type="dxa"/>
          </w:tcPr>
          <w:p>
            <w:pPr>
              <w:ind w:firstLine="105" w:firstLineChars="5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760/1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671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.380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(1.110-1.720)</w:t>
            </w:r>
          </w:p>
        </w:tc>
        <w:tc>
          <w:tcPr>
            <w:tcW w:w="85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.004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Chronic pulmonary disease</w:t>
            </w:r>
          </w:p>
        </w:tc>
        <w:tc>
          <w:tcPr>
            <w:tcW w:w="1165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78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4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3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.726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165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549/3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356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1.287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(1.110-1.490)</w:t>
            </w:r>
          </w:p>
        </w:tc>
        <w:tc>
          <w:tcPr>
            <w:tcW w:w="85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</w:t>
            </w:r>
            <w:r>
              <w:rPr>
                <w:rFonts w:ascii="Times New Roman" w:hAnsi="Times New Roman" w:cs="Times New Roman"/>
                <w:szCs w:val="21"/>
              </w:rPr>
              <w:t>es</w:t>
            </w:r>
          </w:p>
        </w:tc>
        <w:tc>
          <w:tcPr>
            <w:tcW w:w="1165" w:type="dxa"/>
          </w:tcPr>
          <w:p>
            <w:pPr>
              <w:ind w:firstLine="105" w:firstLineChars="5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16/1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293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1.424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(1.119-1.810)</w:t>
            </w:r>
          </w:p>
        </w:tc>
        <w:tc>
          <w:tcPr>
            <w:tcW w:w="85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.004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>Hypertension</w:t>
            </w:r>
          </w:p>
        </w:tc>
        <w:tc>
          <w:tcPr>
            <w:tcW w:w="1165" w:type="dxa"/>
          </w:tcPr>
          <w:p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1378" w:type="dxa"/>
          </w:tcPr>
          <w:p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841" w:type="dxa"/>
          </w:tcPr>
          <w:p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1963" w:type="dxa"/>
          </w:tcPr>
          <w:p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851" w:type="dxa"/>
          </w:tcPr>
          <w:p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.910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165" w:type="dxa"/>
          </w:tcPr>
          <w:p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116/2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310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.313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(1.098-1.570)</w:t>
            </w:r>
          </w:p>
        </w:tc>
        <w:tc>
          <w:tcPr>
            <w:tcW w:w="85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.003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</w:t>
            </w:r>
            <w:r>
              <w:rPr>
                <w:rFonts w:ascii="Times New Roman" w:hAnsi="Times New Roman" w:cs="Times New Roman"/>
                <w:szCs w:val="21"/>
              </w:rPr>
              <w:t>es</w:t>
            </w:r>
          </w:p>
        </w:tc>
        <w:tc>
          <w:tcPr>
            <w:tcW w:w="1165" w:type="dxa"/>
          </w:tcPr>
          <w:p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049/2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339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.340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(1.121-1.600)</w:t>
            </w:r>
          </w:p>
        </w:tc>
        <w:tc>
          <w:tcPr>
            <w:tcW w:w="85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left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>Sepsis</w:t>
            </w:r>
          </w:p>
        </w:tc>
        <w:tc>
          <w:tcPr>
            <w:tcW w:w="1165" w:type="dxa"/>
          </w:tcPr>
          <w:p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1963" w:type="dxa"/>
          </w:tcPr>
          <w:p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851" w:type="dxa"/>
          </w:tcPr>
          <w:p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165" w:type="dxa"/>
          </w:tcPr>
          <w:p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549/3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639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1.243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(1.077-1.440)</w:t>
            </w:r>
          </w:p>
        </w:tc>
        <w:tc>
          <w:tcPr>
            <w:tcW w:w="85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.003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</w:t>
            </w:r>
            <w:r>
              <w:rPr>
                <w:rFonts w:ascii="Times New Roman" w:hAnsi="Times New Roman" w:cs="Times New Roman"/>
                <w:szCs w:val="21"/>
              </w:rPr>
              <w:t>es</w:t>
            </w:r>
          </w:p>
        </w:tc>
        <w:tc>
          <w:tcPr>
            <w:tcW w:w="1165" w:type="dxa"/>
          </w:tcPr>
          <w:p>
            <w:pPr>
              <w:ind w:firstLine="105" w:firstLineChars="50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6</w:t>
            </w:r>
            <w:r>
              <w:rPr>
                <w:rFonts w:ascii="Times New Roman" w:hAnsi="Times New Roman" w:cs="Times New Roman"/>
                <w:szCs w:val="21"/>
              </w:rPr>
              <w:t>16/1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010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>1.559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(1.193-2.040)</w:t>
            </w:r>
          </w:p>
        </w:tc>
        <w:tc>
          <w:tcPr>
            <w:tcW w:w="851" w:type="dxa"/>
          </w:tcPr>
          <w:p>
            <w:pPr>
              <w:rPr>
                <w:rFonts w:ascii="Times New Roman" w:hAnsi="Times New Roman" w:cs="Times New Roman"/>
                <w:szCs w:val="21"/>
                <w:highlight w:val="yellow"/>
              </w:rPr>
            </w:pPr>
            <w:bookmarkStart w:id="18" w:name="OLE_LINK3"/>
            <w:r>
              <w:rPr>
                <w:rFonts w:hint="eastAsia"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  <w:bookmarkEnd w:id="18"/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Renal disease</w:t>
            </w:r>
          </w:p>
        </w:tc>
        <w:tc>
          <w:tcPr>
            <w:tcW w:w="1165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963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5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  <w:r>
              <w:rPr>
                <w:rFonts w:ascii="Times New Roman" w:hAnsi="Times New Roman" w:cs="Times New Roman"/>
                <w:szCs w:val="21"/>
              </w:rPr>
              <w:t>0087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bookmarkStart w:id="19" w:name="_Hlk146040950"/>
            <w:r>
              <w:rPr>
                <w:rFonts w:ascii="Times New Roman" w:hAnsi="Times New Roman" w:cs="Times New Roman"/>
                <w:szCs w:val="21"/>
              </w:rPr>
              <w:t>No</w:t>
            </w:r>
          </w:p>
        </w:tc>
        <w:tc>
          <w:tcPr>
            <w:tcW w:w="1165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570/3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446</w:t>
            </w:r>
          </w:p>
        </w:tc>
        <w:tc>
          <w:tcPr>
            <w:tcW w:w="1378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1</w:t>
            </w:r>
            <w:r>
              <w:rPr>
                <w:rFonts w:ascii="Times New Roman" w:hAnsi="Times New Roman" w:cs="Times New Roman"/>
                <w:szCs w:val="21"/>
              </w:rPr>
              <w:t>.315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(1.137-1.520)</w:t>
            </w:r>
          </w:p>
        </w:tc>
        <w:tc>
          <w:tcPr>
            <w:tcW w:w="851" w:type="dxa"/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&lt;</w:t>
            </w:r>
            <w:r>
              <w:rPr>
                <w:rFonts w:ascii="Times New Roman" w:hAnsi="Times New Roman" w:cs="Times New Roman"/>
                <w:szCs w:val="21"/>
              </w:rPr>
              <w:t>0.001</w:t>
            </w:r>
          </w:p>
        </w:tc>
        <w:tc>
          <w:tcPr>
            <w:tcW w:w="1701" w:type="dxa"/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2591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Y</w:t>
            </w:r>
            <w:r>
              <w:rPr>
                <w:rFonts w:ascii="Times New Roman" w:hAnsi="Times New Roman" w:cs="Times New Roman"/>
                <w:szCs w:val="21"/>
              </w:rPr>
              <w:t>es</w:t>
            </w:r>
          </w:p>
        </w:tc>
        <w:tc>
          <w:tcPr>
            <w:tcW w:w="1165" w:type="dxa"/>
            <w:tcBorders>
              <w:bottom w:val="single" w:color="auto" w:sz="4" w:space="0"/>
            </w:tcBorders>
          </w:tcPr>
          <w:p>
            <w:pPr>
              <w:ind w:firstLine="105" w:firstLineChars="50"/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5</w:t>
            </w:r>
            <w:r>
              <w:rPr>
                <w:rFonts w:ascii="Times New Roman" w:hAnsi="Times New Roman" w:cs="Times New Roman"/>
                <w:szCs w:val="21"/>
              </w:rPr>
              <w:t>95/1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,</w:t>
            </w:r>
            <w:r>
              <w:rPr>
                <w:rFonts w:ascii="Times New Roman" w:hAnsi="Times New Roman" w:cs="Times New Roman"/>
                <w:szCs w:val="21"/>
              </w:rPr>
              <w:t>203</w:t>
            </w:r>
          </w:p>
        </w:tc>
        <w:tc>
          <w:tcPr>
            <w:tcW w:w="1378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841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(ref)</w:t>
            </w:r>
          </w:p>
        </w:tc>
        <w:tc>
          <w:tcPr>
            <w:tcW w:w="1963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/>
                <w:szCs w:val="21"/>
              </w:rPr>
              <w:t>1.273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 xml:space="preserve"> </w:t>
            </w:r>
            <w:r>
              <w:rPr>
                <w:rFonts w:ascii="Times New Roman" w:hAnsi="Times New Roman" w:cs="Times New Roman"/>
                <w:szCs w:val="21"/>
              </w:rPr>
              <w:t>(0.992-1.630)</w:t>
            </w:r>
          </w:p>
        </w:tc>
        <w:tc>
          <w:tcPr>
            <w:tcW w:w="851" w:type="dxa"/>
            <w:tcBorders>
              <w:bottom w:val="single" w:color="auto" w:sz="4" w:space="0"/>
            </w:tcBorders>
          </w:tcPr>
          <w:p>
            <w:pPr>
              <w:rPr>
                <w:rFonts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cs="Times New Roman"/>
                <w:szCs w:val="21"/>
              </w:rPr>
              <w:t>0</w:t>
            </w:r>
            <w:r>
              <w:rPr>
                <w:rFonts w:ascii="Times New Roman" w:hAnsi="Times New Roman" w:cs="Times New Roman"/>
                <w:szCs w:val="21"/>
              </w:rPr>
              <w:t>.058</w:t>
            </w:r>
          </w:p>
        </w:tc>
        <w:tc>
          <w:tcPr>
            <w:tcW w:w="1701" w:type="dxa"/>
            <w:tcBorders>
              <w:bottom w:val="single" w:color="auto" w:sz="4" w:space="0"/>
            </w:tcBorders>
          </w:tcPr>
          <w:p>
            <w:pPr>
              <w:jc w:val="center"/>
              <w:rPr>
                <w:rFonts w:ascii="Times New Roman" w:hAnsi="Times New Roman" w:cs="Times New Roman"/>
                <w:szCs w:val="21"/>
                <w:highlight w:val="yellow"/>
              </w:rPr>
            </w:pPr>
          </w:p>
        </w:tc>
      </w:tr>
      <w:bookmarkEnd w:id="15"/>
      <w:bookmarkEnd w:id="16"/>
      <w:bookmarkEnd w:id="19"/>
    </w:tbl>
    <w:p>
      <w:pPr>
        <w:pStyle w:val="8"/>
        <w:spacing w:line="360" w:lineRule="auto"/>
        <w:rPr>
          <w:rFonts w:ascii="Times New Roman" w:hAnsi="Times New Roman"/>
        </w:rPr>
      </w:pPr>
      <w:r>
        <w:rPr>
          <w:rFonts w:ascii="Times New Roman" w:hAnsi="Times New Roman" w:cs="Times New Roman"/>
          <w:b/>
          <w:bCs/>
        </w:rPr>
        <w:t>Abbreviations:</w:t>
      </w:r>
      <w:r>
        <w:rPr>
          <w:rFonts w:ascii="Times New Roman" w:hAnsi="Times New Roman"/>
        </w:rPr>
        <w:t xml:space="preserve"> OR, odds ratio;</w:t>
      </w:r>
      <w:r>
        <w:t xml:space="preserve"> </w:t>
      </w:r>
      <w:r>
        <w:rPr>
          <w:rFonts w:ascii="Times New Roman" w:hAnsi="Times New Roman"/>
        </w:rPr>
        <w:t>CI, confidence interval</w:t>
      </w:r>
    </w:p>
    <w:p>
      <w:pPr>
        <w:pStyle w:val="8"/>
        <w:spacing w:line="360" w:lineRule="auto"/>
        <w:rPr>
          <w:rFonts w:ascii="Times New Roman" w:hAnsi="Times New Roman"/>
        </w:rPr>
      </w:pPr>
    </w:p>
    <w:p>
      <w:pPr>
        <w:pStyle w:val="8"/>
        <w:spacing w:line="360" w:lineRule="auto"/>
        <w:rPr>
          <w:rFonts w:ascii="Times New Roman" w:hAnsi="Times New Roman"/>
        </w:rPr>
      </w:pPr>
    </w:p>
    <w:p>
      <w:pPr>
        <w:pStyle w:val="8"/>
        <w:spacing w:line="360" w:lineRule="auto"/>
        <w:rPr>
          <w:rFonts w:ascii="Times New Roman" w:hAnsi="Times New Roman"/>
        </w:rPr>
      </w:pPr>
    </w:p>
    <w:p>
      <w:pPr>
        <w:pStyle w:val="8"/>
        <w:spacing w:line="360" w:lineRule="auto"/>
        <w:rPr>
          <w:rFonts w:ascii="Times New Roman" w:hAnsi="Times New Roman"/>
        </w:rPr>
      </w:pPr>
    </w:p>
    <w:p>
      <w:pPr>
        <w:pStyle w:val="8"/>
        <w:spacing w:line="360" w:lineRule="auto"/>
        <w:rPr>
          <w:rFonts w:ascii="Times New Roman" w:hAnsi="Times New Roman"/>
        </w:rPr>
      </w:pPr>
    </w:p>
    <w:p>
      <w:pPr>
        <w:pStyle w:val="8"/>
        <w:spacing w:line="360" w:lineRule="auto"/>
        <w:rPr>
          <w:rFonts w:ascii="Times New Roman" w:hAnsi="Times New Roman"/>
        </w:rPr>
      </w:pPr>
    </w:p>
    <w:p>
      <w:pPr>
        <w:pStyle w:val="2"/>
        <w:rPr>
          <w:rFonts w:ascii="Times New Roman" w:hAnsi="Times New Roman" w:cs="Times New Roman"/>
          <w:b w:val="0"/>
          <w:bCs/>
          <w:sz w:val="24"/>
          <w:szCs w:val="24"/>
        </w:rPr>
      </w:pPr>
      <w:bookmarkStart w:id="20" w:name="_Toc138525320"/>
      <w:bookmarkStart w:id="21" w:name="_Toc146238755"/>
      <w:r>
        <w:rPr>
          <w:rFonts w:ascii="Times New Roman" w:hAnsi="Times New Roman" w:cs="Times New Roman"/>
          <w:sz w:val="24"/>
          <w:szCs w:val="24"/>
        </w:rPr>
        <w:t xml:space="preserve">Supplementary Figure 1. 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Kaplan-Meier analysis showed the cumulative incidence of mortality at 30 days, 90 days, and </w:t>
      </w:r>
      <w:r>
        <w:rPr>
          <w:rFonts w:hint="eastAsia" w:ascii="Times New Roman" w:hAnsi="Times New Roman" w:cs="Times New Roman"/>
          <w:b w:val="0"/>
          <w:bCs/>
          <w:sz w:val="24"/>
          <w:szCs w:val="24"/>
          <w:lang w:val="en-US" w:eastAsia="zh-CN"/>
        </w:rPr>
        <w:t>360 days</w:t>
      </w:r>
      <w:r>
        <w:rPr>
          <w:rFonts w:ascii="Times New Roman" w:hAnsi="Times New Roman" w:cs="Times New Roman"/>
          <w:b w:val="0"/>
          <w:bCs/>
          <w:sz w:val="24"/>
          <w:szCs w:val="24"/>
        </w:rPr>
        <w:t xml:space="preserve"> after delirium in ICU patients aged 65 and above with TyG index.</w:t>
      </w:r>
      <w:bookmarkEnd w:id="20"/>
      <w:bookmarkEnd w:id="21"/>
    </w:p>
    <w:p>
      <w:pPr>
        <w:rPr>
          <w:rFonts w:ascii="Times New Roman" w:hAnsi="Times New Roman" w:cs="Times New Roman"/>
          <w:sz w:val="24"/>
          <w:szCs w:val="24"/>
        </w:rPr>
      </w:pPr>
      <w:r>
        <w:drawing>
          <wp:inline distT="0" distB="0" distL="0" distR="0">
            <wp:extent cx="6351905" cy="1874520"/>
            <wp:effectExtent l="0" t="0" r="0" b="0"/>
            <wp:docPr id="124940902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9409020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66443" cy="1878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>
      <w:pPr>
        <w:pStyle w:val="8"/>
        <w:spacing w:line="360" w:lineRule="auto"/>
        <w:rPr>
          <w:rFonts w:ascii="Times New Roman" w:hAnsi="Times New Roman"/>
          <w:b/>
          <w:bCs/>
        </w:rPr>
      </w:pPr>
    </w:p>
    <w:p/>
    <w:p>
      <w:pPr>
        <w:rPr>
          <w:rFonts w:ascii="Times New Roman" w:hAnsi="Times New Roman" w:cs="Times New Roman"/>
          <w:color w:val="000000"/>
          <w:kern w:val="0"/>
          <w:szCs w:val="21"/>
        </w:rPr>
      </w:pPr>
    </w:p>
    <w:p>
      <w:pPr>
        <w:rPr>
          <w:rFonts w:ascii="Times New Roman" w:hAnsi="Times New Roman" w:cs="Times New Roman"/>
          <w:color w:val="000000"/>
          <w:kern w:val="0"/>
          <w:szCs w:val="21"/>
        </w:rPr>
      </w:pPr>
    </w:p>
    <w:p>
      <w:pPr>
        <w:rPr>
          <w:rFonts w:ascii="Times New Roman" w:hAnsi="Times New Roman" w:cs="Times New Roman"/>
          <w:color w:val="000000"/>
          <w:kern w:val="0"/>
          <w:szCs w:val="21"/>
        </w:rPr>
      </w:pPr>
    </w:p>
    <w:p>
      <w:pPr>
        <w:rPr>
          <w:rFonts w:ascii="Times New Roman" w:hAnsi="Times New Roman" w:cs="Times New Roman"/>
          <w:color w:val="000000"/>
          <w:kern w:val="0"/>
          <w:szCs w:val="21"/>
        </w:rPr>
      </w:pPr>
    </w:p>
    <w:p>
      <w:pPr>
        <w:rPr>
          <w:rFonts w:ascii="Times New Roman" w:hAnsi="Times New Roman" w:cs="Times New Roman"/>
          <w:color w:val="000000"/>
          <w:kern w:val="0"/>
          <w:szCs w:val="21"/>
        </w:rPr>
      </w:pPr>
    </w:p>
    <w:p>
      <w:pPr>
        <w:rPr>
          <w:rFonts w:ascii="Times New Roman" w:hAnsi="Times New Roman" w:cs="Times New Roman"/>
          <w:color w:val="000000"/>
          <w:kern w:val="0"/>
          <w:szCs w:val="21"/>
        </w:rPr>
      </w:pPr>
    </w:p>
    <w:p>
      <w:pPr>
        <w:widowControl/>
        <w:jc w:val="left"/>
        <w:rPr>
          <w:rFonts w:ascii="Times New Roman" w:hAnsi="Times New Roman" w:cs="Times New Roman"/>
          <w:color w:val="000000"/>
          <w:kern w:val="0"/>
          <w:szCs w:val="21"/>
        </w:rPr>
      </w:pPr>
    </w:p>
    <w:sectPr>
      <w:endnotePr>
        <w:numFmt w:val="lowerLetter"/>
        <w:numRestart w:val="eachSect"/>
      </w:endnote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284156471"/>
      <w:docPartObj>
        <w:docPartGallery w:val="autotext"/>
      </w:docPartObj>
    </w:sdtPr>
    <w:sdtContent>
      <w:p>
        <w:pPr>
          <w:pStyle w:val="9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>
    <w:pPr>
      <w:pStyle w:val="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noPunctuationKerning w:val="1"/>
  <w:characterSpacingControl w:val="compressPunctuation"/>
  <w:footnotePr>
    <w:footnote w:id="0"/>
    <w:footnote w:id="1"/>
  </w:footnotePr>
  <w:endnotePr>
    <w:pos w:val="sectEnd"/>
    <w:numFmt w:val="lowerLetter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JiMDcwMDBiMjI1OGE5N2YyNzZiNjMyZmZlMzE3YTEifQ=="/>
  </w:docVars>
  <w:rsids>
    <w:rsidRoot w:val="00402BAD"/>
    <w:rsid w:val="00027542"/>
    <w:rsid w:val="00031799"/>
    <w:rsid w:val="000329A1"/>
    <w:rsid w:val="00050196"/>
    <w:rsid w:val="000A5EBB"/>
    <w:rsid w:val="000B4C70"/>
    <w:rsid w:val="000B5A56"/>
    <w:rsid w:val="000C7B2D"/>
    <w:rsid w:val="000E0E5A"/>
    <w:rsid w:val="000E26B0"/>
    <w:rsid w:val="000F13DF"/>
    <w:rsid w:val="000F7ADF"/>
    <w:rsid w:val="00104F4B"/>
    <w:rsid w:val="00130744"/>
    <w:rsid w:val="00131096"/>
    <w:rsid w:val="00137DD6"/>
    <w:rsid w:val="001A1535"/>
    <w:rsid w:val="001B004F"/>
    <w:rsid w:val="001B70C0"/>
    <w:rsid w:val="001C6B1D"/>
    <w:rsid w:val="001D1004"/>
    <w:rsid w:val="001D14AC"/>
    <w:rsid w:val="001D5D47"/>
    <w:rsid w:val="00212FA6"/>
    <w:rsid w:val="0021505F"/>
    <w:rsid w:val="00234A1B"/>
    <w:rsid w:val="00240134"/>
    <w:rsid w:val="00262ABF"/>
    <w:rsid w:val="00263C0B"/>
    <w:rsid w:val="00264F7A"/>
    <w:rsid w:val="00285813"/>
    <w:rsid w:val="00292FC3"/>
    <w:rsid w:val="002B69A2"/>
    <w:rsid w:val="0030453C"/>
    <w:rsid w:val="00305DC7"/>
    <w:rsid w:val="0031519B"/>
    <w:rsid w:val="0031721E"/>
    <w:rsid w:val="00333B45"/>
    <w:rsid w:val="00365024"/>
    <w:rsid w:val="00371BA8"/>
    <w:rsid w:val="00375161"/>
    <w:rsid w:val="00375555"/>
    <w:rsid w:val="00375C1A"/>
    <w:rsid w:val="003B0713"/>
    <w:rsid w:val="003B1B36"/>
    <w:rsid w:val="003C0FD8"/>
    <w:rsid w:val="003D341E"/>
    <w:rsid w:val="003E12B5"/>
    <w:rsid w:val="003E302F"/>
    <w:rsid w:val="00402BAD"/>
    <w:rsid w:val="00426E83"/>
    <w:rsid w:val="00430AF3"/>
    <w:rsid w:val="004341A9"/>
    <w:rsid w:val="0045333E"/>
    <w:rsid w:val="004818C8"/>
    <w:rsid w:val="00490831"/>
    <w:rsid w:val="00490FF1"/>
    <w:rsid w:val="004B2B68"/>
    <w:rsid w:val="004C16BB"/>
    <w:rsid w:val="004D0EF0"/>
    <w:rsid w:val="004D0F8A"/>
    <w:rsid w:val="004D7AFB"/>
    <w:rsid w:val="0051130A"/>
    <w:rsid w:val="005339FB"/>
    <w:rsid w:val="00554FAB"/>
    <w:rsid w:val="00566240"/>
    <w:rsid w:val="005736E7"/>
    <w:rsid w:val="00591633"/>
    <w:rsid w:val="0059389A"/>
    <w:rsid w:val="005A77F7"/>
    <w:rsid w:val="005D055A"/>
    <w:rsid w:val="005D7BA9"/>
    <w:rsid w:val="006005D2"/>
    <w:rsid w:val="00605712"/>
    <w:rsid w:val="00614ECB"/>
    <w:rsid w:val="00622F06"/>
    <w:rsid w:val="0064651C"/>
    <w:rsid w:val="00647C09"/>
    <w:rsid w:val="006533EC"/>
    <w:rsid w:val="0066567F"/>
    <w:rsid w:val="006853FF"/>
    <w:rsid w:val="00695CAC"/>
    <w:rsid w:val="006A0978"/>
    <w:rsid w:val="006A3D4E"/>
    <w:rsid w:val="006A6691"/>
    <w:rsid w:val="006B3179"/>
    <w:rsid w:val="006B54A8"/>
    <w:rsid w:val="006C5D39"/>
    <w:rsid w:val="006E0EE9"/>
    <w:rsid w:val="006E1D8B"/>
    <w:rsid w:val="00736583"/>
    <w:rsid w:val="00774B00"/>
    <w:rsid w:val="007840A4"/>
    <w:rsid w:val="007A2942"/>
    <w:rsid w:val="007B5FAD"/>
    <w:rsid w:val="00800158"/>
    <w:rsid w:val="00817175"/>
    <w:rsid w:val="008362E3"/>
    <w:rsid w:val="00837FB3"/>
    <w:rsid w:val="00845C22"/>
    <w:rsid w:val="008562DC"/>
    <w:rsid w:val="00882D2B"/>
    <w:rsid w:val="008D04B7"/>
    <w:rsid w:val="008F7D43"/>
    <w:rsid w:val="009171B1"/>
    <w:rsid w:val="009239F1"/>
    <w:rsid w:val="00926987"/>
    <w:rsid w:val="00935ED8"/>
    <w:rsid w:val="00937D18"/>
    <w:rsid w:val="00937D41"/>
    <w:rsid w:val="00984BDE"/>
    <w:rsid w:val="009A6FAF"/>
    <w:rsid w:val="009B6D50"/>
    <w:rsid w:val="009C1599"/>
    <w:rsid w:val="009D1FC0"/>
    <w:rsid w:val="009E552F"/>
    <w:rsid w:val="00A1513C"/>
    <w:rsid w:val="00A1549C"/>
    <w:rsid w:val="00A21732"/>
    <w:rsid w:val="00A520CF"/>
    <w:rsid w:val="00A74B19"/>
    <w:rsid w:val="00A75297"/>
    <w:rsid w:val="00A90683"/>
    <w:rsid w:val="00A91C58"/>
    <w:rsid w:val="00A92BE8"/>
    <w:rsid w:val="00AE1973"/>
    <w:rsid w:val="00AE1A83"/>
    <w:rsid w:val="00AE3229"/>
    <w:rsid w:val="00B0669F"/>
    <w:rsid w:val="00B07AC6"/>
    <w:rsid w:val="00B42048"/>
    <w:rsid w:val="00B53008"/>
    <w:rsid w:val="00B569AF"/>
    <w:rsid w:val="00B85A70"/>
    <w:rsid w:val="00BA5EED"/>
    <w:rsid w:val="00BD6D73"/>
    <w:rsid w:val="00BE7436"/>
    <w:rsid w:val="00BF4AA7"/>
    <w:rsid w:val="00C01843"/>
    <w:rsid w:val="00C07C1D"/>
    <w:rsid w:val="00C1677E"/>
    <w:rsid w:val="00C16CF9"/>
    <w:rsid w:val="00C3151F"/>
    <w:rsid w:val="00C51109"/>
    <w:rsid w:val="00C54509"/>
    <w:rsid w:val="00C63A8D"/>
    <w:rsid w:val="00C830C0"/>
    <w:rsid w:val="00C872FE"/>
    <w:rsid w:val="00C97FA4"/>
    <w:rsid w:val="00CC080B"/>
    <w:rsid w:val="00CD6FA3"/>
    <w:rsid w:val="00CE44A2"/>
    <w:rsid w:val="00CE51FC"/>
    <w:rsid w:val="00D063FD"/>
    <w:rsid w:val="00D14A42"/>
    <w:rsid w:val="00D170E3"/>
    <w:rsid w:val="00D17B8D"/>
    <w:rsid w:val="00D43C5F"/>
    <w:rsid w:val="00D47554"/>
    <w:rsid w:val="00D50A71"/>
    <w:rsid w:val="00D65B65"/>
    <w:rsid w:val="00D917AC"/>
    <w:rsid w:val="00D95638"/>
    <w:rsid w:val="00DB12A2"/>
    <w:rsid w:val="00DB28A2"/>
    <w:rsid w:val="00DD6872"/>
    <w:rsid w:val="00DE0815"/>
    <w:rsid w:val="00DE276D"/>
    <w:rsid w:val="00E13E11"/>
    <w:rsid w:val="00E2280F"/>
    <w:rsid w:val="00E53361"/>
    <w:rsid w:val="00E66631"/>
    <w:rsid w:val="00E962C1"/>
    <w:rsid w:val="00EA5C5E"/>
    <w:rsid w:val="00EF08A5"/>
    <w:rsid w:val="00F12A97"/>
    <w:rsid w:val="00F146C5"/>
    <w:rsid w:val="00F2354B"/>
    <w:rsid w:val="00F42373"/>
    <w:rsid w:val="00F5569E"/>
    <w:rsid w:val="00F65B05"/>
    <w:rsid w:val="00F72CC4"/>
    <w:rsid w:val="00FB355C"/>
    <w:rsid w:val="00FC0E38"/>
    <w:rsid w:val="00FC12C2"/>
    <w:rsid w:val="00FC2ED8"/>
    <w:rsid w:val="00FD2013"/>
    <w:rsid w:val="00FD53FC"/>
    <w:rsid w:val="00FE396E"/>
    <w:rsid w:val="06876DC5"/>
    <w:rsid w:val="06DE074F"/>
    <w:rsid w:val="088210AA"/>
    <w:rsid w:val="09A41AFB"/>
    <w:rsid w:val="0AED7234"/>
    <w:rsid w:val="0B2E376B"/>
    <w:rsid w:val="0BEF2EFA"/>
    <w:rsid w:val="0C0D1A5C"/>
    <w:rsid w:val="0CDA0119"/>
    <w:rsid w:val="0DF72464"/>
    <w:rsid w:val="101D426E"/>
    <w:rsid w:val="12BE586E"/>
    <w:rsid w:val="12E96473"/>
    <w:rsid w:val="14215C1B"/>
    <w:rsid w:val="185C3406"/>
    <w:rsid w:val="1A404921"/>
    <w:rsid w:val="1B010554"/>
    <w:rsid w:val="1C7B67E3"/>
    <w:rsid w:val="1D9D3D6D"/>
    <w:rsid w:val="1E553A8D"/>
    <w:rsid w:val="1F2B5CB2"/>
    <w:rsid w:val="219B2030"/>
    <w:rsid w:val="24671D31"/>
    <w:rsid w:val="284E1912"/>
    <w:rsid w:val="2C2C7309"/>
    <w:rsid w:val="2C701096"/>
    <w:rsid w:val="2C8C5159"/>
    <w:rsid w:val="2CF115CF"/>
    <w:rsid w:val="2E9260C6"/>
    <w:rsid w:val="2EAE71BD"/>
    <w:rsid w:val="2F5D3C6D"/>
    <w:rsid w:val="30FA66B9"/>
    <w:rsid w:val="315C7E3B"/>
    <w:rsid w:val="31816B51"/>
    <w:rsid w:val="35B27DF8"/>
    <w:rsid w:val="35FD7074"/>
    <w:rsid w:val="39CA017E"/>
    <w:rsid w:val="3AC06BF4"/>
    <w:rsid w:val="3FC71EAB"/>
    <w:rsid w:val="40644BA4"/>
    <w:rsid w:val="42F72337"/>
    <w:rsid w:val="45450C09"/>
    <w:rsid w:val="475678A4"/>
    <w:rsid w:val="47FC6C62"/>
    <w:rsid w:val="49D17DB8"/>
    <w:rsid w:val="4AFC6896"/>
    <w:rsid w:val="4B636739"/>
    <w:rsid w:val="4BE928E6"/>
    <w:rsid w:val="513762A6"/>
    <w:rsid w:val="51E42DF2"/>
    <w:rsid w:val="56CB31E9"/>
    <w:rsid w:val="59450B29"/>
    <w:rsid w:val="5962521D"/>
    <w:rsid w:val="5E8C325E"/>
    <w:rsid w:val="5FA45F1D"/>
    <w:rsid w:val="62215139"/>
    <w:rsid w:val="63575601"/>
    <w:rsid w:val="64695414"/>
    <w:rsid w:val="64AD3D5D"/>
    <w:rsid w:val="67FF1EAE"/>
    <w:rsid w:val="68E01B51"/>
    <w:rsid w:val="69286279"/>
    <w:rsid w:val="696445EC"/>
    <w:rsid w:val="6C7040CB"/>
    <w:rsid w:val="6C8431B0"/>
    <w:rsid w:val="6C9466E6"/>
    <w:rsid w:val="6D035025"/>
    <w:rsid w:val="6E6C09B6"/>
    <w:rsid w:val="6FD22786"/>
    <w:rsid w:val="70C112E2"/>
    <w:rsid w:val="74A52472"/>
    <w:rsid w:val="773370EC"/>
    <w:rsid w:val="78DE0702"/>
    <w:rsid w:val="7E26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qFormat="1"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semiHidden="0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31"/>
    <w:qFormat/>
    <w:uiPriority w:val="9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9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link w:val="29"/>
    <w:unhideWhenUsed/>
    <w:qFormat/>
    <w:uiPriority w:val="9"/>
    <w:pPr>
      <w:keepNext/>
      <w:keepLines/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9"/>
    <w:pPr>
      <w:keepNext/>
      <w:keepLines/>
      <w:spacing w:before="280" w:after="290" w:line="372" w:lineRule="auto"/>
      <w:outlineLvl w:val="4"/>
    </w:pPr>
    <w:rPr>
      <w:b/>
      <w:sz w:val="28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toc 3"/>
    <w:basedOn w:val="1"/>
    <w:next w:val="1"/>
    <w:unhideWhenUsed/>
    <w:qFormat/>
    <w:uiPriority w:val="39"/>
    <w:pPr>
      <w:widowControl/>
      <w:spacing w:after="100" w:line="259" w:lineRule="auto"/>
      <w:ind w:left="440"/>
      <w:jc w:val="left"/>
    </w:pPr>
    <w:rPr>
      <w:rFonts w:cs="Times New Roman"/>
      <w:kern w:val="0"/>
      <w:sz w:val="22"/>
    </w:rPr>
  </w:style>
  <w:style w:type="paragraph" w:styleId="8">
    <w:name w:val="endnote text"/>
    <w:basedOn w:val="1"/>
    <w:link w:val="30"/>
    <w:unhideWhenUsed/>
    <w:qFormat/>
    <w:uiPriority w:val="99"/>
    <w:pPr>
      <w:snapToGrid w:val="0"/>
      <w:jc w:val="left"/>
    </w:pPr>
  </w:style>
  <w:style w:type="paragraph" w:styleId="9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4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unhideWhenUsed/>
    <w:qFormat/>
    <w:uiPriority w:val="39"/>
    <w:pPr>
      <w:widowControl/>
      <w:spacing w:after="100" w:line="259" w:lineRule="auto"/>
      <w:jc w:val="left"/>
    </w:pPr>
    <w:rPr>
      <w:rFonts w:cs="Times New Roman"/>
      <w:kern w:val="0"/>
      <w:sz w:val="22"/>
    </w:rPr>
  </w:style>
  <w:style w:type="paragraph" w:styleId="12">
    <w:name w:val="table of figures"/>
    <w:basedOn w:val="1"/>
    <w:next w:val="1"/>
    <w:semiHidden/>
    <w:unhideWhenUsed/>
    <w:qFormat/>
    <w:uiPriority w:val="99"/>
    <w:pPr>
      <w:ind w:left="200" w:leftChars="200" w:hanging="200" w:hangingChars="200"/>
    </w:pPr>
  </w:style>
  <w:style w:type="paragraph" w:styleId="13">
    <w:name w:val="toc 2"/>
    <w:basedOn w:val="1"/>
    <w:next w:val="1"/>
    <w:unhideWhenUsed/>
    <w:qFormat/>
    <w:uiPriority w:val="39"/>
    <w:pPr>
      <w:widowControl/>
      <w:spacing w:after="100" w:line="259" w:lineRule="auto"/>
      <w:ind w:left="220"/>
      <w:jc w:val="left"/>
    </w:pPr>
    <w:rPr>
      <w:rFonts w:cs="Times New Roman"/>
      <w:kern w:val="0"/>
      <w:sz w:val="22"/>
    </w:rPr>
  </w:style>
  <w:style w:type="paragraph" w:styleId="14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table" w:styleId="16">
    <w:name w:val="Table Grid"/>
    <w:basedOn w:val="1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endnote reference"/>
    <w:basedOn w:val="17"/>
    <w:semiHidden/>
    <w:unhideWhenUsed/>
    <w:qFormat/>
    <w:uiPriority w:val="99"/>
    <w:rPr>
      <w:vertAlign w:val="superscript"/>
    </w:rPr>
  </w:style>
  <w:style w:type="character" w:styleId="19">
    <w:name w:val="Hyperlink"/>
    <w:basedOn w:val="17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table" w:customStyle="1" w:styleId="20">
    <w:name w:val="样式1"/>
    <w:basedOn w:val="15"/>
    <w:qFormat/>
    <w:uiPriority w:val="99"/>
    <w:tblPr>
      <w:tblBorders>
        <w:top w:val="single" w:color="auto" w:sz="12" w:space="0"/>
        <w:bottom w:val="single" w:color="auto" w:sz="12" w:space="0"/>
      </w:tblBorders>
    </w:tblPr>
    <w:tblStylePr w:type="firstRow">
      <w:tcPr>
        <w:shd w:val="clear" w:color="auto" w:fill="7E7E7E" w:themeFill="text1" w:themeFillTint="80"/>
      </w:tcPr>
    </w:tblStylePr>
  </w:style>
  <w:style w:type="character" w:customStyle="1" w:styleId="21">
    <w:name w:val="font01"/>
    <w:basedOn w:val="17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22">
    <w:name w:val="font21"/>
    <w:basedOn w:val="17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23">
    <w:name w:val="font11"/>
    <w:basedOn w:val="17"/>
    <w:qFormat/>
    <w:uiPriority w:val="0"/>
    <w:rPr>
      <w:rFonts w:hint="eastAsia" w:ascii="宋体" w:hAnsi="宋体" w:eastAsia="宋体"/>
      <w:color w:val="000000"/>
      <w:sz w:val="22"/>
      <w:szCs w:val="22"/>
      <w:u w:val="none"/>
    </w:rPr>
  </w:style>
  <w:style w:type="character" w:customStyle="1" w:styleId="24">
    <w:name w:val="页眉 字符"/>
    <w:basedOn w:val="17"/>
    <w:link w:val="10"/>
    <w:qFormat/>
    <w:uiPriority w:val="99"/>
    <w:rPr>
      <w:sz w:val="18"/>
      <w:szCs w:val="18"/>
    </w:rPr>
  </w:style>
  <w:style w:type="character" w:customStyle="1" w:styleId="25">
    <w:name w:val="页脚 字符"/>
    <w:basedOn w:val="17"/>
    <w:link w:val="9"/>
    <w:qFormat/>
    <w:uiPriority w:val="99"/>
    <w:rPr>
      <w:sz w:val="18"/>
      <w:szCs w:val="18"/>
    </w:rPr>
  </w:style>
  <w:style w:type="paragraph" w:customStyle="1" w:styleId="26">
    <w:name w:val="TOC 标题1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color w:val="2F5597" w:themeColor="accent1" w:themeShade="BF"/>
      <w:kern w:val="0"/>
      <w:sz w:val="32"/>
      <w:szCs w:val="32"/>
    </w:rPr>
  </w:style>
  <w:style w:type="character" w:customStyle="1" w:styleId="27">
    <w:name w:val="font41"/>
    <w:basedOn w:val="17"/>
    <w:qFormat/>
    <w:uiPriority w:val="0"/>
    <w:rPr>
      <w:rFonts w:hint="default" w:ascii="Times New Roman" w:hAnsi="Times New Roman" w:cs="Times New Roman"/>
      <w:b/>
      <w:bCs/>
      <w:i/>
      <w:iCs/>
      <w:color w:val="000000"/>
      <w:sz w:val="22"/>
      <w:szCs w:val="22"/>
      <w:u w:val="none"/>
    </w:rPr>
  </w:style>
  <w:style w:type="character" w:customStyle="1" w:styleId="28">
    <w:name w:val="font31"/>
    <w:basedOn w:val="17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29">
    <w:name w:val="标题 4 字符"/>
    <w:basedOn w:val="17"/>
    <w:link w:val="5"/>
    <w:qFormat/>
    <w:uiPriority w:val="9"/>
    <w:rPr>
      <w:rFonts w:ascii="Arial" w:hAnsi="Arial" w:eastAsia="黑体" w:cstheme="minorBidi"/>
      <w:b/>
      <w:kern w:val="2"/>
      <w:sz w:val="28"/>
      <w:szCs w:val="22"/>
    </w:rPr>
  </w:style>
  <w:style w:type="character" w:customStyle="1" w:styleId="30">
    <w:name w:val="尾注文本 字符"/>
    <w:basedOn w:val="17"/>
    <w:link w:val="8"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31">
    <w:name w:val="标题 1 字符"/>
    <w:basedOn w:val="17"/>
    <w:link w:val="2"/>
    <w:qFormat/>
    <w:uiPriority w:val="9"/>
    <w:rPr>
      <w:rFonts w:asciiTheme="minorHAnsi" w:hAnsiTheme="minorHAnsi" w:eastAsiaTheme="minorEastAsia" w:cstheme="minorBidi"/>
      <w:b/>
      <w:kern w:val="44"/>
      <w:sz w:val="44"/>
      <w:szCs w:val="22"/>
    </w:rPr>
  </w:style>
  <w:style w:type="paragraph" w:styleId="32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tiff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E7452F-1252-4198-B0C4-EBB5BCF90F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1866</Words>
  <Characters>10642</Characters>
  <Lines>88</Lines>
  <Paragraphs>24</Paragraphs>
  <TotalTime>169</TotalTime>
  <ScaleCrop>false</ScaleCrop>
  <LinksUpToDate>false</LinksUpToDate>
  <CharactersWithSpaces>12484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2023-09-22T08:08:00Z</dcterms:created>
  <dc:creator>黄 夏璇</dc:creator>
  <cp:lastModifiedBy>黄</cp:lastModifiedBy>
  <dcterms:modified xsi:type="dcterms:W3CDTF">2023-10-23T03:12:38Z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A46762974616433C9FBE4522BD730C80_13</vt:lpwstr>
  </property>
</Properties>
</file>