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>
          <w:b/>
          <w:b/>
          <w:bCs/>
          <w:sz w:val="18"/>
          <w:szCs w:val="18"/>
          <w:lang w:val="en-GB"/>
        </w:rPr>
      </w:pPr>
      <w:r>
        <w:rPr>
          <w:b/>
          <w:bCs/>
          <w:sz w:val="18"/>
          <w:szCs w:val="18"/>
          <w:lang w:val="en-GB"/>
        </w:rPr>
        <w:t xml:space="preserve">Table </w:t>
      </w:r>
    </w:p>
    <w:p>
      <w:pPr>
        <w:pStyle w:val="Normal"/>
        <w:bidi w:val="0"/>
        <w:jc w:val="left"/>
        <w:rPr>
          <w:rFonts w:ascii="Quattrocento Sans" w:hAnsi="Quattrocento Sans" w:eastAsia="Quattrocento Sans" w:cs="Quattrocento Sans"/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Main results of the Cohort studies.</w:t>
      </w:r>
    </w:p>
    <w:tbl>
      <w:tblPr>
        <w:tblW w:w="1545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1" w:lastRow="0" w:firstColumn="0" w:lastColumn="0" w:noHBand="0" w:val="0400"/>
      </w:tblPr>
      <w:tblGrid>
        <w:gridCol w:w="2127"/>
        <w:gridCol w:w="4550"/>
        <w:gridCol w:w="3885"/>
        <w:gridCol w:w="4888"/>
      </w:tblGrid>
      <w:tr>
        <w:trPr>
          <w:trHeight w:val="254" w:hRule="atLeast"/>
        </w:trPr>
        <w:tc>
          <w:tcPr>
            <w:tcW w:w="2127" w:type="dxa"/>
            <w:tcBorders>
              <w:top w:val="single" w:sz="6" w:space="0" w:color="000000"/>
              <w:bottom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Study/year</w:t>
            </w:r>
            <w:r>
              <w:rPr>
                <w:sz w:val="18"/>
                <w:szCs w:val="18"/>
              </w:rPr>
              <w:t> </w:t>
            </w:r>
          </w:p>
        </w:tc>
        <w:tc>
          <w:tcPr>
            <w:tcW w:w="4550" w:type="dxa"/>
            <w:tcBorders>
              <w:top w:val="single" w:sz="6" w:space="0" w:color="000000"/>
              <w:bottom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highlight w:val="white"/>
              </w:rPr>
              <w:t>Risk factors for falls</w:t>
            </w:r>
            <w:r>
              <w:rPr>
                <w:sz w:val="18"/>
                <w:szCs w:val="18"/>
              </w:rPr>
              <w:t> </w:t>
            </w:r>
          </w:p>
        </w:tc>
        <w:tc>
          <w:tcPr>
            <w:tcW w:w="3885" w:type="dxa"/>
            <w:tcBorders>
              <w:top w:val="single" w:sz="6" w:space="0" w:color="000000"/>
              <w:bottom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highlight w:val="white"/>
              </w:rPr>
              <w:t>HR/OR (95% CI) p valor</w:t>
            </w:r>
            <w:r>
              <w:rPr>
                <w:sz w:val="18"/>
                <w:szCs w:val="18"/>
              </w:rPr>
              <w:t> </w:t>
            </w:r>
          </w:p>
        </w:tc>
        <w:tc>
          <w:tcPr>
            <w:tcW w:w="4888" w:type="dxa"/>
            <w:tcBorders>
              <w:top w:val="single" w:sz="6" w:space="0" w:color="000000"/>
              <w:bottom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highlight w:val="white"/>
              </w:rPr>
              <w:t>Adjustment for covariates</w:t>
            </w:r>
          </w:p>
        </w:tc>
      </w:tr>
      <w:tr>
        <w:trPr>
          <w:trHeight w:val="645" w:hRule="atLeast"/>
        </w:trPr>
        <w:tc>
          <w:tcPr>
            <w:tcW w:w="2127" w:type="dxa"/>
            <w:tcBorders/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highlight w:val="white"/>
              </w:rPr>
              <w:t xml:space="preserve">Schwartz et al. (2002) </w:t>
            </w:r>
            <w:r>
              <w:rPr>
                <w:sz w:val="18"/>
                <w:szCs w:val="18"/>
                <w:highlight w:val="white"/>
                <w:vertAlign w:val="superscript"/>
              </w:rPr>
              <w:t>(32)</w:t>
            </w:r>
          </w:p>
        </w:tc>
        <w:tc>
          <w:tcPr>
            <w:tcW w:w="4550" w:type="dxa"/>
            <w:tcBorders/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Insulin, age</w:t>
            </w:r>
          </w:p>
        </w:tc>
        <w:tc>
          <w:tcPr>
            <w:tcW w:w="3885" w:type="dxa"/>
            <w:tcBorders/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highlight w:val="white"/>
              </w:rPr>
              <w:t>[OR] 1,68 [IC 95% 1,37–2,07]</w:t>
            </w:r>
          </w:p>
        </w:tc>
        <w:tc>
          <w:tcPr>
            <w:tcW w:w="4888" w:type="dxa"/>
            <w:tcBorders/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Age, medical history, medications, visual acuity, cognitive function, depression, walking speed</w:t>
            </w:r>
          </w:p>
        </w:tc>
      </w:tr>
      <w:tr>
        <w:trPr>
          <w:trHeight w:val="855" w:hRule="atLeast"/>
        </w:trPr>
        <w:tc>
          <w:tcPr>
            <w:tcW w:w="2127" w:type="dxa"/>
            <w:tcBorders/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Maurer et al (2005) </w:t>
            </w:r>
            <w:r>
              <w:rPr>
                <w:sz w:val="18"/>
                <w:szCs w:val="18"/>
                <w:vertAlign w:val="superscript"/>
              </w:rPr>
              <w:t>(30)</w:t>
            </w:r>
          </w:p>
        </w:tc>
        <w:tc>
          <w:tcPr>
            <w:tcW w:w="4550" w:type="dxa"/>
            <w:tcBorders/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Diabetes mellitus, poor gait and balance </w:t>
            </w:r>
          </w:p>
        </w:tc>
        <w:tc>
          <w:tcPr>
            <w:tcW w:w="3885" w:type="dxa"/>
            <w:tcBorders/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Diabetes mellitus ([IC] 95%, HR= 4,03 (1,96-8,28); gait and balance (IC 95%, HR = 5,26 (1,26-22,02)</w:t>
            </w:r>
          </w:p>
        </w:tc>
        <w:tc>
          <w:tcPr>
            <w:tcW w:w="4888" w:type="dxa"/>
            <w:tcBorders/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Diabetes mellitus, gait and balance</w:t>
            </w:r>
          </w:p>
        </w:tc>
      </w:tr>
      <w:tr>
        <w:trPr>
          <w:trHeight w:val="830" w:hRule="atLeast"/>
        </w:trPr>
        <w:tc>
          <w:tcPr>
            <w:tcW w:w="2127" w:type="dxa"/>
            <w:tcBorders/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</w:rPr>
              <w:t xml:space="preserve">Volpato et al (2005) </w:t>
            </w:r>
            <w:r>
              <w:rPr>
                <w:sz w:val="18"/>
                <w:szCs w:val="18"/>
                <w:vertAlign w:val="superscript"/>
              </w:rPr>
              <w:t>(29)</w:t>
            </w:r>
            <w:r>
              <w:rPr>
                <w:sz w:val="18"/>
                <w:szCs w:val="18"/>
                <w:highlight w:val="white"/>
                <w:vertAlign w:val="superscript"/>
              </w:rPr>
              <w:t> </w:t>
            </w:r>
            <w:r>
              <w:rPr>
                <w:sz w:val="18"/>
                <w:szCs w:val="18"/>
              </w:rPr>
              <w:t> </w:t>
            </w:r>
          </w:p>
        </w:tc>
        <w:tc>
          <w:tcPr>
            <w:tcW w:w="4550" w:type="dxa"/>
            <w:tcBorders/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Insulin therapy, overweight, lower extremity pain, and an unsatisfactory lower extremity summary performance score </w:t>
            </w:r>
          </w:p>
        </w:tc>
        <w:tc>
          <w:tcPr>
            <w:tcW w:w="3885" w:type="dxa"/>
            <w:tcBorders/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Insulin (OR ajustado 2,73; IC de 95%, 1,61–4,63)</w:t>
            </w:r>
          </w:p>
        </w:tc>
        <w:tc>
          <w:tcPr>
            <w:tcW w:w="4888" w:type="dxa"/>
            <w:tcBorders/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Obesity, adjudicated knee osteoarthritis, and stroke</w:t>
            </w:r>
          </w:p>
        </w:tc>
      </w:tr>
      <w:tr>
        <w:trPr>
          <w:trHeight w:val="865" w:hRule="atLeast"/>
        </w:trPr>
        <w:tc>
          <w:tcPr>
            <w:tcW w:w="2127" w:type="dxa"/>
            <w:tcBorders/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</w:rPr>
              <w:t>Schwartz et al. (2008)</w:t>
            </w:r>
            <w:r>
              <w:rPr>
                <w:sz w:val="18"/>
                <w:szCs w:val="18"/>
                <w:highlight w:val="white"/>
                <w:vertAlign w:val="superscript"/>
              </w:rPr>
              <w:t> (28)</w:t>
            </w:r>
            <w:r>
              <w:rPr>
                <w:sz w:val="18"/>
                <w:szCs w:val="18"/>
              </w:rPr>
              <w:t> </w:t>
            </w:r>
          </w:p>
        </w:tc>
        <w:tc>
          <w:tcPr>
            <w:tcW w:w="4550" w:type="dxa"/>
            <w:tcBorders/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Insulin, loss of discrimination to light touch, and low amplitude peroneal nerve response </w:t>
            </w:r>
          </w:p>
        </w:tc>
        <w:tc>
          <w:tcPr>
            <w:tcW w:w="3885" w:type="dxa"/>
            <w:tcBorders/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highlight w:val="white"/>
              </w:rPr>
              <w:t>OR 4,36 [IC 95% 1,32-14,46])</w:t>
            </w:r>
          </w:p>
        </w:tc>
        <w:tc>
          <w:tcPr>
            <w:tcW w:w="4888" w:type="dxa"/>
            <w:tcBorders/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Age, diabetes complication, vision, blood pressure, insulin, peripheral nerve function, physical performance, laboratory measurements</w:t>
            </w:r>
          </w:p>
        </w:tc>
      </w:tr>
      <w:tr>
        <w:trPr>
          <w:trHeight w:val="1200" w:hRule="atLeast"/>
        </w:trPr>
        <w:tc>
          <w:tcPr>
            <w:tcW w:w="2127" w:type="dxa"/>
            <w:tcBorders/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highlight w:val="white"/>
              </w:rPr>
              <w:t xml:space="preserve">Pijpers et al. (2011) </w:t>
            </w:r>
            <w:r>
              <w:rPr>
                <w:sz w:val="18"/>
                <w:szCs w:val="18"/>
                <w:highlight w:val="white"/>
                <w:vertAlign w:val="superscript"/>
              </w:rPr>
              <w:t>(20)</w:t>
            </w:r>
          </w:p>
        </w:tc>
        <w:tc>
          <w:tcPr>
            <w:tcW w:w="4550" w:type="dxa"/>
            <w:tcBorders/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Diabetes mellitus, more medications, higher levels of pain, poorer self-perceived health, less physical activity and grip strength, more limitations in ADLs, lower physical performance in limbs and cognitive impairment </w:t>
            </w:r>
          </w:p>
        </w:tc>
        <w:tc>
          <w:tcPr>
            <w:tcW w:w="3885" w:type="dxa"/>
            <w:tcBorders/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bidi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Risk of recurrent falls with DM [HR = 1,67 (IC de 95%: 1,11–2,51)]</w:t>
            </w:r>
          </w:p>
        </w:tc>
        <w:tc>
          <w:tcPr>
            <w:tcW w:w="4888" w:type="dxa"/>
            <w:tcBorders/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Age, DM diagnosis, verification of recurrent falls, lifestyle, education level, comorbidity and medications, physical disability and general health, physical performance</w:t>
            </w:r>
          </w:p>
        </w:tc>
      </w:tr>
      <w:tr>
        <w:trPr>
          <w:trHeight w:val="989" w:hRule="atLeast"/>
        </w:trPr>
        <w:tc>
          <w:tcPr>
            <w:tcW w:w="2127" w:type="dxa"/>
            <w:tcBorders/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Roman de Mettilinge et al (2013) </w:t>
            </w:r>
            <w:r>
              <w:rPr>
                <w:sz w:val="18"/>
                <w:szCs w:val="18"/>
                <w:vertAlign w:val="superscript"/>
              </w:rPr>
              <w:t>(31)</w:t>
            </w:r>
            <w:r>
              <w:rPr>
                <w:sz w:val="18"/>
                <w:szCs w:val="18"/>
                <w:highlight w:val="white"/>
                <w:vertAlign w:val="superscript"/>
              </w:rPr>
              <w:t> </w:t>
            </w:r>
          </w:p>
        </w:tc>
        <w:tc>
          <w:tcPr>
            <w:tcW w:w="4550" w:type="dxa"/>
            <w:tcBorders/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Diabetes mellitus, urinary incontinence, walking with mobility devices, reporting falls in the previous year and reporting fear of falling</w:t>
            </w:r>
          </w:p>
        </w:tc>
        <w:tc>
          <w:tcPr>
            <w:tcW w:w="3885" w:type="dxa"/>
            <w:tcBorders/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Diabetes (OR = 2,03, IC 95% 1,06–3,88); mediolateral</w:t>
            </w:r>
          </w:p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LOS displacement (OR = 0,70, IC 95% 0,49–0,99)</w:t>
            </w:r>
          </w:p>
        </w:tc>
        <w:tc>
          <w:tcPr>
            <w:tcW w:w="4888" w:type="dxa"/>
            <w:tcBorders/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Age, medication, worse performance in handgrip strength, slower walking, with shorter strides and greater variability, lower mid-lateral limits of stability and worse performance on the MMSE</w:t>
            </w:r>
          </w:p>
        </w:tc>
      </w:tr>
      <w:tr>
        <w:trPr>
          <w:trHeight w:val="810" w:hRule="atLeast"/>
        </w:trPr>
        <w:tc>
          <w:tcPr>
            <w:tcW w:w="2127" w:type="dxa"/>
            <w:tcBorders/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Yau et al (2013) </w:t>
            </w:r>
            <w:r>
              <w:rPr>
                <w:sz w:val="18"/>
                <w:szCs w:val="18"/>
                <w:vertAlign w:val="superscript"/>
              </w:rPr>
              <w:t>(33)</w:t>
            </w:r>
          </w:p>
        </w:tc>
        <w:tc>
          <w:tcPr>
            <w:tcW w:w="4550" w:type="dxa"/>
            <w:tcBorders/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Diabetes mellitus, insulin dependent </w:t>
            </w:r>
          </w:p>
        </w:tc>
        <w:tc>
          <w:tcPr>
            <w:tcW w:w="3885" w:type="dxa"/>
            <w:tcBorders/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Diabetes [HR] 1,48 [IC 95% 1,12-1,95]</w:t>
            </w:r>
          </w:p>
        </w:tc>
        <w:tc>
          <w:tcPr>
            <w:tcW w:w="4888" w:type="dxa"/>
            <w:tcBorders/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History of fainting, standing body balance score, cystatin C level for kidney function, and number of medications prescribed</w:t>
            </w:r>
          </w:p>
        </w:tc>
      </w:tr>
      <w:tr>
        <w:trPr>
          <w:trHeight w:val="585" w:hRule="atLeast"/>
        </w:trPr>
        <w:tc>
          <w:tcPr>
            <w:tcW w:w="2127" w:type="dxa"/>
            <w:tcBorders/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Randolph et al (2019) </w:t>
            </w:r>
            <w:r>
              <w:rPr>
                <w:sz w:val="18"/>
                <w:szCs w:val="18"/>
                <w:vertAlign w:val="superscript"/>
              </w:rPr>
              <w:t>(27)</w:t>
            </w:r>
            <w:r>
              <w:rPr>
                <w:sz w:val="18"/>
                <w:szCs w:val="18"/>
              </w:rPr>
              <w:t> </w:t>
            </w:r>
          </w:p>
        </w:tc>
        <w:tc>
          <w:tcPr>
            <w:tcW w:w="4550" w:type="dxa"/>
            <w:tcBorders/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Use of TCA/GABA-analog </w:t>
            </w:r>
          </w:p>
        </w:tc>
        <w:tc>
          <w:tcPr>
            <w:tcW w:w="3885" w:type="dxa"/>
            <w:tcBorders/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Use of TCA/GABA-analog [HR] = 1,11; [IC] 95% = 1,03-1,20)</w:t>
            </w:r>
          </w:p>
        </w:tc>
        <w:tc>
          <w:tcPr>
            <w:tcW w:w="4888" w:type="dxa"/>
            <w:tcBorders/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Alzheimer's disease and other dementias; arthritic conditions; inappropriate medication use</w:t>
            </w:r>
          </w:p>
        </w:tc>
      </w:tr>
    </w:tbl>
    <w:p>
      <w:pPr>
        <w:pStyle w:val="Normal"/>
        <w:pBdr>
          <w:bottom w:val="single" w:sz="4" w:space="0" w:color="000000"/>
        </w:pBdr>
        <w:bidi w:val="0"/>
        <w:jc w:val="left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Quattrocento Sans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t-BR" w:eastAsia="zh-CN" w:bidi="hi-IN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LibreOffice/7.0.4.2$Windows_X86_64 LibreOffice_project/dcf040e67528d9187c66b2379df5ea4407429775</Application>
  <AppVersion>15.0000</AppVersion>
  <Pages>1</Pages>
  <Words>346</Words>
  <Characters>2049</Characters>
  <CharactersWithSpaces>2366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2023-06-20T08:59:49Z</dcterms:created>
  <dc:creator/>
  <dc:description/>
  <dc:language>pt-BR</dc:language>
  <cp:lastModifiedBy/>
  <dcterms:modified xsi:type="dcterms:W3CDTF">2023-06-20T09:03:14Z</dcterms:modified>
  <cp:revision>2</cp:revision>
  <dc:subject/>
  <dc:title/>
</cp:coreProperties>
</file>