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b/>
          <w:b/>
          <w:bCs/>
          <w:sz w:val="18"/>
          <w:szCs w:val="18"/>
          <w:lang w:val="en-GB"/>
        </w:rPr>
      </w:pPr>
      <w:r>
        <w:rPr>
          <w:b/>
          <w:bCs/>
          <w:sz w:val="18"/>
          <w:szCs w:val="18"/>
          <w:lang w:val="en-GB"/>
        </w:rPr>
        <w:t>Table</w:t>
      </w:r>
    </w:p>
    <w:p>
      <w:pPr>
        <w:pStyle w:val="Normal"/>
        <w:bidi w:val="0"/>
        <w:jc w:val="left"/>
        <w:rPr>
          <w:rFonts w:ascii="Quattrocento Sans" w:hAnsi="Quattrocento Sans" w:eastAsia="Quattrocento Sans" w:cs="Quattrocento Sans"/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Main results of cross-sectional studies.</w:t>
      </w:r>
    </w:p>
    <w:tbl>
      <w:tblPr>
        <w:tblW w:w="154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2127"/>
        <w:gridCol w:w="4535"/>
        <w:gridCol w:w="3969"/>
        <w:gridCol w:w="4819"/>
      </w:tblGrid>
      <w:tr>
        <w:trPr>
          <w:trHeight w:val="247" w:hRule="atLeast"/>
        </w:trPr>
        <w:tc>
          <w:tcPr>
            <w:tcW w:w="2127" w:type="dxa"/>
            <w:tcBorders>
              <w:top w:val="single" w:sz="6" w:space="0" w:color="000000"/>
              <w:bottom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Study/year</w:t>
            </w:r>
          </w:p>
        </w:tc>
        <w:tc>
          <w:tcPr>
            <w:tcW w:w="4535" w:type="dxa"/>
            <w:tcBorders>
              <w:top w:val="single" w:sz="6" w:space="0" w:color="000000"/>
              <w:bottom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white"/>
              </w:rPr>
              <w:t>Risk factors for falls</w:t>
            </w:r>
          </w:p>
        </w:tc>
        <w:tc>
          <w:tcPr>
            <w:tcW w:w="3969" w:type="dxa"/>
            <w:tcBorders>
              <w:top w:val="single" w:sz="6" w:space="0" w:color="000000"/>
              <w:bottom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white"/>
              </w:rPr>
              <w:t>HR/OR (95% CI) p valor</w:t>
            </w:r>
          </w:p>
        </w:tc>
        <w:tc>
          <w:tcPr>
            <w:tcW w:w="4819" w:type="dxa"/>
            <w:tcBorders>
              <w:top w:val="single" w:sz="6" w:space="0" w:color="000000"/>
              <w:bottom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white"/>
              </w:rPr>
              <w:t>Adjustment for covariates</w:t>
            </w:r>
          </w:p>
        </w:tc>
      </w:tr>
      <w:tr>
        <w:trPr>
          <w:trHeight w:val="804" w:hRule="atLeast"/>
        </w:trPr>
        <w:tc>
          <w:tcPr>
            <w:tcW w:w="2127" w:type="dxa"/>
            <w:tcBorders>
              <w:top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 xml:space="preserve">Tilling et al. (2006) </w:t>
            </w:r>
            <w:r>
              <w:rPr>
                <w:sz w:val="18"/>
                <w:szCs w:val="18"/>
                <w:highlight w:val="white"/>
                <w:vertAlign w:val="superscript"/>
              </w:rPr>
              <w:t>(36)</w:t>
            </w:r>
          </w:p>
        </w:tc>
        <w:tc>
          <w:tcPr>
            <w:tcW w:w="4535" w:type="dxa"/>
            <w:tcBorders>
              <w:top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Poor diabetes control (HbA1c &gt;7%), </w:t>
            </w:r>
            <w:r>
              <w:rPr>
                <w:sz w:val="18"/>
                <w:szCs w:val="18"/>
                <w:highlight w:val="white"/>
                <w:lang w:val="en-GB"/>
              </w:rPr>
              <w:t>dependence on aid to work</w:t>
            </w:r>
            <w:r>
              <w:rPr>
                <w:sz w:val="18"/>
                <w:szCs w:val="18"/>
                <w:lang w:val="en-GB"/>
              </w:rPr>
              <w:t>, previous stroke</w:t>
            </w:r>
          </w:p>
        </w:tc>
        <w:tc>
          <w:tcPr>
            <w:tcW w:w="3969" w:type="dxa"/>
            <w:tcBorders>
              <w:top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Poor diabetes control </w:t>
            </w:r>
            <w:r>
              <w:rPr>
                <w:sz w:val="18"/>
                <w:szCs w:val="18"/>
                <w:highlight w:val="white"/>
                <w:lang w:val="en-GB"/>
              </w:rPr>
              <w:t xml:space="preserve">(HR) = 7,83 (2,948–20,799), dependence on aid to work (HR) = 2.679 (1.998-3.593) e </w:t>
            </w:r>
            <w:r>
              <w:rPr>
                <w:sz w:val="18"/>
                <w:szCs w:val="18"/>
                <w:lang w:val="en-GB"/>
              </w:rPr>
              <w:t>previous stroke (HR) = 1.929 (1.143-3.257).</w:t>
            </w:r>
          </w:p>
        </w:tc>
        <w:tc>
          <w:tcPr>
            <w:tcW w:w="4819" w:type="dxa"/>
            <w:tcBorders>
              <w:top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-* </w:t>
            </w:r>
          </w:p>
        </w:tc>
      </w:tr>
      <w:tr>
        <w:trPr>
          <w:trHeight w:val="1011" w:hRule="atLeast"/>
        </w:trPr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 xml:space="preserve">Bruce et al (2015) </w:t>
            </w:r>
            <w:r>
              <w:rPr>
                <w:sz w:val="18"/>
                <w:szCs w:val="18"/>
                <w:highlight w:val="white"/>
                <w:vertAlign w:val="superscript"/>
              </w:rPr>
              <w:t>(19)</w:t>
            </w:r>
            <w:r>
              <w:rPr>
                <w:sz w:val="18"/>
                <w:szCs w:val="18"/>
              </w:rPr>
              <w:t> </w:t>
            </w:r>
          </w:p>
        </w:tc>
        <w:tc>
          <w:tcPr>
            <w:tcW w:w="4535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Advanced age, use of antidepressants and poor balance </w:t>
            </w:r>
          </w:p>
        </w:tc>
        <w:tc>
          <w:tcPr>
            <w:tcW w:w="3969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History of recent falls is associated with age (OR: 1,65 (1,20-2,28); use of antidepressant (OR:2,14 (1,02–4,50); 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Adjust for the above factors with regression ZINB: poor balance (IC 95%): 2,32 (1,15-4,70) </w:t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Age, antidepressant use, and limitation related to fear of outdoor activity</w:t>
            </w:r>
          </w:p>
        </w:tc>
      </w:tr>
      <w:tr>
        <w:trPr>
          <w:trHeight w:val="630" w:hRule="atLeast"/>
        </w:trPr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 xml:space="preserve">Chiba et al. (2015) </w:t>
            </w:r>
            <w:r>
              <w:rPr>
                <w:sz w:val="18"/>
                <w:szCs w:val="18"/>
                <w:highlight w:val="white"/>
                <w:vertAlign w:val="superscript"/>
              </w:rPr>
              <w:t>(35)</w:t>
            </w:r>
          </w:p>
        </w:tc>
        <w:tc>
          <w:tcPr>
            <w:tcW w:w="4535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Hypoglycemia </w:t>
            </w:r>
          </w:p>
        </w:tc>
        <w:tc>
          <w:tcPr>
            <w:tcW w:w="3969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Hypoglycemia (OR 3,62, IC 95%: 1,242–10,534, P = 0,018).  Fall Risk (OR 1,2, IC 95%:1,010-1,425, P = 0,039)</w:t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Age, sex, presence of diabetes mellitus, GDS-15 and TUG test scores and presence of hypoglycemia</w:t>
            </w:r>
          </w:p>
        </w:tc>
      </w:tr>
      <w:tr>
        <w:trPr>
          <w:trHeight w:val="995" w:hRule="atLeast"/>
        </w:trPr>
        <w:tc>
          <w:tcPr>
            <w:tcW w:w="2127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Rashedi et al (2019)</w:t>
            </w:r>
            <w:r>
              <w:rPr>
                <w:sz w:val="18"/>
                <w:szCs w:val="18"/>
                <w:highlight w:val="white"/>
                <w:vertAlign w:val="superscript"/>
              </w:rPr>
              <w:t> (34)</w:t>
            </w:r>
          </w:p>
        </w:tc>
        <w:tc>
          <w:tcPr>
            <w:tcW w:w="453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Gait problems, difficulty balance, hypotension, and medication above 3</w:t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Gait problems (OR = 1,8, IC 95% =1,1 - 4,9), difficulty balance (OR = 2,1, IC 95% = 1,24 -7,12), hypotension (OR = 1,7, IC 95% =1,2 - 5,6), and medication above 3 (OR = 1,55, IC 95%=1,12 - 6,34) 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Gait problems, difficulty balance, vision problems, neurological and cognitive impairments, osteoporosis, hypertension, hypotension, medications, and sleep quality</w:t>
            </w:r>
          </w:p>
        </w:tc>
      </w:tr>
    </w:tbl>
    <w:p>
      <w:pPr>
        <w:pStyle w:val="Normal"/>
        <w:bidi w:val="0"/>
        <w:jc w:val="both"/>
        <w:rPr>
          <w:rFonts w:ascii="Quattrocento Sans" w:hAnsi="Quattrocento Sans" w:eastAsia="Quattrocento Sans" w:cs="Quattrocento Sans"/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Source: Research data, 2022. DM, Diabetes Mellitus; HR, hazard ratio; HbA1c, glycated hemoglobin; MMSE, Mini mental state exam; OR, odds ratio; TUG, </w:t>
      </w:r>
      <w:r>
        <w:rPr>
          <w:sz w:val="18"/>
          <w:szCs w:val="18"/>
          <w:highlight w:val="white"/>
          <w:lang w:val="en-GB"/>
        </w:rPr>
        <w:t>test Timed Up and Go</w:t>
      </w:r>
      <w:r>
        <w:rPr>
          <w:i/>
          <w:sz w:val="18"/>
          <w:szCs w:val="18"/>
          <w:lang w:val="en-GB"/>
        </w:rPr>
        <w:t xml:space="preserve">; </w:t>
      </w:r>
      <w:r>
        <w:rPr>
          <w:sz w:val="18"/>
          <w:szCs w:val="18"/>
          <w:lang w:val="en-GB"/>
        </w:rPr>
        <w:t xml:space="preserve">-*, Did not show adjustment for covariates; ZINB, zero-inflated negative binomial regression; GDS-15, 15-item geriatric depression scale. </w:t>
      </w:r>
    </w:p>
    <w:p>
      <w:pPr>
        <w:pStyle w:val="Normal"/>
        <w:bidi w:val="0"/>
        <w:jc w:val="left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Quattrocen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</TotalTime>
  <Application>LibreOffice/7.0.4.2$Windows_X86_64 LibreOffice_project/dcf040e67528d9187c66b2379df5ea4407429775</Application>
  <AppVersion>15.0000</AppVersion>
  <Pages>1</Pages>
  <Words>271</Words>
  <Characters>1485</Characters>
  <CharactersWithSpaces>1738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2023-06-20T09:01:30Z</dcterms:created>
  <dc:creator/>
  <dc:description/>
  <dc:language>pt-BR</dc:language>
  <cp:lastModifiedBy/>
  <dcterms:modified xsi:type="dcterms:W3CDTF">2023-06-20T09:29:46Z</dcterms:modified>
  <cp:revision>3</cp:revision>
  <dc:subject/>
  <dc:title/>
</cp:coreProperties>
</file>