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B5B2B" w14:textId="1008BE22" w:rsidR="00B155B4" w:rsidRDefault="00A76B98">
      <w:r>
        <w:t>Additional</w:t>
      </w:r>
      <w:r w:rsidR="00A66384">
        <w:t>_</w:t>
      </w:r>
      <w:r>
        <w:t>file</w:t>
      </w:r>
      <w:r w:rsidR="00A66384">
        <w:t>_</w:t>
      </w:r>
      <w:r w:rsidR="00000000">
        <w:t>4</w:t>
      </w:r>
      <w:r w:rsidR="00A66384">
        <w:t>_</w:t>
      </w:r>
      <w:r w:rsidR="00000000">
        <w:t>Table</w:t>
      </w:r>
      <w:r w:rsidR="00A66384">
        <w:t>_</w:t>
      </w:r>
      <w:r w:rsidR="00000000" w:rsidRPr="001409C8">
        <w:t>S</w:t>
      </w:r>
      <w:r w:rsidR="001409C8" w:rsidRPr="007061D8">
        <w:t>4</w:t>
      </w:r>
      <w:r w:rsidR="00000000">
        <w:t xml:space="preserve">. </w:t>
      </w:r>
      <w:r w:rsidR="007061D8">
        <w:t>Detailed</w:t>
      </w:r>
      <w:r w:rsidR="00000000">
        <w:t xml:space="preserve"> information about criteria considered in each item of the “New Castle </w:t>
      </w:r>
      <w:r w:rsidR="007061D8">
        <w:t>Ottawa</w:t>
      </w:r>
      <w:r w:rsidR="00000000">
        <w:t xml:space="preserve"> Scale” for appraisal of </w:t>
      </w:r>
      <w:r w:rsidR="007061D8">
        <w:t xml:space="preserve">the </w:t>
      </w:r>
      <w:r w:rsidR="00000000">
        <w:t xml:space="preserve">risk of bias of cohort and </w:t>
      </w:r>
      <w:proofErr w:type="spellStart"/>
      <w:r w:rsidR="00000000">
        <w:t>crossectional</w:t>
      </w:r>
      <w:proofErr w:type="spellEnd"/>
      <w:r w:rsidR="00000000">
        <w:t xml:space="preserve"> studies.</w:t>
      </w:r>
    </w:p>
    <w:p w14:paraId="431558A9" w14:textId="77777777" w:rsidR="00B155B4" w:rsidRDefault="00B155B4">
      <w:pPr>
        <w:ind w:firstLine="708"/>
      </w:pPr>
    </w:p>
    <w:tbl>
      <w:tblPr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B155B4" w14:paraId="3AD1C426" w14:textId="77777777"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35A5" w14:textId="77777777" w:rsidR="00B155B4" w:rsidRDefault="00000000">
            <w:pPr>
              <w:widowControl w:val="0"/>
              <w:jc w:val="center"/>
            </w:pPr>
            <w:r>
              <w:rPr>
                <w:b/>
                <w:bCs/>
                <w:color w:val="000000" w:themeColor="text1"/>
              </w:rPr>
              <w:t>Cohort studies </w:t>
            </w:r>
          </w:p>
        </w:tc>
      </w:tr>
      <w:tr w:rsidR="00B155B4" w14:paraId="1375884E" w14:textId="77777777"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AB0A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Note: A study can be given a maximum of one star for each numbered item within the Selection and Outcome categories. A maximum of two stars can be given for Comparability. </w:t>
            </w:r>
          </w:p>
          <w:p w14:paraId="76D4722D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4F2D167E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Selection </w:t>
            </w:r>
          </w:p>
          <w:p w14:paraId="0FC4BA37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1. Representativeness of the exposed cohort with Diabetes Mellitus (DM) </w:t>
            </w:r>
          </w:p>
          <w:p w14:paraId="09288CAD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a. Subjects representative of the average subjects aged 60 years and older with diabetes mellitus * </w:t>
            </w:r>
          </w:p>
          <w:p w14:paraId="73A98144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b. Not representative or no description </w:t>
            </w:r>
          </w:p>
          <w:p w14:paraId="48D1054A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15C4BDD4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2. Selection of the non-exposed cohorts: subjects without Diabetes Mellitus drawn from the same population as the exposed cohort. </w:t>
            </w:r>
          </w:p>
          <w:p w14:paraId="37B32E9B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a. Yes * </w:t>
            </w:r>
          </w:p>
          <w:p w14:paraId="700FB9D0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b. No </w:t>
            </w:r>
          </w:p>
          <w:p w14:paraId="265841AC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c. No description of the derivation of the non-exposed cohort </w:t>
            </w:r>
          </w:p>
          <w:p w14:paraId="22DC268C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72BF9223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3. Ascertainment of exposure: how diabetes mellitus diagnosis is made. </w:t>
            </w:r>
          </w:p>
          <w:p w14:paraId="3A563B48" w14:textId="00D05C81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a. Diabetes mellitus diagnosed is made based on laboratory tests (fasting blood glucose, oral glucose tolerance test (TOTG), glycated hemoglobin (HbA1c)</w:t>
            </w:r>
            <w:r w:rsidR="00A76B98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and self-report of a physician’s diagnosis * </w:t>
            </w:r>
            <w:r>
              <w:rPr>
                <w:color w:val="000000" w:themeColor="text1"/>
                <w:vertAlign w:val="superscript"/>
              </w:rPr>
              <w:t>56,57</w:t>
            </w:r>
          </w:p>
          <w:p w14:paraId="192D08A8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b.</w:t>
            </w:r>
            <w:r>
              <w:rPr>
                <w:color w:val="FF0000"/>
              </w:rPr>
              <w:t xml:space="preserve"> </w:t>
            </w:r>
            <w:r>
              <w:rPr>
                <w:color w:val="000000" w:themeColor="text1"/>
              </w:rPr>
              <w:t xml:space="preserve">Diabetes mellitus diagnosed is made based on laboratory tests (fasting blood glucose, oral glucose tolerance test (TOTG), glycated hemoglobin (HbA1c) self-report of a physician’s diagnosis and anti-diabetic medication use * </w:t>
            </w:r>
            <w:r>
              <w:rPr>
                <w:color w:val="000000" w:themeColor="text1"/>
                <w:vertAlign w:val="superscript"/>
              </w:rPr>
              <w:t>56,57</w:t>
            </w:r>
          </w:p>
          <w:p w14:paraId="6FB1E427" w14:textId="10CCF874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 xml:space="preserve">c. Diabetes mellitus diagnosed is made based on laboratory tests (fasting blood glucose, oral glucose tolerance test (TOTG), glycated hemoglobin (HbA1c), self-report of a physician’s diagnosis, anti-diabetic medication </w:t>
            </w:r>
            <w:proofErr w:type="gramStart"/>
            <w:r>
              <w:rPr>
                <w:color w:val="000000" w:themeColor="text1"/>
              </w:rPr>
              <w:t>use</w:t>
            </w:r>
            <w:proofErr w:type="gramEnd"/>
            <w:r>
              <w:rPr>
                <w:color w:val="000000" w:themeColor="text1"/>
              </w:rPr>
              <w:t xml:space="preserve"> and </w:t>
            </w:r>
            <w:r w:rsidR="00A76B98">
              <w:rPr>
                <w:color w:val="000000" w:themeColor="text1"/>
              </w:rPr>
              <w:t>collecting</w:t>
            </w:r>
            <w:r>
              <w:rPr>
                <w:color w:val="000000" w:themeColor="text1"/>
              </w:rPr>
              <w:t xml:space="preserve"> data. </w:t>
            </w:r>
            <w:r>
              <w:rPr>
                <w:color w:val="FF0000"/>
              </w:rPr>
              <w:t> </w:t>
            </w:r>
          </w:p>
          <w:p w14:paraId="168AA52E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d. No description or unclear </w:t>
            </w:r>
          </w:p>
          <w:p w14:paraId="5FEF96AC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057430D6" w14:textId="19482C18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 xml:space="preserve">4. Demonstration that </w:t>
            </w:r>
            <w:r w:rsidR="00A76B98">
              <w:rPr>
                <w:color w:val="000000" w:themeColor="text1"/>
              </w:rPr>
              <w:t>fall</w:t>
            </w:r>
            <w:r>
              <w:rPr>
                <w:color w:val="000000" w:themeColor="text1"/>
              </w:rPr>
              <w:t xml:space="preserve"> outcome was not present at </w:t>
            </w:r>
            <w:r w:rsidR="00A76B98">
              <w:rPr>
                <w:color w:val="000000" w:themeColor="text1"/>
              </w:rPr>
              <w:t xml:space="preserve">the </w:t>
            </w:r>
            <w:r>
              <w:rPr>
                <w:color w:val="000000" w:themeColor="text1"/>
              </w:rPr>
              <w:t>start of study. </w:t>
            </w:r>
          </w:p>
          <w:p w14:paraId="558227E1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a. Yes* </w:t>
            </w:r>
          </w:p>
          <w:p w14:paraId="7D40CE08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b. No </w:t>
            </w:r>
          </w:p>
          <w:p w14:paraId="3A2D0D4E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6D6441AD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Comparability </w:t>
            </w:r>
          </w:p>
          <w:p w14:paraId="3A38699B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 xml:space="preserve">1. Comparability of cohorts </w:t>
            </w:r>
            <w:proofErr w:type="gramStart"/>
            <w:r>
              <w:rPr>
                <w:color w:val="000000" w:themeColor="text1"/>
              </w:rPr>
              <w:t>on the basis of</w:t>
            </w:r>
            <w:proofErr w:type="gramEnd"/>
            <w:r>
              <w:rPr>
                <w:color w:val="000000" w:themeColor="text1"/>
              </w:rPr>
              <w:t xml:space="preserve"> the design or analysis controlled for confounders </w:t>
            </w:r>
          </w:p>
          <w:p w14:paraId="21383E8B" w14:textId="7AAC5BBF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a. Study controls for age and/or sex* </w:t>
            </w:r>
          </w:p>
          <w:p w14:paraId="05C42F2B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b. Study controls for age and/or sex plus other factors* </w:t>
            </w:r>
          </w:p>
          <w:p w14:paraId="525241D6" w14:textId="35F5073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 xml:space="preserve">c. Cohorts are not comparable </w:t>
            </w:r>
            <w:proofErr w:type="gramStart"/>
            <w:r>
              <w:rPr>
                <w:color w:val="000000" w:themeColor="text1"/>
              </w:rPr>
              <w:t>on the basis of</w:t>
            </w:r>
            <w:proofErr w:type="gramEnd"/>
            <w:r>
              <w:rPr>
                <w:color w:val="000000" w:themeColor="text1"/>
              </w:rPr>
              <w:t xml:space="preserve"> the design or analysis controlled for </w:t>
            </w:r>
            <w:r w:rsidR="00A76B98">
              <w:rPr>
                <w:color w:val="000000" w:themeColor="text1"/>
              </w:rPr>
              <w:t>confounders.</w:t>
            </w:r>
            <w:r>
              <w:rPr>
                <w:color w:val="000000" w:themeColor="text1"/>
              </w:rPr>
              <w:t> </w:t>
            </w:r>
          </w:p>
          <w:p w14:paraId="38B497F1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0335D34B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lastRenderedPageBreak/>
              <w:t>Outcome </w:t>
            </w:r>
          </w:p>
          <w:p w14:paraId="42F79673" w14:textId="0D90E185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 xml:space="preserve">1. Assessment of </w:t>
            </w:r>
            <w:r w:rsidR="00A76B98">
              <w:rPr>
                <w:color w:val="000000" w:themeColor="text1"/>
              </w:rPr>
              <w:t>fall</w:t>
            </w:r>
            <w:r>
              <w:rPr>
                <w:color w:val="000000" w:themeColor="text1"/>
              </w:rPr>
              <w:t xml:space="preserve"> outcome </w:t>
            </w:r>
          </w:p>
          <w:p w14:paraId="2F538815" w14:textId="0A2875CC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 xml:space="preserve">a. Observed/assessed by </w:t>
            </w:r>
            <w:r w:rsidR="00A76B98">
              <w:rPr>
                <w:color w:val="000000" w:themeColor="text1"/>
              </w:rPr>
              <w:t xml:space="preserve">a </w:t>
            </w:r>
            <w:r>
              <w:rPr>
                <w:color w:val="000000" w:themeColor="text1"/>
              </w:rPr>
              <w:t>physician* </w:t>
            </w:r>
          </w:p>
          <w:p w14:paraId="329850FE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b. Medical/hospital records as the primary source* </w:t>
            </w:r>
          </w:p>
          <w:p w14:paraId="1867DF11" w14:textId="0C68D5B3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 xml:space="preserve">c. </w:t>
            </w:r>
            <w:r w:rsidR="00A76B98">
              <w:rPr>
                <w:color w:val="000000" w:themeColor="text1"/>
              </w:rPr>
              <w:t>Self-report</w:t>
            </w:r>
            <w:r>
              <w:rPr>
                <w:color w:val="000000" w:themeColor="text1"/>
              </w:rPr>
              <w:t> </w:t>
            </w:r>
          </w:p>
          <w:p w14:paraId="63E54AE4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d. No description </w:t>
            </w:r>
          </w:p>
          <w:p w14:paraId="6E77041D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66E5ACF7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2. Was follow-up long enough for fall outcomes to occur. </w:t>
            </w:r>
          </w:p>
          <w:p w14:paraId="1429773E" w14:textId="77777777" w:rsidR="00B155B4" w:rsidRDefault="00000000">
            <w:pPr>
              <w:widowControl w:val="0"/>
              <w:spacing w:after="40"/>
              <w:rPr>
                <w:lang w:val="en-GB"/>
              </w:rPr>
            </w:pPr>
            <w:r>
              <w:rPr>
                <w:color w:val="000000" w:themeColor="text1"/>
              </w:rPr>
              <w:t xml:space="preserve">a. Yes, &gt;= 12 months * </w:t>
            </w:r>
            <w:r>
              <w:rPr>
                <w:color w:val="000000" w:themeColor="text1"/>
                <w:sz w:val="13"/>
                <w:szCs w:val="13"/>
                <w:vertAlign w:val="superscript"/>
              </w:rPr>
              <w:t>2</w:t>
            </w:r>
          </w:p>
          <w:p w14:paraId="15D05480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b. No, &lt; 12 months </w:t>
            </w:r>
          </w:p>
          <w:p w14:paraId="74467735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4E581BBF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3. Adequacy of follow-up of cohorts </w:t>
            </w:r>
          </w:p>
          <w:p w14:paraId="252D5304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a. Complete follow up- all subjects accounted for * </w:t>
            </w:r>
          </w:p>
          <w:p w14:paraId="56D6981E" w14:textId="6B328BF5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 xml:space="preserve">b. Subjects lost to </w:t>
            </w:r>
            <w:r w:rsidR="00A76B98">
              <w:rPr>
                <w:color w:val="000000" w:themeColor="text1"/>
              </w:rPr>
              <w:t>follow-up</w:t>
            </w:r>
            <w:r>
              <w:rPr>
                <w:color w:val="000000" w:themeColor="text1"/>
              </w:rPr>
              <w:t xml:space="preserve"> unlikely to introduce bias-number lost less than or equal to 20% or description of those lost suggested no different from those followed * </w:t>
            </w:r>
          </w:p>
          <w:p w14:paraId="0196A4AC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 xml:space="preserve">c. Follow up rate less than 80% and no description of those </w:t>
            </w:r>
            <w:proofErr w:type="gramStart"/>
            <w:r>
              <w:rPr>
                <w:color w:val="000000" w:themeColor="text1"/>
              </w:rPr>
              <w:t>lost</w:t>
            </w:r>
            <w:proofErr w:type="gramEnd"/>
            <w:r>
              <w:rPr>
                <w:color w:val="000000" w:themeColor="text1"/>
              </w:rPr>
              <w:t> </w:t>
            </w:r>
          </w:p>
          <w:p w14:paraId="0B3811EF" w14:textId="77777777" w:rsidR="00B155B4" w:rsidRDefault="00000000">
            <w:pPr>
              <w:widowControl w:val="0"/>
            </w:pPr>
            <w:r>
              <w:rPr>
                <w:color w:val="000000" w:themeColor="text1"/>
              </w:rPr>
              <w:t xml:space="preserve">d. Not </w:t>
            </w:r>
            <w:proofErr w:type="gramStart"/>
            <w:r>
              <w:rPr>
                <w:color w:val="000000" w:themeColor="text1"/>
              </w:rPr>
              <w:t>described</w:t>
            </w:r>
            <w:proofErr w:type="gramEnd"/>
            <w:r>
              <w:rPr>
                <w:color w:val="000000" w:themeColor="text1"/>
              </w:rPr>
              <w:t> </w:t>
            </w:r>
          </w:p>
          <w:p w14:paraId="0114C131" w14:textId="77777777" w:rsidR="00B155B4" w:rsidRDefault="00000000">
            <w:pPr>
              <w:widowControl w:val="0"/>
            </w:pPr>
            <w:r>
              <w:rPr>
                <w:color w:val="000000" w:themeColor="text1"/>
              </w:rPr>
              <w:t>*= one star</w:t>
            </w:r>
          </w:p>
          <w:p w14:paraId="144418BB" w14:textId="77777777" w:rsidR="00B155B4" w:rsidRDefault="00B155B4">
            <w:pPr>
              <w:widowControl w:val="0"/>
            </w:pPr>
          </w:p>
        </w:tc>
      </w:tr>
    </w:tbl>
    <w:p w14:paraId="1EFACED0" w14:textId="77777777" w:rsidR="00B155B4" w:rsidRDefault="00000000">
      <w:pPr>
        <w:rPr>
          <w:sz w:val="22"/>
          <w:szCs w:val="22"/>
          <w:lang w:val="en-GB"/>
        </w:rPr>
      </w:pPr>
      <w:r>
        <w:rPr>
          <w:sz w:val="22"/>
          <w:szCs w:val="22"/>
        </w:rPr>
        <w:lastRenderedPageBreak/>
        <w:t>Source: Research data, 2022.</w:t>
      </w:r>
    </w:p>
    <w:p w14:paraId="16DCB710" w14:textId="77777777" w:rsidR="00B155B4" w:rsidRDefault="00B155B4">
      <w:pPr>
        <w:rPr>
          <w:sz w:val="22"/>
          <w:szCs w:val="22"/>
          <w:lang w:val="en-GB"/>
        </w:rPr>
      </w:pPr>
    </w:p>
    <w:p w14:paraId="2C67AED0" w14:textId="77777777" w:rsidR="00B155B4" w:rsidRDefault="00B155B4">
      <w:pPr>
        <w:rPr>
          <w:sz w:val="22"/>
          <w:szCs w:val="22"/>
          <w:lang w:val="en-GB"/>
        </w:rPr>
      </w:pPr>
    </w:p>
    <w:p w14:paraId="20AA3EC7" w14:textId="77777777" w:rsidR="00B155B4" w:rsidRDefault="00B155B4">
      <w:pPr>
        <w:rPr>
          <w:sz w:val="22"/>
          <w:szCs w:val="22"/>
          <w:lang w:val="en-GB"/>
        </w:rPr>
      </w:pPr>
    </w:p>
    <w:p w14:paraId="3E370A45" w14:textId="77777777" w:rsidR="00B155B4" w:rsidRDefault="00B155B4">
      <w:pPr>
        <w:rPr>
          <w:sz w:val="22"/>
          <w:szCs w:val="22"/>
          <w:lang w:val="en-GB"/>
        </w:rPr>
      </w:pPr>
    </w:p>
    <w:p w14:paraId="6091D8D3" w14:textId="77777777" w:rsidR="00B155B4" w:rsidRDefault="00B155B4">
      <w:pPr>
        <w:rPr>
          <w:sz w:val="22"/>
          <w:szCs w:val="22"/>
          <w:lang w:val="en-GB"/>
        </w:rPr>
      </w:pPr>
    </w:p>
    <w:p w14:paraId="5637F5BC" w14:textId="77777777" w:rsidR="00B155B4" w:rsidRDefault="00B155B4">
      <w:pPr>
        <w:rPr>
          <w:sz w:val="22"/>
          <w:szCs w:val="22"/>
          <w:lang w:val="en-GB"/>
        </w:rPr>
      </w:pPr>
    </w:p>
    <w:p w14:paraId="3BDB1A65" w14:textId="77777777" w:rsidR="00B155B4" w:rsidRDefault="00B155B4">
      <w:pPr>
        <w:rPr>
          <w:sz w:val="22"/>
          <w:szCs w:val="22"/>
          <w:lang w:val="en-GB"/>
        </w:rPr>
      </w:pPr>
    </w:p>
    <w:p w14:paraId="5F905A26" w14:textId="77777777" w:rsidR="00B155B4" w:rsidRDefault="00B155B4">
      <w:pPr>
        <w:rPr>
          <w:sz w:val="22"/>
          <w:szCs w:val="22"/>
          <w:lang w:val="en-GB"/>
        </w:rPr>
      </w:pPr>
    </w:p>
    <w:p w14:paraId="3FDF4C41" w14:textId="77777777" w:rsidR="00B155B4" w:rsidRDefault="00B155B4">
      <w:pPr>
        <w:rPr>
          <w:sz w:val="22"/>
          <w:szCs w:val="22"/>
          <w:lang w:val="en-GB"/>
        </w:rPr>
      </w:pPr>
    </w:p>
    <w:p w14:paraId="747D3B64" w14:textId="77777777" w:rsidR="00B155B4" w:rsidRDefault="00B155B4">
      <w:pPr>
        <w:rPr>
          <w:sz w:val="22"/>
          <w:szCs w:val="22"/>
          <w:lang w:val="en-GB"/>
        </w:rPr>
      </w:pPr>
    </w:p>
    <w:p w14:paraId="035C6D1C" w14:textId="77777777" w:rsidR="00B155B4" w:rsidRDefault="00B155B4">
      <w:pPr>
        <w:rPr>
          <w:sz w:val="22"/>
          <w:szCs w:val="22"/>
          <w:lang w:val="en-GB"/>
        </w:rPr>
      </w:pPr>
    </w:p>
    <w:p w14:paraId="0BD26F5E" w14:textId="77777777" w:rsidR="00B155B4" w:rsidRDefault="00B155B4">
      <w:pPr>
        <w:rPr>
          <w:sz w:val="22"/>
          <w:szCs w:val="22"/>
          <w:lang w:val="en-GB"/>
        </w:rPr>
      </w:pPr>
    </w:p>
    <w:p w14:paraId="2307125C" w14:textId="77777777" w:rsidR="00B155B4" w:rsidRDefault="00B155B4">
      <w:pPr>
        <w:rPr>
          <w:sz w:val="22"/>
          <w:szCs w:val="22"/>
          <w:lang w:val="en-GB"/>
        </w:rPr>
      </w:pPr>
    </w:p>
    <w:p w14:paraId="61582983" w14:textId="77777777" w:rsidR="00B155B4" w:rsidRDefault="00B155B4">
      <w:pPr>
        <w:rPr>
          <w:sz w:val="22"/>
          <w:szCs w:val="22"/>
          <w:lang w:val="en-GB"/>
        </w:rPr>
      </w:pPr>
    </w:p>
    <w:p w14:paraId="0E3D7B7B" w14:textId="77777777" w:rsidR="00B155B4" w:rsidRDefault="00B155B4">
      <w:pPr>
        <w:rPr>
          <w:sz w:val="22"/>
          <w:szCs w:val="22"/>
          <w:lang w:val="en-GB"/>
        </w:rPr>
      </w:pPr>
    </w:p>
    <w:p w14:paraId="67B6DEF2" w14:textId="77777777" w:rsidR="00B155B4" w:rsidRDefault="00B155B4">
      <w:pPr>
        <w:rPr>
          <w:sz w:val="22"/>
          <w:szCs w:val="22"/>
          <w:lang w:val="en-GB"/>
        </w:rPr>
      </w:pPr>
    </w:p>
    <w:p w14:paraId="6D93CBC5" w14:textId="77777777" w:rsidR="00B155B4" w:rsidRDefault="00B155B4">
      <w:pPr>
        <w:rPr>
          <w:sz w:val="22"/>
          <w:szCs w:val="22"/>
          <w:lang w:val="en-GB"/>
        </w:rPr>
      </w:pPr>
    </w:p>
    <w:p w14:paraId="59FD26F2" w14:textId="77777777" w:rsidR="00B155B4" w:rsidRDefault="00B155B4">
      <w:pPr>
        <w:rPr>
          <w:sz w:val="22"/>
          <w:szCs w:val="22"/>
          <w:lang w:val="en-GB"/>
        </w:rPr>
      </w:pPr>
    </w:p>
    <w:p w14:paraId="5FCBFEC9" w14:textId="77777777" w:rsidR="00B155B4" w:rsidRDefault="00B155B4">
      <w:pPr>
        <w:rPr>
          <w:sz w:val="22"/>
          <w:szCs w:val="22"/>
          <w:lang w:val="en-GB"/>
        </w:rPr>
      </w:pPr>
    </w:p>
    <w:p w14:paraId="2FFA3BF0" w14:textId="77777777" w:rsidR="00B155B4" w:rsidRDefault="00B155B4">
      <w:pPr>
        <w:rPr>
          <w:sz w:val="22"/>
          <w:szCs w:val="22"/>
          <w:lang w:val="en-GB"/>
        </w:rPr>
      </w:pPr>
    </w:p>
    <w:p w14:paraId="2DDA34A4" w14:textId="77777777" w:rsidR="00B155B4" w:rsidRDefault="00B155B4">
      <w:pPr>
        <w:rPr>
          <w:sz w:val="22"/>
          <w:szCs w:val="22"/>
          <w:lang w:val="en-GB"/>
        </w:rPr>
      </w:pPr>
    </w:p>
    <w:p w14:paraId="272231E0" w14:textId="77777777" w:rsidR="00B155B4" w:rsidRDefault="00B155B4">
      <w:pPr>
        <w:rPr>
          <w:sz w:val="22"/>
          <w:szCs w:val="22"/>
          <w:lang w:val="en-GB"/>
        </w:rPr>
      </w:pPr>
    </w:p>
    <w:p w14:paraId="65E01DFD" w14:textId="77777777" w:rsidR="00B155B4" w:rsidRDefault="00B155B4">
      <w:pPr>
        <w:rPr>
          <w:sz w:val="22"/>
          <w:szCs w:val="22"/>
          <w:lang w:val="en-GB"/>
        </w:rPr>
      </w:pPr>
    </w:p>
    <w:p w14:paraId="61EB54EA" w14:textId="77777777" w:rsidR="00B155B4" w:rsidRDefault="00B155B4">
      <w:pPr>
        <w:rPr>
          <w:sz w:val="22"/>
          <w:szCs w:val="22"/>
          <w:lang w:val="en-GB"/>
        </w:rPr>
      </w:pPr>
    </w:p>
    <w:p w14:paraId="1C258554" w14:textId="77777777" w:rsidR="00B155B4" w:rsidRDefault="00B155B4">
      <w:pPr>
        <w:rPr>
          <w:sz w:val="22"/>
          <w:szCs w:val="22"/>
          <w:lang w:val="en-GB"/>
        </w:rPr>
      </w:pPr>
    </w:p>
    <w:p w14:paraId="6678A5B4" w14:textId="77777777" w:rsidR="00B155B4" w:rsidRDefault="00B155B4">
      <w:pPr>
        <w:rPr>
          <w:sz w:val="22"/>
          <w:szCs w:val="22"/>
          <w:lang w:val="en-GB"/>
        </w:rPr>
      </w:pPr>
    </w:p>
    <w:p w14:paraId="3D79E174" w14:textId="77777777" w:rsidR="00B155B4" w:rsidRDefault="00B155B4">
      <w:pPr>
        <w:rPr>
          <w:sz w:val="22"/>
          <w:szCs w:val="22"/>
          <w:lang w:val="en-GB"/>
        </w:rPr>
      </w:pPr>
    </w:p>
    <w:p w14:paraId="07CAEAAC" w14:textId="77777777" w:rsidR="00B155B4" w:rsidRDefault="00B155B4">
      <w:pPr>
        <w:rPr>
          <w:sz w:val="22"/>
          <w:szCs w:val="22"/>
          <w:lang w:val="en-GB"/>
        </w:rPr>
      </w:pPr>
    </w:p>
    <w:p w14:paraId="0E997F8F" w14:textId="77777777" w:rsidR="00B155B4" w:rsidRDefault="00B155B4">
      <w:pPr>
        <w:rPr>
          <w:sz w:val="22"/>
          <w:szCs w:val="22"/>
          <w:lang w:val="en-GB"/>
        </w:rPr>
      </w:pPr>
    </w:p>
    <w:p w14:paraId="31BF57D5" w14:textId="77777777" w:rsidR="00B155B4" w:rsidRDefault="00B155B4">
      <w:pPr>
        <w:rPr>
          <w:sz w:val="22"/>
          <w:szCs w:val="22"/>
          <w:lang w:val="en-GB"/>
        </w:rPr>
      </w:pPr>
    </w:p>
    <w:tbl>
      <w:tblPr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B155B4" w14:paraId="5A15E123" w14:textId="77777777"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59C7" w14:textId="77777777" w:rsidR="00B155B4" w:rsidRDefault="00000000">
            <w:pPr>
              <w:widowControl w:val="0"/>
              <w:jc w:val="center"/>
              <w:rPr>
                <w:lang w:val="en-GB"/>
              </w:rPr>
            </w:pPr>
            <w:r>
              <w:rPr>
                <w:b/>
                <w:bCs/>
                <w:color w:val="000000" w:themeColor="text1"/>
              </w:rPr>
              <w:t>Adapted for cross-sectional studies</w:t>
            </w:r>
          </w:p>
        </w:tc>
      </w:tr>
      <w:tr w:rsidR="00B155B4" w14:paraId="3353A3C9" w14:textId="77777777"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DE40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Selection (Maximum 3 stars) </w:t>
            </w:r>
          </w:p>
          <w:p w14:paraId="62DCEB41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1. Representativeness of the sample </w:t>
            </w:r>
          </w:p>
          <w:p w14:paraId="503A0AAF" w14:textId="77777777" w:rsidR="00B155B4" w:rsidRDefault="00000000">
            <w:pPr>
              <w:widowControl w:val="0"/>
              <w:spacing w:after="40"/>
              <w:rPr>
                <w:lang w:val="en-GB"/>
              </w:rPr>
            </w:pPr>
            <w:r>
              <w:rPr>
                <w:color w:val="000000" w:themeColor="text1"/>
              </w:rPr>
              <w:t>a. Subjects representative of the average subjects aged 60 years and older * </w:t>
            </w:r>
          </w:p>
          <w:p w14:paraId="5DB8AEE5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b. Not representative or no description </w:t>
            </w:r>
          </w:p>
          <w:p w14:paraId="111A606F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3BF2429D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2. Selection of the non-exposed subjects: subjects without diabetes mellitus drawn from the same population as the exposed subjects </w:t>
            </w:r>
          </w:p>
          <w:p w14:paraId="57F25507" w14:textId="77777777" w:rsidR="00B155B4" w:rsidRDefault="00000000">
            <w:pPr>
              <w:widowControl w:val="0"/>
              <w:spacing w:after="40"/>
              <w:rPr>
                <w:lang w:val="en-GB"/>
              </w:rPr>
            </w:pPr>
            <w:r>
              <w:rPr>
                <w:color w:val="000000" w:themeColor="text1"/>
              </w:rPr>
              <w:t>a. Yes* </w:t>
            </w:r>
          </w:p>
          <w:p w14:paraId="06B4DF23" w14:textId="77777777" w:rsidR="00B155B4" w:rsidRDefault="00000000">
            <w:pPr>
              <w:widowControl w:val="0"/>
              <w:spacing w:after="40"/>
              <w:rPr>
                <w:lang w:val="en-GB"/>
              </w:rPr>
            </w:pPr>
            <w:r>
              <w:rPr>
                <w:color w:val="000000" w:themeColor="text1"/>
              </w:rPr>
              <w:t>b. No </w:t>
            </w:r>
          </w:p>
          <w:p w14:paraId="63E10346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c. No description of the derivation of the non-exposed subjects </w:t>
            </w:r>
          </w:p>
          <w:p w14:paraId="4A479229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36BF00CB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3. Ascertainment of exposure: how diabetes mellitus diagnosis is made </w:t>
            </w:r>
          </w:p>
          <w:p w14:paraId="588E33AD" w14:textId="248231E2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a. Diabetes mellitus diagnosed is made based on laboratory tests (fasting blood glucose, oral glucose tolerance test (TOTG), glycated hemoglobin (HbA1c)</w:t>
            </w:r>
            <w:r w:rsidR="00A76B98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and self-report of a physician’s diagnosis * </w:t>
            </w:r>
            <w:r>
              <w:rPr>
                <w:color w:val="000000" w:themeColor="text1"/>
                <w:vertAlign w:val="superscript"/>
              </w:rPr>
              <w:t>56,57</w:t>
            </w:r>
          </w:p>
          <w:p w14:paraId="62615C12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b.</w:t>
            </w:r>
            <w:r>
              <w:rPr>
                <w:color w:val="FF0000"/>
              </w:rPr>
              <w:t xml:space="preserve"> </w:t>
            </w:r>
            <w:r>
              <w:rPr>
                <w:color w:val="000000" w:themeColor="text1"/>
              </w:rPr>
              <w:t xml:space="preserve">Diabetes mellitus diagnosed is made based on laboratory tests (fasting blood glucose, oral glucose tolerance test (TOTG), glycated hemoglobin (HbA1c) self-report of a physician’s diagnosis and anti-diabetic medication use * </w:t>
            </w:r>
            <w:r>
              <w:rPr>
                <w:color w:val="000000" w:themeColor="text1"/>
                <w:vertAlign w:val="superscript"/>
              </w:rPr>
              <w:t>56,57</w:t>
            </w:r>
          </w:p>
          <w:p w14:paraId="4C1611C7" w14:textId="258A4A24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c. Diabetes mellitus diagnosed is made based on laboratory tests (fasting blood glucose, oral glucose tolerance test (TOTG), glycated hemoglobin (HbA1c), self-report of a physician’s diagnosis, anti-diabetic medication use</w:t>
            </w:r>
            <w:r w:rsidR="00A76B98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and </w:t>
            </w:r>
            <w:r w:rsidR="00A76B98">
              <w:rPr>
                <w:color w:val="000000" w:themeColor="text1"/>
              </w:rPr>
              <w:t>collecting</w:t>
            </w:r>
            <w:r>
              <w:rPr>
                <w:color w:val="000000" w:themeColor="text1"/>
              </w:rPr>
              <w:t xml:space="preserve"> data. </w:t>
            </w:r>
            <w:r>
              <w:rPr>
                <w:color w:val="FF0000"/>
              </w:rPr>
              <w:t> </w:t>
            </w:r>
          </w:p>
          <w:p w14:paraId="05B4E713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d. No description or unclear </w:t>
            </w:r>
          </w:p>
          <w:p w14:paraId="081166F9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1EA8123C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Comparability (Maximum 2 stars) </w:t>
            </w:r>
          </w:p>
          <w:p w14:paraId="30D04EFB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1. The subjects in different outcome groups are comparable, based on the study design or analysis. Confounding factors are controlled. </w:t>
            </w:r>
          </w:p>
          <w:p w14:paraId="4272BC17" w14:textId="6EBC331A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a. Study controls for age and/or sex* </w:t>
            </w:r>
          </w:p>
          <w:p w14:paraId="46A68E14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b. Study controls for age and/or sex plus other factors* </w:t>
            </w:r>
          </w:p>
          <w:p w14:paraId="7EA5794B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c. Study not controlling for any confounding factors. </w:t>
            </w:r>
          </w:p>
          <w:p w14:paraId="2D2B1EE5" w14:textId="77777777" w:rsidR="00B155B4" w:rsidRDefault="00B155B4">
            <w:pPr>
              <w:widowControl w:val="0"/>
              <w:rPr>
                <w:lang w:val="en-GB"/>
              </w:rPr>
            </w:pPr>
          </w:p>
          <w:p w14:paraId="6A4CF95A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Outcome (Maximum 2 stars) </w:t>
            </w:r>
          </w:p>
          <w:p w14:paraId="2606DA72" w14:textId="614B6C65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 xml:space="preserve">1. Assessment of </w:t>
            </w:r>
            <w:r w:rsidR="00A76B98">
              <w:rPr>
                <w:color w:val="000000" w:themeColor="text1"/>
              </w:rPr>
              <w:t>fall</w:t>
            </w:r>
            <w:r>
              <w:rPr>
                <w:color w:val="000000" w:themeColor="text1"/>
              </w:rPr>
              <w:t xml:space="preserve"> outcome </w:t>
            </w:r>
          </w:p>
          <w:p w14:paraId="6FF71EB4" w14:textId="7915E21E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 xml:space="preserve">a. Observed/assessed by </w:t>
            </w:r>
            <w:r w:rsidR="00A76B98">
              <w:rPr>
                <w:color w:val="000000" w:themeColor="text1"/>
              </w:rPr>
              <w:t xml:space="preserve">a </w:t>
            </w:r>
            <w:r>
              <w:rPr>
                <w:color w:val="000000" w:themeColor="text1"/>
              </w:rPr>
              <w:t>physician* </w:t>
            </w:r>
          </w:p>
          <w:p w14:paraId="7661D0AE" w14:textId="77777777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>b. Record linkage * </w:t>
            </w:r>
          </w:p>
          <w:p w14:paraId="218F95A1" w14:textId="3FC4B9BA" w:rsidR="00B155B4" w:rsidRDefault="00000000">
            <w:pPr>
              <w:widowControl w:val="0"/>
              <w:spacing w:after="42"/>
              <w:rPr>
                <w:lang w:val="en-GB"/>
              </w:rPr>
            </w:pPr>
            <w:r>
              <w:rPr>
                <w:color w:val="000000" w:themeColor="text1"/>
              </w:rPr>
              <w:t xml:space="preserve">c. </w:t>
            </w:r>
            <w:r w:rsidR="00A76B98">
              <w:rPr>
                <w:color w:val="000000" w:themeColor="text1"/>
              </w:rPr>
              <w:t>Self-report</w:t>
            </w:r>
            <w:r>
              <w:rPr>
                <w:color w:val="000000" w:themeColor="text1"/>
              </w:rPr>
              <w:t> </w:t>
            </w:r>
          </w:p>
          <w:p w14:paraId="1C6C030E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d. No description </w:t>
            </w:r>
          </w:p>
          <w:p w14:paraId="6D710140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2. Response rate </w:t>
            </w:r>
          </w:p>
          <w:p w14:paraId="2349E29F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a. Rate of sample loss &lt;=20%* </w:t>
            </w:r>
          </w:p>
          <w:p w14:paraId="6487B6AA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b. Rate of sample loss &gt;20% </w:t>
            </w:r>
          </w:p>
          <w:p w14:paraId="45778DD8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 xml:space="preserve">c. Not </w:t>
            </w:r>
            <w:proofErr w:type="gramStart"/>
            <w:r>
              <w:rPr>
                <w:color w:val="000000" w:themeColor="text1"/>
              </w:rPr>
              <w:t>stated</w:t>
            </w:r>
            <w:proofErr w:type="gramEnd"/>
            <w:r>
              <w:rPr>
                <w:color w:val="000000" w:themeColor="text1"/>
              </w:rPr>
              <w:t> </w:t>
            </w:r>
          </w:p>
          <w:p w14:paraId="16897B80" w14:textId="77777777" w:rsidR="00B155B4" w:rsidRDefault="00000000">
            <w:pPr>
              <w:widowControl w:val="0"/>
              <w:rPr>
                <w:lang w:val="en-GB"/>
              </w:rPr>
            </w:pPr>
            <w:r>
              <w:rPr>
                <w:color w:val="000000" w:themeColor="text1"/>
              </w:rPr>
              <w:t>*= one star</w:t>
            </w:r>
          </w:p>
        </w:tc>
      </w:tr>
    </w:tbl>
    <w:p w14:paraId="2ABF1808" w14:textId="77777777" w:rsidR="00B155B4" w:rsidRDefault="00B155B4" w:rsidP="00A76B98"/>
    <w:sectPr w:rsidR="00B155B4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c1MDEzNTAztLAwtbRQ0lEKTi0uzszPAykwrAUA6/K24iwAAAA="/>
  </w:docVars>
  <w:rsids>
    <w:rsidRoot w:val="00B155B4"/>
    <w:rsid w:val="001409C8"/>
    <w:rsid w:val="007061D8"/>
    <w:rsid w:val="00A66384"/>
    <w:rsid w:val="00A76B98"/>
    <w:rsid w:val="00B1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D56A6B"/>
  <w15:docId w15:val="{1B5444B9-88E6-4B88-B05C-300D04EF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D940F24"/>
    <w:pPr>
      <w:spacing w:line="259" w:lineRule="auto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4D940F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4D940F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4D940F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4D940F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4D940F2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4D940F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4D940F2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4D940F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4D940F2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copussearchquery-modulegrammarnyw5j">
    <w:name w:val="scopussearchquery-module_grammar__nyw5j"/>
    <w:basedOn w:val="Fontepargpadro"/>
    <w:qFormat/>
    <w:rsid w:val="00C46597"/>
  </w:style>
  <w:style w:type="character" w:customStyle="1" w:styleId="scopussearchquery-modulekeyword1ecbm">
    <w:name w:val="scopussearchquery-module_keyword__1ecbm"/>
    <w:basedOn w:val="Fontepargpadro"/>
    <w:qFormat/>
    <w:rsid w:val="00C46597"/>
  </w:style>
  <w:style w:type="character" w:customStyle="1" w:styleId="Ttulo1Char">
    <w:name w:val="Título 1 Char"/>
    <w:basedOn w:val="Fontepargpadro"/>
    <w:link w:val="Ttulo1"/>
    <w:uiPriority w:val="9"/>
    <w:qFormat/>
    <w:rsid w:val="4D940F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2Char">
    <w:name w:val="Título 2 Char"/>
    <w:basedOn w:val="Fontepargpadro"/>
    <w:link w:val="Ttulo2"/>
    <w:uiPriority w:val="9"/>
    <w:qFormat/>
    <w:rsid w:val="4D940F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Ttulo3Char">
    <w:name w:val="Título 3 Char"/>
    <w:basedOn w:val="Fontepargpadro"/>
    <w:link w:val="Ttulo3"/>
    <w:uiPriority w:val="9"/>
    <w:qFormat/>
    <w:rsid w:val="4D940F24"/>
    <w:rPr>
      <w:rFonts w:asciiTheme="majorHAnsi" w:eastAsiaTheme="majorEastAsia" w:hAnsiTheme="majorHAnsi" w:cstheme="majorBidi"/>
      <w:color w:val="1F3763"/>
      <w:sz w:val="24"/>
      <w:szCs w:val="24"/>
      <w:lang w:val="en-US"/>
    </w:rPr>
  </w:style>
  <w:style w:type="character" w:customStyle="1" w:styleId="Ttulo4Char">
    <w:name w:val="Título 4 Char"/>
    <w:basedOn w:val="Fontepargpadro"/>
    <w:link w:val="Ttulo4"/>
    <w:uiPriority w:val="9"/>
    <w:qFormat/>
    <w:rsid w:val="4D940F24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qFormat/>
    <w:rsid w:val="4D940F24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qFormat/>
    <w:rsid w:val="4D940F24"/>
    <w:rPr>
      <w:rFonts w:asciiTheme="majorHAnsi" w:eastAsiaTheme="majorEastAsia" w:hAnsiTheme="majorHAnsi" w:cstheme="majorBidi"/>
      <w:color w:val="1F3763"/>
      <w:lang w:val="en-US"/>
    </w:rPr>
  </w:style>
  <w:style w:type="character" w:customStyle="1" w:styleId="Ttulo7Char">
    <w:name w:val="Título 7 Char"/>
    <w:basedOn w:val="Fontepargpadro"/>
    <w:link w:val="Ttulo7"/>
    <w:uiPriority w:val="9"/>
    <w:qFormat/>
    <w:rsid w:val="4D940F24"/>
    <w:rPr>
      <w:rFonts w:asciiTheme="majorHAnsi" w:eastAsiaTheme="majorEastAsia" w:hAnsiTheme="majorHAnsi" w:cstheme="majorBidi"/>
      <w:i/>
      <w:iCs/>
      <w:color w:val="1F3763"/>
      <w:lang w:val="en-US"/>
    </w:rPr>
  </w:style>
  <w:style w:type="character" w:customStyle="1" w:styleId="Ttulo8Char">
    <w:name w:val="Título 8 Char"/>
    <w:basedOn w:val="Fontepargpadro"/>
    <w:link w:val="Ttulo8"/>
    <w:uiPriority w:val="9"/>
    <w:qFormat/>
    <w:rsid w:val="4D940F24"/>
    <w:rPr>
      <w:rFonts w:asciiTheme="majorHAnsi" w:eastAsiaTheme="majorEastAsia" w:hAnsiTheme="majorHAnsi" w:cstheme="majorBidi"/>
      <w:color w:val="272727"/>
      <w:sz w:val="21"/>
      <w:szCs w:val="21"/>
      <w:lang w:val="en-US"/>
    </w:rPr>
  </w:style>
  <w:style w:type="character" w:customStyle="1" w:styleId="Ttulo9Char">
    <w:name w:val="Título 9 Char"/>
    <w:basedOn w:val="Fontepargpadro"/>
    <w:link w:val="Ttulo9"/>
    <w:uiPriority w:val="9"/>
    <w:qFormat/>
    <w:rsid w:val="4D940F24"/>
    <w:rPr>
      <w:rFonts w:asciiTheme="majorHAnsi" w:eastAsiaTheme="majorEastAsia" w:hAnsiTheme="majorHAnsi" w:cstheme="majorBidi"/>
      <w:i/>
      <w:iCs/>
      <w:color w:val="272727"/>
      <w:sz w:val="21"/>
      <w:szCs w:val="21"/>
      <w:lang w:val="en-US"/>
    </w:rPr>
  </w:style>
  <w:style w:type="character" w:customStyle="1" w:styleId="TtuloChar">
    <w:name w:val="Título Char"/>
    <w:basedOn w:val="Fontepargpadro"/>
    <w:link w:val="Ttulo"/>
    <w:uiPriority w:val="10"/>
    <w:qFormat/>
    <w:rsid w:val="4D940F24"/>
    <w:rPr>
      <w:rFonts w:asciiTheme="majorHAnsi" w:eastAsiaTheme="majorEastAsia" w:hAnsiTheme="majorHAnsi" w:cstheme="majorBidi"/>
      <w:sz w:val="56"/>
      <w:szCs w:val="56"/>
      <w:lang w:val="en-US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4D940F24"/>
    <w:rPr>
      <w:rFonts w:asciiTheme="minorHAnsi" w:eastAsiaTheme="minorEastAsia" w:hAnsiTheme="minorHAnsi" w:cstheme="minorBidi"/>
      <w:color w:val="5A5A5A"/>
      <w:lang w:val="en-US"/>
    </w:rPr>
  </w:style>
  <w:style w:type="character" w:customStyle="1" w:styleId="CitaoChar">
    <w:name w:val="Citação Char"/>
    <w:basedOn w:val="Fontepargpadro"/>
    <w:link w:val="Citao"/>
    <w:uiPriority w:val="29"/>
    <w:qFormat/>
    <w:rsid w:val="4D940F24"/>
    <w:rPr>
      <w:i/>
      <w:iCs/>
      <w:color w:val="404040" w:themeColor="text1" w:themeTint="BF"/>
      <w:lang w:val="en-US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4D940F24"/>
    <w:rPr>
      <w:i/>
      <w:iCs/>
      <w:color w:val="4472C4" w:themeColor="accent1"/>
      <w:lang w:val="en-US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qFormat/>
    <w:rsid w:val="4D940F24"/>
    <w:rPr>
      <w:sz w:val="20"/>
      <w:szCs w:val="20"/>
      <w:lang w:val="en-US"/>
    </w:rPr>
  </w:style>
  <w:style w:type="character" w:customStyle="1" w:styleId="RodapChar">
    <w:name w:val="Rodapé Char"/>
    <w:basedOn w:val="Fontepargpadro"/>
    <w:link w:val="Rodap"/>
    <w:uiPriority w:val="99"/>
    <w:qFormat/>
    <w:rsid w:val="4D940F24"/>
    <w:rPr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4D940F24"/>
    <w:rPr>
      <w:sz w:val="20"/>
      <w:szCs w:val="20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4D940F24"/>
    <w:rPr>
      <w:lang w:val="en-US"/>
    </w:rPr>
  </w:style>
  <w:style w:type="paragraph" w:styleId="Ttulo">
    <w:name w:val="Title"/>
    <w:basedOn w:val="Normal"/>
    <w:next w:val="Corpodetexto"/>
    <w:link w:val="TtuloChar"/>
    <w:uiPriority w:val="10"/>
    <w:qFormat/>
    <w:rsid w:val="4D940F24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link w:val="SubttuloChar"/>
    <w:uiPriority w:val="11"/>
    <w:qFormat/>
    <w:rsid w:val="4D940F24"/>
    <w:rPr>
      <w:rFonts w:eastAsiaTheme="minorEastAsia"/>
      <w:color w:val="5A5A5A"/>
    </w:rPr>
  </w:style>
  <w:style w:type="paragraph" w:styleId="Citao">
    <w:name w:val="Quote"/>
    <w:basedOn w:val="Normal"/>
    <w:next w:val="Normal"/>
    <w:link w:val="CitaoChar"/>
    <w:uiPriority w:val="29"/>
    <w:qFormat/>
    <w:rsid w:val="4D940F2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4D940F24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PargrafodaLista">
    <w:name w:val="List Paragraph"/>
    <w:basedOn w:val="Normal"/>
    <w:uiPriority w:val="34"/>
    <w:qFormat/>
    <w:rsid w:val="4D940F24"/>
    <w:pPr>
      <w:ind w:left="720"/>
      <w:contextualSpacing/>
    </w:pPr>
  </w:style>
  <w:style w:type="paragraph" w:styleId="Sumrio1">
    <w:name w:val="toc 1"/>
    <w:basedOn w:val="Normal"/>
    <w:next w:val="Normal"/>
    <w:uiPriority w:val="39"/>
    <w:unhideWhenUsed/>
    <w:rsid w:val="4D940F24"/>
    <w:pPr>
      <w:spacing w:after="100"/>
    </w:pPr>
  </w:style>
  <w:style w:type="paragraph" w:styleId="Sumrio2">
    <w:name w:val="toc 2"/>
    <w:basedOn w:val="Normal"/>
    <w:next w:val="Normal"/>
    <w:uiPriority w:val="39"/>
    <w:unhideWhenUsed/>
    <w:rsid w:val="4D940F24"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rsid w:val="4D940F24"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rsid w:val="4D940F24"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rsid w:val="4D940F24"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rsid w:val="4D940F24"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rsid w:val="4D940F24"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rsid w:val="4D940F24"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rsid w:val="4D940F24"/>
    <w:pPr>
      <w:spacing w:after="100"/>
      <w:ind w:left="1760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4D940F24"/>
    <w:rPr>
      <w:sz w:val="20"/>
      <w:szCs w:val="20"/>
    </w:r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4D940F24"/>
    <w:pPr>
      <w:tabs>
        <w:tab w:val="center" w:pos="4680"/>
        <w:tab w:val="right" w:pos="9360"/>
      </w:tabs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4D940F24"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4D940F24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CCC4D3CA3CB0648ACE62FF5BA34B804" ma:contentTypeVersion="7" ma:contentTypeDescription="Crie um novo documento." ma:contentTypeScope="" ma:versionID="b6ebbf560df12c471813875d647648ad">
  <xsd:schema xmlns:xsd="http://www.w3.org/2001/XMLSchema" xmlns:xs="http://www.w3.org/2001/XMLSchema" xmlns:p="http://schemas.microsoft.com/office/2006/metadata/properties" xmlns:ns2="1c5492e2-57ac-4ff4-9055-a249031fd1d8" targetNamespace="http://schemas.microsoft.com/office/2006/metadata/properties" ma:root="true" ma:fieldsID="791a81b3169d0c0524668e2e4765fd53" ns2:_="">
    <xsd:import namespace="1c5492e2-57ac-4ff4-9055-a249031fd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492e2-57ac-4ff4-9055-a249031fd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9506A8-7488-482A-8B6C-0E654E303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492e2-57ac-4ff4-9055-a249031fd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CD7907-7EE6-4DAE-BC6C-1EA0C2C322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4CF5F1-2AEE-4192-9F11-E50EBFD5F8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700</Words>
  <Characters>3801</Characters>
  <Application>Microsoft Office Word</Application>
  <DocSecurity>0</DocSecurity>
  <Lines>140</Lines>
  <Paragraphs>84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Freire</dc:creator>
  <dc:description/>
  <cp:lastModifiedBy>Leonardo Petrus da Silva Paz</cp:lastModifiedBy>
  <cp:revision>5</cp:revision>
  <dcterms:created xsi:type="dcterms:W3CDTF">2023-12-20T00:16:00Z</dcterms:created>
  <dcterms:modified xsi:type="dcterms:W3CDTF">2023-12-20T12:18:00Z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0x010100DCCC4D3CA3CB0648ACE62FF5BA34B804</vt:lpwstr>
  </property>
  <property fmtid="{D5CDD505-2E9C-101B-9397-08002B2CF9AE}" pid="3" name="GrammarlyDocumentId">
    <vt:lpwstr>4e68cfbfd539e2a834f92b362279a8197a05ff8beee0f0ec1d040596d35540a7</vt:lpwstr>
  </property>
</Properties>
</file>