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Additional File 3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. Risk of bias assessment of the selected studies in this systematic review measured by </w:t>
      </w:r>
      <w:r>
        <w:rPr>
          <w:rFonts w:ascii="Times New Roman" w:hAnsi="Times New Roman"/>
          <w:b/>
          <w:bCs/>
          <w:sz w:val="24"/>
          <w:szCs w:val="24"/>
        </w:rPr>
        <w:t>the Risk of Bias Assessment Tool for Non-randomized Studies (RoBANS)</w:t>
      </w:r>
    </w:p>
    <w:tbl>
      <w:tblPr>
        <w:tblStyle w:val="4"/>
        <w:tblW w:w="11482" w:type="dxa"/>
        <w:tblInd w:w="-1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457"/>
        <w:gridCol w:w="1564"/>
        <w:gridCol w:w="1629"/>
        <w:gridCol w:w="1346"/>
        <w:gridCol w:w="1364"/>
        <w:gridCol w:w="1255"/>
        <w:gridCol w:w="1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Selected studies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Selection of participants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Confounding variables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Measurement of exposure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Blinding of outcome assessment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Incomplete outcome data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Selective outcome reporting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Overall risk of bias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Hosaka and Sugiyama, 2003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Shaji et al., 2003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Valente et al., 2011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O’Dwyer et al., 2012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O’Dwyer et al., 2013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Lewis, 2015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Koyama et al., 2016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Joling et al., 2017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Anderson et al., 2019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Joling et al., 2019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Kim et al., 2019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Rosato et al., 2019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Lyness et al., 1992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Florrio et al., 1997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Rao et al., 1997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Rubro et al., 2001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Draper et al., 2003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Heun et al., 2003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Peisah et al., 2006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Erlangsen et al., 2008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Purandane et al., 2009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Qin, 2011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McCarthy et al., 2012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Borges et al., 2014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Randall et al., 2014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Nishida et al., 2015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Matschke et al., 2018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Morgan et al., 2018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Zucca et al., 2019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Ng et al., 2020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Ortner et al., 2021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Alothman et al., 2022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Barak et al., 2002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Seyfried et al., 2011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Tu et al., 2016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Annor et al., 2019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 w:eastAsia="Calibri"/>
                <w:b w:val="0"/>
                <w:b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/>
                <w:b w:val="0"/>
                <w:b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Choi et al., 2021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Gunak et al., 2021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Unclear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Calibri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Holmstrand et al., 2021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Unclear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Low risk 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Unclear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 w:eastAsia="Calibri"/>
                <w:sz w:val="20"/>
                <w:szCs w:val="20"/>
              </w:rPr>
              <w:t>Schmutte et al., 2022</w:t>
            </w:r>
          </w:p>
        </w:tc>
        <w:tc>
          <w:tcPr>
            <w:tcW w:w="1457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5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 risk</w:t>
            </w:r>
          </w:p>
        </w:tc>
        <w:tc>
          <w:tcPr>
            <w:tcW w:w="1629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346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Unclear risk</w:t>
            </w:r>
          </w:p>
        </w:tc>
        <w:tc>
          <w:tcPr>
            <w:tcW w:w="1364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255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 risk</w:t>
            </w:r>
          </w:p>
        </w:tc>
        <w:tc>
          <w:tcPr>
            <w:tcW w:w="1413" w:type="dxa"/>
          </w:tcPr>
          <w:p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Uncle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ar risk</w:t>
            </w:r>
          </w:p>
        </w:tc>
      </w:tr>
    </w:tbl>
    <w:p>
      <w:pPr>
        <w:rPr>
          <w:rFonts w:ascii="Times New Roman" w:hAnsi="Times New Roman"/>
          <w:sz w:val="24"/>
          <w:szCs w:val="24"/>
          <w:lang w:val="en-US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3D"/>
    <w:rsid w:val="00425E09"/>
    <w:rsid w:val="009B7741"/>
    <w:rsid w:val="00C8745B"/>
    <w:rsid w:val="00DB463D"/>
    <w:rsid w:val="0C9F50E2"/>
    <w:rsid w:val="2CF97B51"/>
    <w:rsid w:val="69F8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4" w:lineRule="auto"/>
    </w:pPr>
    <w:rPr>
      <w:rFonts w:ascii="Calibri" w:hAnsi="Calibri" w:eastAsia="Times New Roman" w:cs="Times New Roman"/>
      <w:kern w:val="0"/>
      <w:sz w:val="22"/>
      <w:szCs w:val="22"/>
      <w:lang w:val="en-MY" w:eastAsia="en-MY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584</Words>
  <Characters>3335</Characters>
  <Lines>27</Lines>
  <Paragraphs>7</Paragraphs>
  <TotalTime>42</TotalTime>
  <ScaleCrop>false</ScaleCrop>
  <LinksUpToDate>false</LinksUpToDate>
  <CharactersWithSpaces>3912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2023-12-04T23:18:00Z</dcterms:created>
  <dc:creator>MOHAMMAD FARRIS IMAN LEONG BIN ABDULLAH</dc:creator>
  <cp:lastModifiedBy>Mohammad Farris Iman Leong Abd</cp:lastModifiedBy>
  <dcterms:modified xsi:type="dcterms:W3CDTF">2024-01-05T03:36:06Z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A9B859E83B484FEB94253D8BD654ED8D_13</vt:lpwstr>
  </property>
</Properties>
</file>