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AFE5" w14:textId="73347147" w:rsidR="00F04B6E" w:rsidRDefault="00F04B6E" w:rsidP="00F04B6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779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  <w:r w:rsidRPr="003A2F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0E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A2FB2">
        <w:rPr>
          <w:rFonts w:ascii="Times New Roman" w:hAnsi="Times New Roman" w:cs="Times New Roman"/>
          <w:b/>
          <w:bCs/>
          <w:sz w:val="24"/>
          <w:szCs w:val="24"/>
        </w:rPr>
        <w:t>: Abbreviations</w:t>
      </w:r>
    </w:p>
    <w:p w14:paraId="327EA8AD" w14:textId="77777777" w:rsidR="00F04B6E" w:rsidRPr="003A2FB2" w:rsidRDefault="00F04B6E" w:rsidP="00F04B6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9CF70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ESD: Early Supported Discharge</w:t>
      </w:r>
    </w:p>
    <w:p w14:paraId="3937C651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LoS: Length of Stay</w:t>
      </w:r>
    </w:p>
    <w:p w14:paraId="2BBFE7F8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QoL: Quality of Life</w:t>
      </w:r>
    </w:p>
    <w:p w14:paraId="7C32E710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MDT: Multi-disciplinary Team</w:t>
      </w:r>
    </w:p>
    <w:p w14:paraId="47D74613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ERAS: Enhanced Recovery After Surgery</w:t>
      </w:r>
    </w:p>
    <w:p w14:paraId="28A82B15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PRISMA: Preferred Reporting Items for Systematic Reviews and Meta-Analysis</w:t>
      </w:r>
    </w:p>
    <w:p w14:paraId="568998D9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GRADE: </w:t>
      </w:r>
      <w:r w:rsidRPr="00292652">
        <w:rPr>
          <w:rFonts w:ascii="Times New Roman" w:hAnsi="Times New Roman" w:cs="Times New Roman"/>
          <w:sz w:val="24"/>
          <w:szCs w:val="24"/>
        </w:rPr>
        <w:t>Grading of Recommendations, Assessment, Development and Evaluation</w:t>
      </w:r>
    </w:p>
    <w:p w14:paraId="77B99CF6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RCT: Randomized Control Trial</w:t>
      </w:r>
    </w:p>
    <w:p w14:paraId="26C78B4B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GP: General Practitioner</w:t>
      </w:r>
    </w:p>
    <w:p w14:paraId="503794E3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FIM: Functional Independence Measure</w:t>
      </w:r>
    </w:p>
    <w:p w14:paraId="7F579DBB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MMSE: Mini-Mental State Examination</w:t>
      </w:r>
    </w:p>
    <w:p w14:paraId="5F4B03E5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TUG: Timed Up and Go</w:t>
      </w:r>
    </w:p>
    <w:p w14:paraId="5BE156DC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FES: Falls Efficacy Scale</w:t>
      </w:r>
    </w:p>
    <w:p w14:paraId="6ECE1A9F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BBS: Berg Balance Scale</w:t>
      </w:r>
    </w:p>
    <w:p w14:paraId="73E04AC2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CSI: Caregiver Strain Index</w:t>
      </w:r>
    </w:p>
    <w:p w14:paraId="7EA0DE32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MBI: Modified Barthel Index</w:t>
      </w:r>
    </w:p>
    <w:p w14:paraId="7C792FC1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CGA: Comprehensive Geriatric Assessment</w:t>
      </w:r>
    </w:p>
    <w:p w14:paraId="5029E83D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BI: Barthel Index</w:t>
      </w:r>
    </w:p>
    <w:p w14:paraId="2E074A05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SD: Standard Deviation</w:t>
      </w:r>
    </w:p>
    <w:p w14:paraId="68AF6BC5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IRQ: Inter-quartile Range</w:t>
      </w:r>
    </w:p>
    <w:p w14:paraId="2CC6491F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MD: Mean Difference</w:t>
      </w:r>
    </w:p>
    <w:p w14:paraId="4DEFFAF5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SMD: Standardised Mean Difference</w:t>
      </w:r>
    </w:p>
    <w:p w14:paraId="0A7B7AE6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FEM: Fixed Effects Model</w:t>
      </w:r>
    </w:p>
    <w:p w14:paraId="172BFE60" w14:textId="49B630AD" w:rsidR="00DE60F6" w:rsidRDefault="00DE60F6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RR: Risk Ratio</w:t>
      </w:r>
    </w:p>
    <w:p w14:paraId="3E2680A1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DVT: Deep Vein Thrombosis</w:t>
      </w:r>
    </w:p>
    <w:p w14:paraId="6621675E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PE: Pulmonary Embolism</w:t>
      </w:r>
    </w:p>
    <w:p w14:paraId="2A877AE9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L: Low Risk of Bias</w:t>
      </w:r>
    </w:p>
    <w:p w14:paraId="2A82F67E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SC: Some Concerns in Risk of Bias</w:t>
      </w:r>
    </w:p>
    <w:p w14:paraId="7D36FBF0" w14:textId="77777777" w:rsidR="00F04B6E" w:rsidRDefault="00F04B6E" w:rsidP="00F04B6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H: High Risk of Bias </w:t>
      </w:r>
    </w:p>
    <w:p w14:paraId="793CEDAC" w14:textId="77777777" w:rsidR="00A3443B" w:rsidRDefault="00A3443B"/>
    <w:sectPr w:rsidR="00A3443B" w:rsidSect="00014425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4117" w14:textId="77777777" w:rsidR="00665F9F" w:rsidRDefault="00665F9F" w:rsidP="00665F9F">
      <w:pPr>
        <w:spacing w:after="0" w:line="240" w:lineRule="auto"/>
      </w:pPr>
      <w:r>
        <w:separator/>
      </w:r>
    </w:p>
  </w:endnote>
  <w:endnote w:type="continuationSeparator" w:id="0">
    <w:p w14:paraId="4EEE79FB" w14:textId="77777777" w:rsidR="00665F9F" w:rsidRDefault="00665F9F" w:rsidP="0066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0122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1159D17" w14:textId="45612A76" w:rsidR="00665F9F" w:rsidRPr="00665F9F" w:rsidRDefault="00665F9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65F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5F9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65F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65F9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65F9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BF64035" w14:textId="77777777" w:rsidR="00665F9F" w:rsidRDefault="00665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5409A" w14:textId="77777777" w:rsidR="00665F9F" w:rsidRDefault="00665F9F" w:rsidP="00665F9F">
      <w:pPr>
        <w:spacing w:after="0" w:line="240" w:lineRule="auto"/>
      </w:pPr>
      <w:r>
        <w:separator/>
      </w:r>
    </w:p>
  </w:footnote>
  <w:footnote w:type="continuationSeparator" w:id="0">
    <w:p w14:paraId="15A3BF4C" w14:textId="77777777" w:rsidR="00665F9F" w:rsidRDefault="00665F9F" w:rsidP="00665F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EE"/>
    <w:rsid w:val="00014425"/>
    <w:rsid w:val="005066FA"/>
    <w:rsid w:val="00665F9F"/>
    <w:rsid w:val="007639EE"/>
    <w:rsid w:val="00A3443B"/>
    <w:rsid w:val="00D600EC"/>
    <w:rsid w:val="00DE60F6"/>
    <w:rsid w:val="00ED6847"/>
    <w:rsid w:val="00F0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C079"/>
  <w15:chartTrackingRefBased/>
  <w15:docId w15:val="{E8BDEA85-5C7E-4DDB-B1FB-7D558BEC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B6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F9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5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F9F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14425"/>
  </w:style>
  <w:style w:type="paragraph" w:styleId="Revision">
    <w:name w:val="Revision"/>
    <w:hidden/>
    <w:uiPriority w:val="99"/>
    <w:semiHidden/>
    <w:rsid w:val="00D600E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Susan.Williams</dc:creator>
  <cp:keywords/>
  <dc:description/>
  <cp:lastModifiedBy>Susan.Williams</cp:lastModifiedBy>
  <cp:revision>9</cp:revision>
  <dcterms:created xsi:type="dcterms:W3CDTF">2023-04-25T17:19:00Z</dcterms:created>
  <dcterms:modified xsi:type="dcterms:W3CDTF">2024-01-16T15:57:00Z</dcterms:modified>
</cp:coreProperties>
</file>