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44EAD" w14:textId="14E8C02F" w:rsidR="007D0EA6" w:rsidRDefault="00414C79" w:rsidP="002208B7">
      <w:pPr>
        <w:spacing w:line="480" w:lineRule="auto"/>
        <w:rPr>
          <w:rFonts w:ascii="Times New Roman" w:eastAsiaTheme="minorHAnsi" w:hAnsi="Times New Roman" w:cs="Times New Roman"/>
          <w:b/>
          <w:sz w:val="28"/>
        </w:rPr>
      </w:pPr>
      <w:r w:rsidRPr="000F1B14">
        <w:rPr>
          <w:rFonts w:ascii="Times New Roman" w:eastAsiaTheme="minorHAnsi" w:hAnsi="Times New Roman" w:cs="Times New Roman"/>
          <w:b/>
          <w:sz w:val="28"/>
        </w:rPr>
        <w:t>Development of a multidisciplinary medication management program in nursing homes: Protocol for a randomized controlled trial</w:t>
      </w:r>
    </w:p>
    <w:p w14:paraId="4021836C" w14:textId="4B77D7FF" w:rsidR="007F4442" w:rsidRPr="007F4442" w:rsidRDefault="007F4442" w:rsidP="007F4442">
      <w:pPr>
        <w:wordWrap/>
        <w:spacing w:after="0" w:line="480" w:lineRule="auto"/>
        <w:rPr>
          <w:rFonts w:ascii="Times New Roman" w:eastAsiaTheme="minorHAnsi" w:hAnsi="Times New Roman" w:cs="Times New Roman"/>
          <w:b/>
          <w:sz w:val="24"/>
        </w:rPr>
      </w:pPr>
      <w:r>
        <w:rPr>
          <w:rFonts w:ascii="Times New Roman" w:eastAsiaTheme="minorHAnsi" w:hAnsi="Times New Roman" w:cs="Times New Roman"/>
          <w:sz w:val="28"/>
        </w:rPr>
        <w:t>Sub</w:t>
      </w:r>
      <w:r w:rsidRPr="00A72EB9">
        <w:rPr>
          <w:rFonts w:ascii="Times New Roman" w:eastAsiaTheme="minorHAnsi" w:hAnsi="Times New Roman" w:cs="Times New Roman"/>
          <w:sz w:val="28"/>
        </w:rPr>
        <w:t xml:space="preserve">title: </w:t>
      </w:r>
      <w:r>
        <w:rPr>
          <w:rFonts w:ascii="Times New Roman" w:eastAsiaTheme="minorHAnsi" w:hAnsi="Times New Roman" w:cs="Times New Roman"/>
          <w:sz w:val="28"/>
        </w:rPr>
        <w:t>Multidisciplinary m</w:t>
      </w:r>
      <w:r w:rsidRPr="00A72EB9">
        <w:rPr>
          <w:rFonts w:ascii="Times New Roman" w:eastAsiaTheme="minorHAnsi" w:hAnsi="Times New Roman" w:cs="Times New Roman"/>
          <w:sz w:val="28"/>
        </w:rPr>
        <w:t>edication management in nursing homes</w:t>
      </w:r>
    </w:p>
    <w:p w14:paraId="753874CD" w14:textId="1DF96344" w:rsidR="002208B7" w:rsidRPr="000F1B14" w:rsidRDefault="00414C79" w:rsidP="002208B7">
      <w:pPr>
        <w:spacing w:line="480" w:lineRule="auto"/>
        <w:rPr>
          <w:rFonts w:ascii="Times New Roman" w:hAnsi="Times New Roman" w:cs="Times New Roman"/>
          <w:b/>
          <w:sz w:val="28"/>
        </w:rPr>
      </w:pPr>
      <w:proofErr w:type="gramStart"/>
      <w:r w:rsidRPr="000F1B14">
        <w:rPr>
          <w:rFonts w:ascii="Times New Roman" w:hAnsi="Times New Roman" w:cs="Times New Roman"/>
          <w:b/>
          <w:sz w:val="28"/>
        </w:rPr>
        <w:t xml:space="preserve">Supplementary </w:t>
      </w:r>
      <w:r w:rsidR="00800176" w:rsidRPr="000F1B14">
        <w:rPr>
          <w:rFonts w:ascii="Times New Roman" w:hAnsi="Times New Roman" w:cs="Times New Roman"/>
          <w:b/>
          <w:sz w:val="28"/>
        </w:rPr>
        <w:t>T</w:t>
      </w:r>
      <w:r w:rsidRPr="000F1B14">
        <w:rPr>
          <w:rFonts w:ascii="Times New Roman" w:hAnsi="Times New Roman" w:cs="Times New Roman"/>
          <w:b/>
          <w:sz w:val="28"/>
        </w:rPr>
        <w:t>ext 1</w:t>
      </w:r>
      <w:r w:rsidR="009D3B24" w:rsidRPr="000F1B14">
        <w:rPr>
          <w:rFonts w:ascii="Times New Roman" w:hAnsi="Times New Roman" w:cs="Times New Roman"/>
          <w:b/>
          <w:sz w:val="28"/>
        </w:rPr>
        <w:t>.</w:t>
      </w:r>
      <w:proofErr w:type="gramEnd"/>
      <w:r w:rsidR="009D3B24" w:rsidRPr="000F1B14">
        <w:rPr>
          <w:rFonts w:ascii="Times New Roman" w:hAnsi="Times New Roman" w:cs="Times New Roman"/>
          <w:b/>
          <w:sz w:val="28"/>
        </w:rPr>
        <w:t xml:space="preserve"> Detailed description of each domain of the platform </w:t>
      </w:r>
      <w:r w:rsidR="00EB2577" w:rsidRPr="000F1B14">
        <w:rPr>
          <w:rFonts w:ascii="Times New Roman" w:hAnsi="Times New Roman" w:cs="Times New Roman"/>
          <w:b/>
          <w:sz w:val="28"/>
        </w:rPr>
        <w:t xml:space="preserve">for </w:t>
      </w:r>
      <w:r w:rsidR="009D3B24" w:rsidRPr="000F1B14">
        <w:rPr>
          <w:rFonts w:ascii="Times New Roman" w:hAnsi="Times New Roman" w:cs="Times New Roman"/>
          <w:b/>
          <w:sz w:val="28"/>
        </w:rPr>
        <w:t xml:space="preserve">multidisciplinary medication management program in </w:t>
      </w:r>
      <w:r w:rsidR="00EB2577" w:rsidRPr="000F1B14">
        <w:rPr>
          <w:rFonts w:ascii="Times New Roman" w:hAnsi="Times New Roman" w:cs="Times New Roman"/>
          <w:b/>
          <w:sz w:val="28"/>
        </w:rPr>
        <w:t>long-term care facilities</w:t>
      </w:r>
    </w:p>
    <w:p w14:paraId="11E5E213" w14:textId="4C17A177" w:rsidR="002208B7" w:rsidRPr="000F1B14" w:rsidRDefault="00414C79" w:rsidP="002208B7">
      <w:pPr>
        <w:spacing w:line="480" w:lineRule="auto"/>
        <w:rPr>
          <w:rFonts w:ascii="Times New Roman" w:hAnsi="Times New Roman" w:cs="Times New Roman"/>
          <w:sz w:val="24"/>
        </w:rPr>
      </w:pPr>
      <w:r w:rsidRPr="000F1B14">
        <w:rPr>
          <w:rFonts w:ascii="Times New Roman" w:hAnsi="Times New Roman" w:cs="Times New Roman"/>
          <w:sz w:val="24"/>
        </w:rPr>
        <w:t xml:space="preserve">1. Domain 1. Participant characteristics: this domain covers participants’ ID, name, age, sex, visiting number, </w:t>
      </w:r>
      <w:r w:rsidR="00EB2577" w:rsidRPr="000F1B14">
        <w:rPr>
          <w:rFonts w:ascii="Times New Roman" w:hAnsi="Times New Roman" w:cs="Times New Roman"/>
          <w:sz w:val="24"/>
        </w:rPr>
        <w:t xml:space="preserve">and </w:t>
      </w:r>
      <w:r w:rsidRPr="000F1B14">
        <w:rPr>
          <w:rFonts w:ascii="Times New Roman" w:hAnsi="Times New Roman" w:cs="Times New Roman"/>
          <w:sz w:val="24"/>
        </w:rPr>
        <w:t xml:space="preserve">name of </w:t>
      </w:r>
      <w:r w:rsidR="00EB2577" w:rsidRPr="000F1B14">
        <w:rPr>
          <w:rFonts w:ascii="Times New Roman" w:hAnsi="Times New Roman" w:cs="Times New Roman"/>
          <w:sz w:val="24"/>
        </w:rPr>
        <w:t>the long-term care facility (</w:t>
      </w:r>
      <w:r w:rsidRPr="000F1B14">
        <w:rPr>
          <w:rFonts w:ascii="Times New Roman" w:hAnsi="Times New Roman" w:cs="Times New Roman"/>
          <w:sz w:val="24"/>
        </w:rPr>
        <w:t>LTCF</w:t>
      </w:r>
      <w:r w:rsidR="00EB2577" w:rsidRPr="000F1B14">
        <w:rPr>
          <w:rFonts w:ascii="Times New Roman" w:hAnsi="Times New Roman" w:cs="Times New Roman"/>
          <w:sz w:val="24"/>
        </w:rPr>
        <w:t>)</w:t>
      </w:r>
      <w:r w:rsidRPr="000F1B14">
        <w:rPr>
          <w:rFonts w:ascii="Times New Roman" w:hAnsi="Times New Roman" w:cs="Times New Roman"/>
          <w:sz w:val="24"/>
        </w:rPr>
        <w:t>.</w:t>
      </w:r>
    </w:p>
    <w:p w14:paraId="3B1EA149" w14:textId="5E48D9FE" w:rsidR="002208B7" w:rsidRPr="000F1B14" w:rsidRDefault="00414C79" w:rsidP="002208B7">
      <w:pPr>
        <w:spacing w:line="480" w:lineRule="auto"/>
        <w:rPr>
          <w:rFonts w:ascii="Times New Roman" w:hAnsi="Times New Roman" w:cs="Times New Roman"/>
          <w:sz w:val="24"/>
        </w:rPr>
      </w:pPr>
      <w:r w:rsidRPr="000F1B14">
        <w:rPr>
          <w:rFonts w:ascii="Times New Roman" w:hAnsi="Times New Roman" w:cs="Times New Roman"/>
          <w:sz w:val="24"/>
        </w:rPr>
        <w:t>2. Domain 2. Comprehensive medication review: Target medications include</w:t>
      </w:r>
      <w:r w:rsidRPr="000F1B14">
        <w:rPr>
          <w:rFonts w:ascii="Times New Roman" w:eastAsia="Malgun Gothic" w:hAnsi="Times New Roman" w:cs="Times New Roman"/>
          <w:sz w:val="24"/>
        </w:rPr>
        <w:t xml:space="preserve"> all prescribed, over</w:t>
      </w:r>
      <w:r w:rsidRPr="000F1B14">
        <w:rPr>
          <w:rFonts w:ascii="Times New Roman" w:hAnsi="Times New Roman" w:cs="Times New Roman"/>
          <w:sz w:val="24"/>
        </w:rPr>
        <w:t>-the-counter, and functional</w:t>
      </w:r>
      <w:r w:rsidRPr="000F1B14">
        <w:rPr>
          <w:rFonts w:ascii="Times New Roman" w:eastAsia="Malgun Gothic" w:hAnsi="Times New Roman" w:cs="Times New Roman"/>
          <w:sz w:val="24"/>
        </w:rPr>
        <w:t xml:space="preserve"> health foods</w:t>
      </w:r>
      <w:r w:rsidR="00B67B05" w:rsidRPr="000F1B14">
        <w:rPr>
          <w:rFonts w:ascii="Times New Roman" w:eastAsia="Malgun Gothic" w:hAnsi="Times New Roman" w:cs="Times New Roman"/>
          <w:sz w:val="24"/>
        </w:rPr>
        <w:t>, and</w:t>
      </w:r>
      <w:r w:rsidRPr="000F1B14">
        <w:rPr>
          <w:rFonts w:ascii="Times New Roman" w:eastAsia="Malgun Gothic" w:hAnsi="Times New Roman" w:cs="Times New Roman"/>
          <w:sz w:val="24"/>
        </w:rPr>
        <w:t xml:space="preserve"> </w:t>
      </w:r>
      <w:r w:rsidRPr="000F1B14">
        <w:rPr>
          <w:rFonts w:ascii="Times New Roman" w:hAnsi="Times New Roman" w:cs="Times New Roman"/>
          <w:sz w:val="24"/>
        </w:rPr>
        <w:t>classifi</w:t>
      </w:r>
      <w:r w:rsidR="006D5D38" w:rsidRPr="000F1B14">
        <w:rPr>
          <w:rFonts w:ascii="Times New Roman" w:hAnsi="Times New Roman" w:cs="Times New Roman"/>
          <w:sz w:val="24"/>
        </w:rPr>
        <w:t>cation is made</w:t>
      </w:r>
      <w:r w:rsidRPr="000F1B14">
        <w:rPr>
          <w:rFonts w:ascii="Times New Roman" w:hAnsi="Times New Roman" w:cs="Times New Roman"/>
          <w:sz w:val="24"/>
        </w:rPr>
        <w:t xml:space="preserve"> according to whether the applicable medications are taken regularly or when needed</w:t>
      </w:r>
      <w:r w:rsidR="00B67B05" w:rsidRPr="000F1B14">
        <w:rPr>
          <w:rFonts w:ascii="Times New Roman" w:hAnsi="Times New Roman" w:cs="Times New Roman"/>
          <w:sz w:val="24"/>
        </w:rPr>
        <w:t>;</w:t>
      </w:r>
      <w:r w:rsidRPr="000F1B14">
        <w:rPr>
          <w:rFonts w:ascii="Times New Roman" w:hAnsi="Times New Roman" w:cs="Times New Roman"/>
          <w:sz w:val="24"/>
        </w:rPr>
        <w:t xml:space="preserve"> for each medication, the brand name, ATC code, dosage form, dose, number of doses per day, and regularity of taking (</w:t>
      </w:r>
      <w:r w:rsidR="003F4B8C" w:rsidRPr="000F1B14">
        <w:rPr>
          <w:rFonts w:ascii="Times New Roman" w:hAnsi="Times New Roman" w:cs="Times New Roman"/>
          <w:sz w:val="24"/>
        </w:rPr>
        <w:t>if</w:t>
      </w:r>
      <w:r w:rsidRPr="000F1B14">
        <w:rPr>
          <w:rFonts w:ascii="Times New Roman" w:hAnsi="Times New Roman" w:cs="Times New Roman"/>
          <w:sz w:val="24"/>
        </w:rPr>
        <w:t xml:space="preserve"> taking as needed, number of doses in the past week), the start and end date</w:t>
      </w:r>
      <w:r w:rsidRPr="000F1B14">
        <w:rPr>
          <w:rFonts w:ascii="Times New Roman" w:eastAsia="Malgun Gothic" w:hAnsi="Times New Roman" w:cs="Times New Roman"/>
          <w:sz w:val="24"/>
        </w:rPr>
        <w:t>s of administration, and the name of the prescribed medical institution</w:t>
      </w:r>
      <w:r w:rsidRPr="000F1B14">
        <w:rPr>
          <w:rFonts w:ascii="Times New Roman" w:hAnsi="Times New Roman" w:cs="Times New Roman"/>
          <w:sz w:val="24"/>
        </w:rPr>
        <w:t xml:space="preserve"> are entered. Medication formulation</w:t>
      </w:r>
      <w:r w:rsidRPr="000F1B14">
        <w:rPr>
          <w:rFonts w:ascii="Times New Roman" w:eastAsia="Malgun Gothic" w:hAnsi="Times New Roman" w:cs="Times New Roman"/>
          <w:sz w:val="24"/>
        </w:rPr>
        <w:t xml:space="preserve">s </w:t>
      </w:r>
      <w:r w:rsidRPr="000F1B14">
        <w:rPr>
          <w:rFonts w:ascii="Times New Roman" w:hAnsi="Times New Roman" w:cs="Times New Roman"/>
          <w:sz w:val="24"/>
        </w:rPr>
        <w:t>include tablets/capsules, extended-release/enteric-coated tablets (capsules), sublingual tablets, powders, syrups, suppositories, injections, patches, eye drops, eye ointments, ointments/creams, inhalers, and nasal sprays. For medications to be taken when necessary, research assistants can choose from</w:t>
      </w:r>
      <w:r w:rsidR="00EB2577" w:rsidRPr="000F1B14">
        <w:rPr>
          <w:rFonts w:ascii="Times New Roman" w:hAnsi="Times New Roman" w:cs="Times New Roman"/>
          <w:sz w:val="24"/>
        </w:rPr>
        <w:t xml:space="preserve"> non-steroidal anti-inflammatory drugs</w:t>
      </w:r>
      <w:r w:rsidRPr="000F1B14">
        <w:rPr>
          <w:rFonts w:ascii="Times New Roman" w:hAnsi="Times New Roman" w:cs="Times New Roman"/>
          <w:sz w:val="24"/>
        </w:rPr>
        <w:t xml:space="preserve"> </w:t>
      </w:r>
      <w:r w:rsidR="00EB2577" w:rsidRPr="000F1B14">
        <w:rPr>
          <w:rFonts w:ascii="Times New Roman" w:hAnsi="Times New Roman" w:cs="Times New Roman"/>
          <w:sz w:val="24"/>
        </w:rPr>
        <w:t>(</w:t>
      </w:r>
      <w:r w:rsidRPr="000F1B14">
        <w:rPr>
          <w:rFonts w:ascii="Times New Roman" w:hAnsi="Times New Roman" w:cs="Times New Roman"/>
          <w:sz w:val="24"/>
        </w:rPr>
        <w:t>NSAIDs</w:t>
      </w:r>
      <w:r w:rsidR="00EB2577" w:rsidRPr="000F1B14">
        <w:rPr>
          <w:rFonts w:ascii="Times New Roman" w:hAnsi="Times New Roman" w:cs="Times New Roman"/>
          <w:sz w:val="24"/>
        </w:rPr>
        <w:t>)</w:t>
      </w:r>
      <w:r w:rsidRPr="000F1B14">
        <w:rPr>
          <w:rFonts w:ascii="Times New Roman" w:hAnsi="Times New Roman" w:cs="Times New Roman"/>
          <w:sz w:val="24"/>
        </w:rPr>
        <w:t xml:space="preserve">, non-NSAID analgesics, benzodiazepines, sleeping pills other than benzodiazepines, narcotics, antihistamines, antispasmodics, antacids, laxatives, </w:t>
      </w:r>
      <w:proofErr w:type="spellStart"/>
      <w:r w:rsidRPr="000F1B14">
        <w:rPr>
          <w:rFonts w:ascii="Times New Roman" w:hAnsi="Times New Roman" w:cs="Times New Roman"/>
          <w:sz w:val="24"/>
        </w:rPr>
        <w:t>antidiarrheals</w:t>
      </w:r>
      <w:proofErr w:type="spellEnd"/>
      <w:r w:rsidRPr="000F1B14">
        <w:rPr>
          <w:rFonts w:ascii="Times New Roman" w:hAnsi="Times New Roman" w:cs="Times New Roman"/>
          <w:sz w:val="24"/>
        </w:rPr>
        <w:t>, insulin,</w:t>
      </w:r>
      <w:r w:rsidRPr="000F1B14">
        <w:rPr>
          <w:rFonts w:ascii="Times New Roman" w:eastAsia="Malgun Gothic" w:hAnsi="Times New Roman" w:cs="Times New Roman"/>
          <w:sz w:val="24"/>
        </w:rPr>
        <w:t xml:space="preserve"> and nitroglycerin</w:t>
      </w:r>
      <w:r w:rsidRPr="000F1B14">
        <w:rPr>
          <w:rFonts w:ascii="Times New Roman" w:hAnsi="Times New Roman" w:cs="Times New Roman"/>
          <w:sz w:val="24"/>
        </w:rPr>
        <w:t xml:space="preserve">. For over-the-counter medicines and functional </w:t>
      </w:r>
      <w:r w:rsidR="00EB2577" w:rsidRPr="000F1B14">
        <w:rPr>
          <w:rFonts w:ascii="Times New Roman" w:hAnsi="Times New Roman" w:cs="Times New Roman"/>
          <w:sz w:val="24"/>
        </w:rPr>
        <w:t xml:space="preserve">health </w:t>
      </w:r>
      <w:r w:rsidRPr="000F1B14">
        <w:rPr>
          <w:rFonts w:ascii="Times New Roman" w:hAnsi="Times New Roman" w:cs="Times New Roman"/>
          <w:sz w:val="24"/>
        </w:rPr>
        <w:t xml:space="preserve">foods, </w:t>
      </w:r>
      <w:r w:rsidRPr="000F1B14">
        <w:rPr>
          <w:rFonts w:ascii="Times New Roman" w:eastAsia="Malgun Gothic" w:hAnsi="Times New Roman" w:cs="Times New Roman"/>
          <w:sz w:val="24"/>
        </w:rPr>
        <w:t xml:space="preserve">the research assistants </w:t>
      </w:r>
      <w:r w:rsidR="00FE1BF5" w:rsidRPr="000F1B14">
        <w:rPr>
          <w:rFonts w:ascii="Times New Roman" w:eastAsia="Malgun Gothic" w:hAnsi="Times New Roman" w:cs="Times New Roman"/>
          <w:sz w:val="24"/>
        </w:rPr>
        <w:t xml:space="preserve">will be able to </w:t>
      </w:r>
      <w:r w:rsidRPr="000F1B14">
        <w:rPr>
          <w:rFonts w:ascii="Times New Roman" w:eastAsia="Malgun Gothic" w:hAnsi="Times New Roman" w:cs="Times New Roman"/>
          <w:sz w:val="24"/>
        </w:rPr>
        <w:t xml:space="preserve">select </w:t>
      </w:r>
      <w:r w:rsidR="00EB2577" w:rsidRPr="000F1B14">
        <w:rPr>
          <w:rFonts w:ascii="Times New Roman" w:eastAsia="Malgun Gothic" w:hAnsi="Times New Roman" w:cs="Times New Roman"/>
          <w:sz w:val="24"/>
        </w:rPr>
        <w:t xml:space="preserve">from </w:t>
      </w:r>
      <w:r w:rsidRPr="000F1B14">
        <w:rPr>
          <w:rFonts w:ascii="Times New Roman" w:eastAsia="Malgun Gothic" w:hAnsi="Times New Roman" w:cs="Times New Roman"/>
          <w:sz w:val="24"/>
        </w:rPr>
        <w:t xml:space="preserve">the drug name, red ginseng, calcium </w:t>
      </w:r>
      <w:r w:rsidRPr="000F1B14">
        <w:rPr>
          <w:rFonts w:ascii="Times New Roman" w:eastAsia="Malgun Gothic" w:hAnsi="Times New Roman" w:cs="Times New Roman"/>
          <w:sz w:val="24"/>
        </w:rPr>
        <w:lastRenderedPageBreak/>
        <w:t xml:space="preserve">supplement, multivitamin, omega-3, aspirin, general cold medicine, anti-inflammatory painkillers, </w:t>
      </w:r>
      <w:r w:rsidRPr="000F1B14">
        <w:rPr>
          <w:rFonts w:ascii="Times New Roman" w:hAnsi="Times New Roman" w:cs="Times New Roman"/>
          <w:sz w:val="24"/>
        </w:rPr>
        <w:t>Ginkgo leaf preparation</w:t>
      </w:r>
      <w:r w:rsidRPr="000F1B14">
        <w:rPr>
          <w:rFonts w:ascii="Times New Roman" w:eastAsia="Malgun Gothic" w:hAnsi="Times New Roman" w:cs="Times New Roman"/>
          <w:sz w:val="24"/>
        </w:rPr>
        <w:t>s, and other types</w:t>
      </w:r>
      <w:r w:rsidRPr="000F1B14">
        <w:rPr>
          <w:rFonts w:ascii="Times New Roman" w:hAnsi="Times New Roman" w:cs="Times New Roman"/>
          <w:sz w:val="24"/>
        </w:rPr>
        <w:t>, and enter the number of doses per day and the reason for taking them. Taken together, the number of medications taken</w:t>
      </w:r>
      <w:r w:rsidR="00FE1BF5" w:rsidRPr="000F1B14">
        <w:rPr>
          <w:rFonts w:ascii="Times New Roman" w:hAnsi="Times New Roman" w:cs="Times New Roman"/>
          <w:sz w:val="24"/>
        </w:rPr>
        <w:t xml:space="preserve"> regularly</w:t>
      </w:r>
      <w:r w:rsidRPr="000F1B14">
        <w:rPr>
          <w:rFonts w:ascii="Times New Roman" w:hAnsi="Times New Roman" w:cs="Times New Roman"/>
          <w:sz w:val="24"/>
        </w:rPr>
        <w:t xml:space="preserve">, number of prescription medications, over-the-counter medicines, functional </w:t>
      </w:r>
      <w:r w:rsidR="00EB2577" w:rsidRPr="000F1B14">
        <w:rPr>
          <w:rFonts w:ascii="Times New Roman" w:hAnsi="Times New Roman" w:cs="Times New Roman"/>
          <w:sz w:val="24"/>
        </w:rPr>
        <w:t xml:space="preserve">health </w:t>
      </w:r>
      <w:r w:rsidRPr="000F1B14">
        <w:rPr>
          <w:rFonts w:ascii="Times New Roman" w:hAnsi="Times New Roman" w:cs="Times New Roman"/>
          <w:sz w:val="24"/>
        </w:rPr>
        <w:t xml:space="preserve">foods, number of medications taken when necessary (taken at least once in the past week), and the presence of polypharmacy </w:t>
      </w:r>
      <w:r w:rsidR="00EB2577" w:rsidRPr="000F1B14">
        <w:rPr>
          <w:rFonts w:ascii="Times New Roman" w:hAnsi="Times New Roman" w:cs="Times New Roman"/>
          <w:sz w:val="24"/>
        </w:rPr>
        <w:t>a</w:t>
      </w:r>
      <w:r w:rsidRPr="000F1B14">
        <w:rPr>
          <w:rFonts w:ascii="Times New Roman" w:hAnsi="Times New Roman" w:cs="Times New Roman"/>
          <w:sz w:val="24"/>
        </w:rPr>
        <w:t xml:space="preserve">re checked. These stored medications will also be integrated into an automatic electronic screen to flag PIMs or </w:t>
      </w:r>
      <w:r w:rsidRPr="000F1B14">
        <w:rPr>
          <w:rFonts w:ascii="Times New Roman" w:eastAsia="Malgun Gothic" w:hAnsi="Times New Roman" w:cs="Times New Roman"/>
          <w:sz w:val="24"/>
        </w:rPr>
        <w:t>the cumulative medication burden</w:t>
      </w:r>
      <w:r w:rsidRPr="000F1B14">
        <w:rPr>
          <w:rFonts w:ascii="Times New Roman" w:hAnsi="Times New Roman" w:cs="Times New Roman"/>
          <w:sz w:val="24"/>
        </w:rPr>
        <w:t xml:space="preserve"> in older adults. Medication treatment</w:t>
      </w:r>
      <w:r w:rsidRPr="000F1B14">
        <w:rPr>
          <w:rFonts w:ascii="Times New Roman" w:eastAsia="Malgun Gothic" w:hAnsi="Times New Roman" w:cs="Times New Roman"/>
          <w:sz w:val="24"/>
        </w:rPr>
        <w:t xml:space="preserve">, such as confirmation of indication (identification of unnecessary drugs), overlapping administration of the same </w:t>
      </w:r>
      <w:r w:rsidRPr="000F1B14">
        <w:rPr>
          <w:rFonts w:ascii="Times New Roman" w:hAnsi="Times New Roman" w:cs="Times New Roman"/>
          <w:sz w:val="24"/>
        </w:rPr>
        <w:t xml:space="preserve">ingredient/similar efficacy group, confirmation of drug effect, drug-drug interaction, drug-disease interaction (contraindications), </w:t>
      </w:r>
      <w:r w:rsidRPr="000F1B14">
        <w:rPr>
          <w:rFonts w:ascii="Times New Roman" w:eastAsia="Malgun Gothic" w:hAnsi="Times New Roman" w:cs="Times New Roman"/>
          <w:sz w:val="24"/>
        </w:rPr>
        <w:t xml:space="preserve">and drug-food interaction is reviewed, and dose adequacy, dosage form selection, </w:t>
      </w:r>
      <w:r w:rsidR="003F4B8C" w:rsidRPr="000F1B14">
        <w:rPr>
          <w:rFonts w:ascii="Times New Roman" w:eastAsia="Malgun Gothic" w:hAnsi="Times New Roman" w:cs="Times New Roman"/>
          <w:sz w:val="24"/>
        </w:rPr>
        <w:t>adverse drug reactions</w:t>
      </w:r>
      <w:r w:rsidRPr="000F1B14">
        <w:rPr>
          <w:rFonts w:ascii="Times New Roman" w:eastAsia="Malgun Gothic" w:hAnsi="Times New Roman" w:cs="Times New Roman"/>
          <w:sz w:val="24"/>
        </w:rPr>
        <w:t xml:space="preserve">, medications to be </w:t>
      </w:r>
      <w:r w:rsidR="003F4B8C" w:rsidRPr="000F1B14">
        <w:rPr>
          <w:rFonts w:ascii="Times New Roman" w:eastAsia="Malgun Gothic" w:hAnsi="Times New Roman" w:cs="Times New Roman"/>
          <w:sz w:val="24"/>
        </w:rPr>
        <w:t xml:space="preserve">cautious </w:t>
      </w:r>
      <w:r w:rsidRPr="000F1B14">
        <w:rPr>
          <w:rFonts w:ascii="Times New Roman" w:eastAsia="Malgun Gothic" w:hAnsi="Times New Roman" w:cs="Times New Roman"/>
          <w:sz w:val="24"/>
        </w:rPr>
        <w:t>of</w:t>
      </w:r>
      <w:r w:rsidR="00FE1BF5" w:rsidRPr="000F1B14">
        <w:rPr>
          <w:rFonts w:ascii="Times New Roman" w:eastAsia="Malgun Gothic" w:hAnsi="Times New Roman" w:cs="Times New Roman"/>
          <w:sz w:val="24"/>
        </w:rPr>
        <w:t xml:space="preserve"> by older adults</w:t>
      </w:r>
      <w:r w:rsidRPr="000F1B14">
        <w:rPr>
          <w:rFonts w:ascii="Times New Roman" w:eastAsia="Malgun Gothic" w:hAnsi="Times New Roman" w:cs="Times New Roman"/>
          <w:sz w:val="24"/>
        </w:rPr>
        <w:t xml:space="preserve">, medication compliance, suitability for use, and </w:t>
      </w:r>
      <w:r w:rsidR="00FE1BF5" w:rsidRPr="000F1B14">
        <w:rPr>
          <w:rFonts w:ascii="Times New Roman" w:eastAsia="Malgun Gothic" w:hAnsi="Times New Roman" w:cs="Times New Roman"/>
          <w:sz w:val="24"/>
        </w:rPr>
        <w:t xml:space="preserve">the requirement of </w:t>
      </w:r>
      <w:r w:rsidRPr="000F1B14">
        <w:rPr>
          <w:rFonts w:ascii="Times New Roman" w:eastAsia="Malgun Gothic" w:hAnsi="Times New Roman" w:cs="Times New Roman"/>
          <w:sz w:val="24"/>
        </w:rPr>
        <w:t xml:space="preserve">additional drug treatment </w:t>
      </w:r>
      <w:r w:rsidRPr="000F1B14">
        <w:rPr>
          <w:rFonts w:ascii="Times New Roman" w:hAnsi="Times New Roman" w:cs="Times New Roman"/>
          <w:sz w:val="24"/>
        </w:rPr>
        <w:t xml:space="preserve">are evaluated. Finally, through </w:t>
      </w:r>
      <w:r w:rsidR="00FE1BF5" w:rsidRPr="000F1B14">
        <w:rPr>
          <w:rFonts w:ascii="Times New Roman" w:hAnsi="Times New Roman" w:cs="Times New Roman"/>
          <w:sz w:val="24"/>
        </w:rPr>
        <w:t xml:space="preserve">a </w:t>
      </w:r>
      <w:r w:rsidRPr="000F1B14">
        <w:rPr>
          <w:rFonts w:ascii="Times New Roman" w:hAnsi="Times New Roman" w:cs="Times New Roman"/>
          <w:sz w:val="24"/>
        </w:rPr>
        <w:t xml:space="preserve">review, medications that require intervention are determined, and </w:t>
      </w:r>
      <w:r w:rsidRPr="000F1B14">
        <w:rPr>
          <w:rFonts w:ascii="Times New Roman" w:eastAsia="Malgun Gothic" w:hAnsi="Times New Roman" w:cs="Times New Roman"/>
          <w:sz w:val="24"/>
        </w:rPr>
        <w:t xml:space="preserve">the reasons for intervention, contents of intervention (discontinuation, change, monitoring, </w:t>
      </w:r>
      <w:r w:rsidRPr="000F1B14">
        <w:rPr>
          <w:rFonts w:ascii="Times New Roman" w:hAnsi="Times New Roman" w:cs="Times New Roman"/>
          <w:sz w:val="24"/>
        </w:rPr>
        <w:t>participant/caregiver education, referral</w:t>
      </w:r>
      <w:r w:rsidRPr="000F1B14">
        <w:rPr>
          <w:rFonts w:ascii="Times New Roman" w:eastAsia="Malgun Gothic" w:hAnsi="Times New Roman" w:cs="Times New Roman"/>
          <w:sz w:val="24"/>
        </w:rPr>
        <w:t xml:space="preserve">, etc.), and intervention plans </w:t>
      </w:r>
      <w:r w:rsidRPr="000F1B14">
        <w:rPr>
          <w:rFonts w:ascii="Times New Roman" w:hAnsi="Times New Roman" w:cs="Times New Roman"/>
          <w:sz w:val="24"/>
        </w:rPr>
        <w:t xml:space="preserve">will be provided to support tapering and/or </w:t>
      </w:r>
      <w:proofErr w:type="spellStart"/>
      <w:r w:rsidRPr="000F1B14">
        <w:rPr>
          <w:rFonts w:ascii="Times New Roman" w:hAnsi="Times New Roman" w:cs="Times New Roman"/>
          <w:sz w:val="24"/>
        </w:rPr>
        <w:t>deprescribing</w:t>
      </w:r>
      <w:proofErr w:type="spellEnd"/>
      <w:r w:rsidRPr="000F1B14">
        <w:rPr>
          <w:rFonts w:ascii="Times New Roman" w:hAnsi="Times New Roman" w:cs="Times New Roman"/>
          <w:sz w:val="24"/>
        </w:rPr>
        <w:t>.</w:t>
      </w:r>
    </w:p>
    <w:p w14:paraId="211E31B5" w14:textId="2CAB8942" w:rsidR="002208B7" w:rsidRPr="000F1B14" w:rsidRDefault="00414C79" w:rsidP="002208B7">
      <w:pPr>
        <w:spacing w:line="480" w:lineRule="auto"/>
        <w:rPr>
          <w:rFonts w:ascii="Times New Roman" w:hAnsi="Times New Roman" w:cs="Times New Roman"/>
          <w:sz w:val="24"/>
        </w:rPr>
      </w:pPr>
      <w:r w:rsidRPr="000F1B14">
        <w:rPr>
          <w:rFonts w:ascii="Times New Roman" w:hAnsi="Times New Roman" w:cs="Times New Roman"/>
          <w:sz w:val="24"/>
        </w:rPr>
        <w:t>3. Domain 3 Intervention: The name of the pharmacist who performed the comprehensive medication review, result</w:t>
      </w:r>
      <w:r w:rsidRPr="000F1B14">
        <w:rPr>
          <w:rFonts w:ascii="Times New Roman" w:eastAsia="Malgun Gothic" w:hAnsi="Times New Roman" w:cs="Times New Roman"/>
          <w:sz w:val="24"/>
        </w:rPr>
        <w:t xml:space="preserve">s of the comprehensive medication review, and </w:t>
      </w:r>
      <w:r w:rsidRPr="000F1B14">
        <w:rPr>
          <w:rFonts w:ascii="Times New Roman" w:hAnsi="Times New Roman" w:cs="Times New Roman"/>
          <w:sz w:val="24"/>
        </w:rPr>
        <w:t xml:space="preserve">target medication for </w:t>
      </w:r>
      <w:proofErr w:type="gramStart"/>
      <w:r w:rsidRPr="000F1B14">
        <w:rPr>
          <w:rFonts w:ascii="Times New Roman" w:hAnsi="Times New Roman" w:cs="Times New Roman"/>
          <w:sz w:val="24"/>
        </w:rPr>
        <w:t>adjustment</w:t>
      </w:r>
      <w:proofErr w:type="gramEnd"/>
      <w:r w:rsidRPr="000F1B14">
        <w:rPr>
          <w:rFonts w:ascii="Times New Roman" w:hAnsi="Times New Roman" w:cs="Times New Roman"/>
          <w:sz w:val="24"/>
        </w:rPr>
        <w:t xml:space="preserve"> are entered. Through a comprehensive medication review, </w:t>
      </w:r>
      <w:r w:rsidR="008F6774" w:rsidRPr="000F1B14">
        <w:rPr>
          <w:rFonts w:ascii="Times New Roman" w:hAnsi="Times New Roman" w:cs="Times New Roman"/>
          <w:sz w:val="24"/>
        </w:rPr>
        <w:t xml:space="preserve">the following medications are identified: </w:t>
      </w:r>
      <w:r w:rsidRPr="000F1B14">
        <w:rPr>
          <w:rFonts w:ascii="Times New Roman" w:hAnsi="Times New Roman" w:cs="Times New Roman"/>
          <w:sz w:val="24"/>
        </w:rPr>
        <w:t xml:space="preserve">inappropriate medications that should be prioritized for management in </w:t>
      </w:r>
      <w:r w:rsidR="008F6774" w:rsidRPr="000F1B14">
        <w:rPr>
          <w:rFonts w:ascii="Times New Roman" w:hAnsi="Times New Roman" w:cs="Times New Roman"/>
          <w:sz w:val="24"/>
        </w:rPr>
        <w:t>older adults</w:t>
      </w:r>
      <w:r w:rsidRPr="000F1B14">
        <w:rPr>
          <w:rFonts w:ascii="Times New Roman" w:hAnsi="Times New Roman" w:cs="Times New Roman"/>
          <w:sz w:val="24"/>
        </w:rPr>
        <w:t xml:space="preserve"> in LTCFs</w:t>
      </w:r>
      <w:r w:rsidR="008F6774" w:rsidRPr="000F1B14">
        <w:rPr>
          <w:rFonts w:ascii="Times New Roman" w:hAnsi="Times New Roman" w:cs="Times New Roman"/>
          <w:sz w:val="24"/>
        </w:rPr>
        <w:t>;</w:t>
      </w:r>
      <w:r w:rsidRPr="000F1B14">
        <w:rPr>
          <w:rFonts w:ascii="Times New Roman" w:hAnsi="Times New Roman" w:cs="Times New Roman"/>
          <w:sz w:val="24"/>
        </w:rPr>
        <w:t xml:space="preserve"> </w:t>
      </w:r>
      <w:r w:rsidR="008F6774" w:rsidRPr="000F1B14">
        <w:rPr>
          <w:rFonts w:ascii="Times New Roman" w:hAnsi="Times New Roman" w:cs="Times New Roman"/>
          <w:sz w:val="24"/>
        </w:rPr>
        <w:t>those considered</w:t>
      </w:r>
      <w:r w:rsidRPr="000F1B14">
        <w:rPr>
          <w:rFonts w:ascii="Times New Roman" w:hAnsi="Times New Roman" w:cs="Times New Roman"/>
          <w:sz w:val="24"/>
        </w:rPr>
        <w:t xml:space="preserve"> as high-risk medications for </w:t>
      </w:r>
      <w:r w:rsidR="008F6774" w:rsidRPr="000F1B14">
        <w:rPr>
          <w:rFonts w:ascii="Times New Roman" w:hAnsi="Times New Roman" w:cs="Times New Roman"/>
          <w:sz w:val="24"/>
        </w:rPr>
        <w:t>older adults</w:t>
      </w:r>
      <w:r w:rsidRPr="000F1B14">
        <w:rPr>
          <w:rFonts w:ascii="Times New Roman" w:hAnsi="Times New Roman" w:cs="Times New Roman"/>
          <w:sz w:val="24"/>
        </w:rPr>
        <w:t xml:space="preserve"> in LTCFs</w:t>
      </w:r>
      <w:r w:rsidR="008F6774" w:rsidRPr="000F1B14">
        <w:rPr>
          <w:rFonts w:ascii="Times New Roman" w:hAnsi="Times New Roman" w:cs="Times New Roman"/>
          <w:sz w:val="24"/>
        </w:rPr>
        <w:t>;</w:t>
      </w:r>
      <w:r w:rsidRPr="000F1B14">
        <w:rPr>
          <w:rFonts w:ascii="Times New Roman" w:hAnsi="Times New Roman" w:cs="Times New Roman"/>
          <w:sz w:val="24"/>
        </w:rPr>
        <w:t xml:space="preserve"> </w:t>
      </w:r>
      <w:r w:rsidR="008F6774" w:rsidRPr="000F1B14">
        <w:rPr>
          <w:rFonts w:ascii="Times New Roman" w:hAnsi="Times New Roman" w:cs="Times New Roman"/>
          <w:sz w:val="24"/>
        </w:rPr>
        <w:t xml:space="preserve">those </w:t>
      </w:r>
      <w:r w:rsidR="003F4B8C" w:rsidRPr="000F1B14">
        <w:rPr>
          <w:rFonts w:ascii="Times New Roman" w:hAnsi="Times New Roman" w:cs="Times New Roman"/>
          <w:sz w:val="24"/>
        </w:rPr>
        <w:t>meeting</w:t>
      </w:r>
      <w:r w:rsidRPr="000F1B14">
        <w:rPr>
          <w:rFonts w:ascii="Times New Roman" w:hAnsi="Times New Roman" w:cs="Times New Roman"/>
          <w:sz w:val="24"/>
        </w:rPr>
        <w:t xml:space="preserve"> </w:t>
      </w:r>
      <w:r w:rsidR="008F6774" w:rsidRPr="000F1B14">
        <w:rPr>
          <w:rFonts w:ascii="Times New Roman" w:hAnsi="Times New Roman" w:cs="Times New Roman"/>
          <w:sz w:val="24"/>
        </w:rPr>
        <w:t xml:space="preserve">the </w:t>
      </w:r>
      <w:r w:rsidRPr="000F1B14">
        <w:rPr>
          <w:rFonts w:ascii="Times New Roman" w:hAnsi="Times New Roman" w:cs="Times New Roman"/>
          <w:sz w:val="24"/>
        </w:rPr>
        <w:t>Beer’s criteria 2019</w:t>
      </w:r>
      <w:r w:rsidR="008F6774" w:rsidRPr="000F1B14">
        <w:rPr>
          <w:rFonts w:ascii="Times New Roman" w:hAnsi="Times New Roman" w:cs="Times New Roman"/>
          <w:sz w:val="24"/>
        </w:rPr>
        <w:t xml:space="preserve">; those </w:t>
      </w:r>
      <w:r w:rsidR="003F4B8C" w:rsidRPr="000F1B14">
        <w:rPr>
          <w:rFonts w:ascii="Times New Roman" w:hAnsi="Times New Roman" w:cs="Times New Roman"/>
          <w:sz w:val="24"/>
        </w:rPr>
        <w:t>meeting</w:t>
      </w:r>
      <w:r w:rsidRPr="000F1B14">
        <w:rPr>
          <w:rFonts w:ascii="Times New Roman" w:hAnsi="Times New Roman" w:cs="Times New Roman"/>
          <w:sz w:val="24"/>
        </w:rPr>
        <w:t xml:space="preserve"> </w:t>
      </w:r>
      <w:r w:rsidR="008F6774" w:rsidRPr="000F1B14">
        <w:rPr>
          <w:rFonts w:ascii="Times New Roman" w:hAnsi="Times New Roman" w:cs="Times New Roman"/>
          <w:sz w:val="24"/>
        </w:rPr>
        <w:t xml:space="preserve">the Screening Tool of </w:t>
      </w:r>
      <w:r w:rsidR="008F6774" w:rsidRPr="000F1B14">
        <w:rPr>
          <w:rFonts w:ascii="Times New Roman" w:hAnsi="Times New Roman" w:cs="Times New Roman"/>
          <w:sz w:val="24"/>
        </w:rPr>
        <w:lastRenderedPageBreak/>
        <w:t>Older Persons' Prescriptions (</w:t>
      </w:r>
      <w:r w:rsidRPr="000F1B14">
        <w:rPr>
          <w:rFonts w:ascii="Times New Roman" w:hAnsi="Times New Roman" w:cs="Times New Roman"/>
          <w:sz w:val="24"/>
        </w:rPr>
        <w:t>STOPP</w:t>
      </w:r>
      <w:r w:rsidR="008F6774" w:rsidRPr="000F1B14">
        <w:rPr>
          <w:rFonts w:ascii="Times New Roman" w:hAnsi="Times New Roman" w:cs="Times New Roman"/>
          <w:sz w:val="24"/>
        </w:rPr>
        <w:t>)</w:t>
      </w:r>
      <w:r w:rsidRPr="000F1B14">
        <w:rPr>
          <w:rFonts w:ascii="Times New Roman" w:hAnsi="Times New Roman" w:cs="Times New Roman"/>
          <w:sz w:val="24"/>
        </w:rPr>
        <w:t xml:space="preserve"> and </w:t>
      </w:r>
      <w:r w:rsidR="008F6774" w:rsidRPr="000F1B14">
        <w:rPr>
          <w:rFonts w:ascii="Times New Roman" w:hAnsi="Times New Roman" w:cs="Times New Roman"/>
          <w:sz w:val="24"/>
        </w:rPr>
        <w:t>Screening Tool to Alert to Right Treatment (</w:t>
      </w:r>
      <w:r w:rsidRPr="000F1B14">
        <w:rPr>
          <w:rFonts w:ascii="Times New Roman" w:hAnsi="Times New Roman" w:cs="Times New Roman"/>
          <w:sz w:val="24"/>
        </w:rPr>
        <w:t>START</w:t>
      </w:r>
      <w:r w:rsidR="008F6774" w:rsidRPr="000F1B14">
        <w:rPr>
          <w:rFonts w:ascii="Times New Roman" w:hAnsi="Times New Roman" w:cs="Times New Roman"/>
          <w:sz w:val="24"/>
        </w:rPr>
        <w:t>)</w:t>
      </w:r>
      <w:r w:rsidRPr="000F1B14">
        <w:rPr>
          <w:rFonts w:ascii="Times New Roman" w:hAnsi="Times New Roman" w:cs="Times New Roman"/>
          <w:sz w:val="24"/>
        </w:rPr>
        <w:t xml:space="preserve"> criteria version 2, 2015</w:t>
      </w:r>
      <w:r w:rsidR="008F6774" w:rsidRPr="000F1B14">
        <w:rPr>
          <w:rFonts w:ascii="Times New Roman" w:hAnsi="Times New Roman" w:cs="Times New Roman"/>
          <w:sz w:val="24"/>
        </w:rPr>
        <w:t>;</w:t>
      </w:r>
      <w:r w:rsidRPr="000F1B14">
        <w:rPr>
          <w:rFonts w:ascii="Times New Roman" w:hAnsi="Times New Roman" w:cs="Times New Roman"/>
          <w:sz w:val="24"/>
        </w:rPr>
        <w:t xml:space="preserve"> and anticholinergic medication</w:t>
      </w:r>
      <w:r w:rsidRPr="000F1B14">
        <w:rPr>
          <w:rFonts w:ascii="Times New Roman" w:eastAsia="Malgun Gothic" w:hAnsi="Times New Roman" w:cs="Times New Roman"/>
          <w:sz w:val="24"/>
        </w:rPr>
        <w:t>s with a high anticholinergic burden.</w:t>
      </w:r>
    </w:p>
    <w:p w14:paraId="1E65AB79" w14:textId="7CC97A69" w:rsidR="002208B7" w:rsidRPr="000F1B14" w:rsidRDefault="00414C79" w:rsidP="002208B7">
      <w:pPr>
        <w:spacing w:line="480" w:lineRule="auto"/>
        <w:rPr>
          <w:rFonts w:ascii="Times New Roman" w:hAnsi="Times New Roman" w:cs="Times New Roman"/>
          <w:sz w:val="24"/>
        </w:rPr>
      </w:pPr>
      <w:r w:rsidRPr="000F1B14">
        <w:rPr>
          <w:rFonts w:ascii="Times New Roman" w:hAnsi="Times New Roman" w:cs="Times New Roman"/>
          <w:sz w:val="24"/>
        </w:rPr>
        <w:t>4. Domain 4. Outcomes: The process evaluation index is the number of comprehensive medication review cases for residents in the entire institution at the LTCF institutional level, number of medication reconciliation requests (delivery of drug review results to internal and external prescribing doctors), number of medication reconciliation responses, monitoring of medication abnormalities (medication management in cases related to drug use</w:t>
      </w:r>
      <w:r w:rsidRPr="000F1B14">
        <w:rPr>
          <w:rFonts w:ascii="Times New Roman" w:eastAsia="Malgun Gothic" w:hAnsi="Times New Roman" w:cs="Times New Roman"/>
          <w:sz w:val="24"/>
        </w:rPr>
        <w:t xml:space="preserve">, </w:t>
      </w:r>
      <w:r w:rsidRPr="000F1B14">
        <w:rPr>
          <w:rFonts w:ascii="Times New Roman" w:hAnsi="Times New Roman" w:cs="Times New Roman"/>
          <w:sz w:val="24"/>
        </w:rPr>
        <w:t>such as adverse drug reactions), number of multidisciplinary case management conferences, time spent on medication review, time spent on case management conferences, and experience evaluation of guardians, physicians, and nurses.</w:t>
      </w:r>
      <w:r w:rsidRPr="000F1B14">
        <w:rPr>
          <w:rFonts w:ascii="Times New Roman" w:hAnsi="Times New Roman" w:cs="Times New Roman" w:hint="eastAsia"/>
          <w:sz w:val="24"/>
        </w:rPr>
        <w:t xml:space="preserve"> </w:t>
      </w:r>
      <w:r w:rsidRPr="000F1B14">
        <w:rPr>
          <w:rFonts w:ascii="Times New Roman" w:hAnsi="Times New Roman" w:cs="Times New Roman"/>
          <w:sz w:val="24"/>
        </w:rPr>
        <w:t xml:space="preserve">The clinical evaluation index consists of primary and secondary endpoints, and the results of each LTCF and each participant are all entered at the end of the intervention and </w:t>
      </w:r>
      <w:r w:rsidRPr="000F1B14">
        <w:rPr>
          <w:rFonts w:ascii="Times New Roman" w:eastAsia="Malgun Gothic" w:hAnsi="Times New Roman" w:cs="Times New Roman"/>
          <w:sz w:val="24"/>
        </w:rPr>
        <w:t xml:space="preserve">at 3, 6, 9, and 12 months after the end compared to the baseline value. The primary endpoints </w:t>
      </w:r>
      <w:r w:rsidRPr="000F1B14">
        <w:rPr>
          <w:rFonts w:ascii="Times New Roman" w:hAnsi="Times New Roman" w:cs="Times New Roman"/>
          <w:sz w:val="24"/>
        </w:rPr>
        <w:t xml:space="preserve">are adverse drug events, number </w:t>
      </w:r>
      <w:r w:rsidR="003F4B8C" w:rsidRPr="000F1B14">
        <w:rPr>
          <w:rFonts w:ascii="Times New Roman" w:hAnsi="Times New Roman" w:cs="Times New Roman"/>
          <w:sz w:val="24"/>
        </w:rPr>
        <w:t xml:space="preserve">and ratio </w:t>
      </w:r>
      <w:r w:rsidRPr="000F1B14">
        <w:rPr>
          <w:rFonts w:ascii="Times New Roman" w:hAnsi="Times New Roman" w:cs="Times New Roman"/>
          <w:sz w:val="24"/>
        </w:rPr>
        <w:t>of PIM</w:t>
      </w:r>
      <w:r w:rsidR="003F4B8C" w:rsidRPr="000F1B14">
        <w:rPr>
          <w:rFonts w:ascii="Times New Roman" w:hAnsi="Times New Roman" w:cs="Times New Roman"/>
          <w:sz w:val="24"/>
        </w:rPr>
        <w:t xml:space="preserve">s and </w:t>
      </w:r>
      <w:r w:rsidRPr="000F1B14">
        <w:rPr>
          <w:rFonts w:ascii="Times New Roman" w:hAnsi="Times New Roman" w:cs="Times New Roman"/>
          <w:sz w:val="24"/>
        </w:rPr>
        <w:t>PIM users</w:t>
      </w:r>
      <w:r w:rsidRPr="000F1B14">
        <w:rPr>
          <w:rFonts w:ascii="Times New Roman" w:eastAsia="Malgun Gothic" w:hAnsi="Times New Roman" w:cs="Times New Roman"/>
          <w:sz w:val="24"/>
        </w:rPr>
        <w:t xml:space="preserve">, </w:t>
      </w:r>
      <w:r w:rsidRPr="000F1B14">
        <w:rPr>
          <w:rFonts w:ascii="Times New Roman" w:hAnsi="Times New Roman" w:cs="Times New Roman"/>
          <w:sz w:val="24"/>
        </w:rPr>
        <w:t>number</w:t>
      </w:r>
      <w:r w:rsidR="003F4B8C" w:rsidRPr="000F1B14">
        <w:rPr>
          <w:rFonts w:ascii="Times New Roman" w:hAnsi="Times New Roman" w:cs="Times New Roman"/>
          <w:sz w:val="24"/>
        </w:rPr>
        <w:t xml:space="preserve"> and </w:t>
      </w:r>
      <w:r w:rsidRPr="000F1B14">
        <w:rPr>
          <w:rFonts w:ascii="Times New Roman" w:hAnsi="Times New Roman" w:cs="Times New Roman"/>
          <w:sz w:val="24"/>
        </w:rPr>
        <w:t xml:space="preserve">ratio of users of two or more central nervous system drugs, all-cause </w:t>
      </w:r>
      <w:proofErr w:type="gramStart"/>
      <w:r w:rsidRPr="000F1B14">
        <w:rPr>
          <w:rFonts w:ascii="Times New Roman" w:hAnsi="Times New Roman" w:cs="Times New Roman"/>
          <w:sz w:val="24"/>
        </w:rPr>
        <w:t>delirium,</w:t>
      </w:r>
      <w:proofErr w:type="gramEnd"/>
      <w:r w:rsidRPr="000F1B14">
        <w:rPr>
          <w:rFonts w:ascii="Times New Roman" w:hAnsi="Times New Roman" w:cs="Times New Roman"/>
          <w:sz w:val="24"/>
        </w:rPr>
        <w:t xml:space="preserve"> emergency department visits, admissions, and falls. Secondary endpoints are the number of medications taken</w:t>
      </w:r>
      <w:r w:rsidRPr="000F1B14">
        <w:rPr>
          <w:rFonts w:ascii="Times New Roman" w:eastAsia="Malgun Gothic" w:hAnsi="Times New Roman" w:cs="Times New Roman"/>
          <w:sz w:val="24"/>
        </w:rPr>
        <w:t>, and the number</w:t>
      </w:r>
      <w:r w:rsidRPr="000F1B14">
        <w:rPr>
          <w:rFonts w:ascii="Times New Roman" w:hAnsi="Times New Roman" w:cs="Times New Roman"/>
          <w:sz w:val="24"/>
        </w:rPr>
        <w:t xml:space="preserve"> and rate of polypharmacy use. </w:t>
      </w:r>
    </w:p>
    <w:p w14:paraId="16AF732C" w14:textId="2BB34B08" w:rsidR="00331077" w:rsidRDefault="00414C79" w:rsidP="002208B7">
      <w:pPr>
        <w:spacing w:line="480" w:lineRule="auto"/>
        <w:rPr>
          <w:rFonts w:ascii="Times New Roman" w:eastAsia="Malgun Gothic" w:hAnsi="Times New Roman" w:cs="Times New Roman"/>
          <w:sz w:val="24"/>
        </w:rPr>
      </w:pPr>
      <w:r w:rsidRPr="000F1B14">
        <w:rPr>
          <w:rFonts w:ascii="Times New Roman" w:hAnsi="Times New Roman" w:cs="Times New Roman"/>
          <w:sz w:val="24"/>
        </w:rPr>
        <w:t xml:space="preserve">5. </w:t>
      </w:r>
      <w:r w:rsidR="002208B7" w:rsidRPr="000F1B14">
        <w:rPr>
          <w:rFonts w:ascii="Times New Roman" w:hAnsi="Times New Roman" w:cs="Times New Roman"/>
          <w:sz w:val="24"/>
        </w:rPr>
        <w:t xml:space="preserve">Domain 5. Appendix: </w:t>
      </w:r>
      <w:r w:rsidR="00472F10" w:rsidRPr="000F1B14">
        <w:rPr>
          <w:rFonts w:ascii="Times New Roman" w:hAnsi="Times New Roman" w:cs="Times New Roman"/>
          <w:sz w:val="24"/>
        </w:rPr>
        <w:t>These include v</w:t>
      </w:r>
      <w:r w:rsidR="002208B7" w:rsidRPr="000F1B14">
        <w:rPr>
          <w:rFonts w:ascii="Times New Roman" w:hAnsi="Times New Roman" w:cs="Times New Roman"/>
          <w:sz w:val="24"/>
        </w:rPr>
        <w:t>arious forms and reference materials used for comprehensive medication reviews The forms include</w:t>
      </w:r>
      <w:r w:rsidRPr="000F1B14">
        <w:rPr>
          <w:rFonts w:ascii="Times New Roman" w:eastAsia="Malgun Gothic" w:hAnsi="Times New Roman" w:cs="Times New Roman"/>
          <w:sz w:val="24"/>
        </w:rPr>
        <w:t xml:space="preserve"> explanations and consent forms for participation, medication reconciliation request forms, medication reconciliation decision and response forms, multidisciplinary case conference forms, nursing care forms, medication </w:t>
      </w:r>
      <w:r w:rsidR="002208B7" w:rsidRPr="000F1B14">
        <w:rPr>
          <w:rFonts w:ascii="Times New Roman" w:hAnsi="Times New Roman" w:cs="Times New Roman"/>
          <w:sz w:val="24"/>
        </w:rPr>
        <w:t>intake form</w:t>
      </w:r>
      <w:r w:rsidRPr="000F1B14">
        <w:rPr>
          <w:rFonts w:ascii="Times New Roman" w:eastAsia="Malgun Gothic" w:hAnsi="Times New Roman" w:cs="Times New Roman"/>
          <w:sz w:val="24"/>
        </w:rPr>
        <w:t>s</w:t>
      </w:r>
      <w:r w:rsidR="002208B7" w:rsidRPr="000F1B14">
        <w:rPr>
          <w:rFonts w:ascii="Times New Roman" w:hAnsi="Times New Roman" w:cs="Times New Roman"/>
          <w:sz w:val="24"/>
        </w:rPr>
        <w:t>, and participant safety (accident) report form</w:t>
      </w:r>
      <w:r w:rsidRPr="000F1B14">
        <w:rPr>
          <w:rFonts w:ascii="Times New Roman" w:eastAsia="Malgun Gothic" w:hAnsi="Times New Roman" w:cs="Times New Roman"/>
          <w:sz w:val="24"/>
        </w:rPr>
        <w:t xml:space="preserve">s. </w:t>
      </w:r>
      <w:r w:rsidR="002208B7" w:rsidRPr="000F1B14">
        <w:rPr>
          <w:rFonts w:ascii="Times New Roman" w:hAnsi="Times New Roman" w:cs="Times New Roman"/>
          <w:sz w:val="24"/>
        </w:rPr>
        <w:t>The reference materials include</w:t>
      </w:r>
      <w:r w:rsidRPr="000F1B14">
        <w:rPr>
          <w:rFonts w:ascii="Times New Roman" w:eastAsia="Malgun Gothic" w:hAnsi="Times New Roman" w:cs="Times New Roman"/>
          <w:sz w:val="24"/>
        </w:rPr>
        <w:t xml:space="preserve"> a list of </w:t>
      </w:r>
      <w:r w:rsidR="003F4B8C" w:rsidRPr="000F1B14">
        <w:rPr>
          <w:rFonts w:ascii="Times New Roman" w:eastAsia="Malgun Gothic" w:hAnsi="Times New Roman" w:cs="Times New Roman"/>
          <w:sz w:val="24"/>
        </w:rPr>
        <w:t xml:space="preserve">the following: </w:t>
      </w:r>
      <w:r w:rsidRPr="000F1B14">
        <w:rPr>
          <w:rFonts w:ascii="Times New Roman" w:eastAsia="Malgun Gothic" w:hAnsi="Times New Roman" w:cs="Times New Roman"/>
          <w:sz w:val="24"/>
        </w:rPr>
        <w:t xml:space="preserve">inappropriate medications that should be managed as a priority for </w:t>
      </w:r>
      <w:r w:rsidR="00472F10" w:rsidRPr="000F1B14">
        <w:rPr>
          <w:rFonts w:ascii="Times New Roman" w:eastAsia="Malgun Gothic" w:hAnsi="Times New Roman" w:cs="Times New Roman"/>
          <w:sz w:val="24"/>
        </w:rPr>
        <w:t xml:space="preserve">older </w:t>
      </w:r>
      <w:r w:rsidR="00472F10" w:rsidRPr="000F1B14">
        <w:rPr>
          <w:rFonts w:ascii="Times New Roman" w:eastAsia="Malgun Gothic" w:hAnsi="Times New Roman" w:cs="Times New Roman"/>
          <w:sz w:val="24"/>
        </w:rPr>
        <w:lastRenderedPageBreak/>
        <w:t>adults</w:t>
      </w:r>
      <w:r w:rsidRPr="000F1B14">
        <w:rPr>
          <w:rFonts w:ascii="Times New Roman" w:eastAsia="Malgun Gothic" w:hAnsi="Times New Roman" w:cs="Times New Roman"/>
          <w:sz w:val="24"/>
        </w:rPr>
        <w:t xml:space="preserve"> in LTCF</w:t>
      </w:r>
      <w:r w:rsidR="00B15212" w:rsidRPr="000F1B14">
        <w:rPr>
          <w:rFonts w:ascii="Times New Roman" w:eastAsia="Malgun Gothic" w:hAnsi="Times New Roman" w:cs="Times New Roman"/>
          <w:sz w:val="24"/>
        </w:rPr>
        <w:t>s</w:t>
      </w:r>
      <w:r w:rsidR="003F4B8C" w:rsidRPr="000F1B14">
        <w:rPr>
          <w:rFonts w:ascii="Times New Roman" w:eastAsia="Malgun Gothic" w:hAnsi="Times New Roman" w:cs="Times New Roman"/>
          <w:sz w:val="24"/>
        </w:rPr>
        <w:t>;</w:t>
      </w:r>
      <w:r w:rsidRPr="000F1B14">
        <w:rPr>
          <w:rFonts w:ascii="Times New Roman" w:eastAsia="Malgun Gothic" w:hAnsi="Times New Roman" w:cs="Times New Roman"/>
          <w:sz w:val="24"/>
        </w:rPr>
        <w:t xml:space="preserve"> medications to be cautious of </w:t>
      </w:r>
      <w:r w:rsidR="003F4B8C" w:rsidRPr="000F1B14">
        <w:rPr>
          <w:rFonts w:ascii="Times New Roman" w:eastAsia="Malgun Gothic" w:hAnsi="Times New Roman" w:cs="Times New Roman"/>
          <w:sz w:val="24"/>
        </w:rPr>
        <w:t xml:space="preserve">by older adults </w:t>
      </w:r>
      <w:r w:rsidRPr="000F1B14">
        <w:rPr>
          <w:rFonts w:ascii="Times New Roman" w:eastAsia="Malgun Gothic" w:hAnsi="Times New Roman" w:cs="Times New Roman"/>
          <w:sz w:val="24"/>
        </w:rPr>
        <w:t>in LTCF</w:t>
      </w:r>
      <w:r w:rsidR="00B15212" w:rsidRPr="000F1B14">
        <w:rPr>
          <w:rFonts w:ascii="Times New Roman" w:eastAsia="Malgun Gothic" w:hAnsi="Times New Roman" w:cs="Times New Roman"/>
          <w:sz w:val="24"/>
        </w:rPr>
        <w:t>s</w:t>
      </w:r>
      <w:r w:rsidR="003F4B8C" w:rsidRPr="000F1B14">
        <w:rPr>
          <w:rFonts w:ascii="Times New Roman" w:eastAsia="Malgun Gothic" w:hAnsi="Times New Roman" w:cs="Times New Roman"/>
          <w:sz w:val="24"/>
        </w:rPr>
        <w:t>;</w:t>
      </w:r>
      <w:r w:rsidRPr="000F1B14">
        <w:rPr>
          <w:rFonts w:ascii="Times New Roman" w:eastAsia="Malgun Gothic" w:hAnsi="Times New Roman" w:cs="Times New Roman"/>
          <w:sz w:val="24"/>
        </w:rPr>
        <w:t xml:space="preserve"> high-risk medications for </w:t>
      </w:r>
      <w:r w:rsidR="003F4B8C" w:rsidRPr="000F1B14">
        <w:rPr>
          <w:rFonts w:ascii="Times New Roman" w:eastAsia="Malgun Gothic" w:hAnsi="Times New Roman" w:cs="Times New Roman"/>
          <w:sz w:val="24"/>
        </w:rPr>
        <w:t>older adults</w:t>
      </w:r>
      <w:r w:rsidRPr="000F1B14">
        <w:rPr>
          <w:rFonts w:ascii="Times New Roman" w:eastAsia="Malgun Gothic" w:hAnsi="Times New Roman" w:cs="Times New Roman"/>
          <w:sz w:val="24"/>
        </w:rPr>
        <w:t xml:space="preserve"> in LTCF</w:t>
      </w:r>
      <w:r w:rsidR="003F4B8C" w:rsidRPr="000F1B14">
        <w:rPr>
          <w:rFonts w:ascii="Times New Roman" w:eastAsia="Malgun Gothic" w:hAnsi="Times New Roman" w:cs="Times New Roman"/>
          <w:sz w:val="24"/>
        </w:rPr>
        <w:t>s;</w:t>
      </w:r>
      <w:r w:rsidRPr="000F1B14">
        <w:rPr>
          <w:rFonts w:ascii="Times New Roman" w:eastAsia="Malgun Gothic" w:hAnsi="Times New Roman" w:cs="Times New Roman"/>
          <w:sz w:val="24"/>
        </w:rPr>
        <w:t xml:space="preserve"> </w:t>
      </w:r>
      <w:r w:rsidR="003F4B8C" w:rsidRPr="000F1B14">
        <w:rPr>
          <w:rFonts w:ascii="Times New Roman" w:eastAsia="Malgun Gothic" w:hAnsi="Times New Roman" w:cs="Times New Roman"/>
          <w:sz w:val="24"/>
        </w:rPr>
        <w:t xml:space="preserve">medications meeting the </w:t>
      </w:r>
      <w:r w:rsidRPr="000F1B14">
        <w:rPr>
          <w:rFonts w:ascii="Times New Roman" w:eastAsia="Malgun Gothic" w:hAnsi="Times New Roman" w:cs="Times New Roman"/>
          <w:sz w:val="24"/>
        </w:rPr>
        <w:t>Beer's criteria, 2019</w:t>
      </w:r>
      <w:r w:rsidR="003F4B8C" w:rsidRPr="000F1B14">
        <w:rPr>
          <w:rFonts w:ascii="Times New Roman" w:eastAsia="Malgun Gothic" w:hAnsi="Times New Roman" w:cs="Times New Roman"/>
          <w:sz w:val="24"/>
        </w:rPr>
        <w:t>;</w:t>
      </w:r>
      <w:r w:rsidRPr="000F1B14">
        <w:rPr>
          <w:rFonts w:ascii="Times New Roman" w:eastAsia="Malgun Gothic" w:hAnsi="Times New Roman" w:cs="Times New Roman"/>
          <w:sz w:val="24"/>
        </w:rPr>
        <w:t xml:space="preserve"> </w:t>
      </w:r>
      <w:r w:rsidR="003F4B8C" w:rsidRPr="000F1B14">
        <w:rPr>
          <w:rFonts w:ascii="Times New Roman" w:eastAsia="Malgun Gothic" w:hAnsi="Times New Roman" w:cs="Times New Roman"/>
          <w:sz w:val="24"/>
        </w:rPr>
        <w:t xml:space="preserve">medications meeting the </w:t>
      </w:r>
      <w:r w:rsidRPr="000F1B14">
        <w:rPr>
          <w:rFonts w:ascii="Times New Roman" w:eastAsia="Malgun Gothic" w:hAnsi="Times New Roman" w:cs="Times New Roman"/>
          <w:sz w:val="24"/>
        </w:rPr>
        <w:t xml:space="preserve">STOPP </w:t>
      </w:r>
      <w:r w:rsidR="002208B7" w:rsidRPr="000F1B14">
        <w:rPr>
          <w:rFonts w:ascii="Times New Roman" w:hAnsi="Times New Roman" w:cs="Times New Roman"/>
          <w:sz w:val="24"/>
        </w:rPr>
        <w:t>and START criteria version 2, 2015</w:t>
      </w:r>
      <w:r w:rsidR="003F4B8C" w:rsidRPr="000F1B14">
        <w:rPr>
          <w:rFonts w:ascii="Times New Roman" w:hAnsi="Times New Roman" w:cs="Times New Roman"/>
          <w:sz w:val="24"/>
        </w:rPr>
        <w:t xml:space="preserve">; </w:t>
      </w:r>
      <w:r w:rsidR="002208B7" w:rsidRPr="000F1B14">
        <w:rPr>
          <w:rFonts w:ascii="Times New Roman" w:hAnsi="Times New Roman" w:cs="Times New Roman"/>
          <w:sz w:val="24"/>
        </w:rPr>
        <w:t>anticholinergic burden score of anticholinergic medications</w:t>
      </w:r>
      <w:r w:rsidR="003F4B8C" w:rsidRPr="000F1B14">
        <w:rPr>
          <w:rFonts w:ascii="Times New Roman" w:hAnsi="Times New Roman" w:cs="Times New Roman"/>
          <w:sz w:val="24"/>
        </w:rPr>
        <w:t>;</w:t>
      </w:r>
      <w:r w:rsidR="002208B7" w:rsidRPr="000F1B14">
        <w:rPr>
          <w:rFonts w:ascii="Times New Roman" w:hAnsi="Times New Roman" w:cs="Times New Roman"/>
          <w:sz w:val="24"/>
        </w:rPr>
        <w:t xml:space="preserve"> ICD-10 2019 code</w:t>
      </w:r>
      <w:r w:rsidR="003F4B8C" w:rsidRPr="000F1B14">
        <w:rPr>
          <w:rFonts w:ascii="Times New Roman" w:hAnsi="Times New Roman" w:cs="Times New Roman"/>
          <w:sz w:val="24"/>
        </w:rPr>
        <w:t>;</w:t>
      </w:r>
      <w:r w:rsidR="002208B7" w:rsidRPr="000F1B14">
        <w:rPr>
          <w:rFonts w:ascii="Times New Roman" w:hAnsi="Times New Roman" w:cs="Times New Roman"/>
          <w:sz w:val="24"/>
        </w:rPr>
        <w:t xml:space="preserve"> guidelines for the safe use of hypnotic sedatives used frequently</w:t>
      </w:r>
      <w:r w:rsidR="003F4B8C" w:rsidRPr="000F1B14">
        <w:rPr>
          <w:rFonts w:ascii="Times New Roman" w:hAnsi="Times New Roman" w:cs="Times New Roman"/>
          <w:sz w:val="24"/>
        </w:rPr>
        <w:t>;</w:t>
      </w:r>
      <w:r w:rsidR="002208B7" w:rsidRPr="000F1B14">
        <w:rPr>
          <w:rFonts w:ascii="Times New Roman" w:hAnsi="Times New Roman" w:cs="Times New Roman"/>
          <w:sz w:val="24"/>
        </w:rPr>
        <w:t xml:space="preserve"> guidelines for safe medication use</w:t>
      </w:r>
      <w:r w:rsidR="003F4B8C" w:rsidRPr="000F1B14">
        <w:rPr>
          <w:rFonts w:ascii="Times New Roman" w:hAnsi="Times New Roman" w:cs="Times New Roman"/>
          <w:sz w:val="24"/>
        </w:rPr>
        <w:t>;</w:t>
      </w:r>
      <w:r w:rsidR="002208B7" w:rsidRPr="000F1B14">
        <w:rPr>
          <w:rFonts w:ascii="Times New Roman" w:hAnsi="Times New Roman" w:cs="Times New Roman"/>
          <w:sz w:val="24"/>
        </w:rPr>
        <w:t xml:space="preserve"> and clinical guidelines for </w:t>
      </w:r>
      <w:r w:rsidRPr="000F1B14">
        <w:rPr>
          <w:rFonts w:ascii="Times New Roman" w:eastAsia="Malgun Gothic" w:hAnsi="Times New Roman" w:cs="Times New Roman"/>
          <w:sz w:val="24"/>
        </w:rPr>
        <w:t>the behavioral and psychological symptoms of dementia.</w:t>
      </w:r>
    </w:p>
    <w:p w14:paraId="185240F5" w14:textId="77777777" w:rsidR="00331077" w:rsidRDefault="00331077">
      <w:pPr>
        <w:widowControl/>
        <w:wordWrap/>
        <w:autoSpaceDE/>
        <w:autoSpaceDN/>
        <w:rPr>
          <w:rFonts w:ascii="Times New Roman" w:eastAsia="Malgun Gothic" w:hAnsi="Times New Roman" w:cs="Times New Roman"/>
          <w:sz w:val="24"/>
        </w:rPr>
      </w:pPr>
      <w:r>
        <w:rPr>
          <w:rFonts w:ascii="Times New Roman" w:eastAsia="Malgun Gothic" w:hAnsi="Times New Roman" w:cs="Times New Roman"/>
          <w:sz w:val="24"/>
        </w:rPr>
        <w:br w:type="page"/>
      </w:r>
    </w:p>
    <w:p w14:paraId="4FF2C1E8" w14:textId="2A316B79" w:rsidR="00331077" w:rsidRPr="00483A87" w:rsidRDefault="00331077" w:rsidP="00331077">
      <w:pPr>
        <w:spacing w:line="480" w:lineRule="auto"/>
        <w:rPr>
          <w:rFonts w:ascii="Times New Roman" w:hAnsi="Times New Roman" w:cs="Times New Roman"/>
          <w:b/>
          <w:sz w:val="28"/>
        </w:rPr>
      </w:pPr>
      <w:r w:rsidRPr="00483A87">
        <w:rPr>
          <w:rFonts w:ascii="Times New Roman" w:eastAsiaTheme="minorHAnsi" w:hAnsi="Times New Roman" w:cs="Times New Roman"/>
          <w:b/>
          <w:sz w:val="28"/>
        </w:rPr>
        <w:lastRenderedPageBreak/>
        <w:t>Development of a multidisciplinary medication management program in nursing homes: Protocol for a randomized controlled trial</w:t>
      </w:r>
    </w:p>
    <w:p w14:paraId="77005888" w14:textId="5EB5569D" w:rsidR="007F4442" w:rsidRPr="007F4442" w:rsidRDefault="007F4442" w:rsidP="007F4442">
      <w:pPr>
        <w:wordWrap/>
        <w:spacing w:after="0" w:line="480" w:lineRule="auto"/>
        <w:rPr>
          <w:rFonts w:ascii="Times New Roman" w:eastAsiaTheme="minorHAnsi" w:hAnsi="Times New Roman" w:cs="Times New Roman"/>
          <w:b/>
          <w:sz w:val="24"/>
        </w:rPr>
      </w:pPr>
      <w:r>
        <w:rPr>
          <w:rFonts w:ascii="Times New Roman" w:eastAsiaTheme="minorHAnsi" w:hAnsi="Times New Roman" w:cs="Times New Roman"/>
          <w:sz w:val="28"/>
        </w:rPr>
        <w:t>Sub</w:t>
      </w:r>
      <w:r w:rsidRPr="00A72EB9">
        <w:rPr>
          <w:rFonts w:ascii="Times New Roman" w:eastAsiaTheme="minorHAnsi" w:hAnsi="Times New Roman" w:cs="Times New Roman"/>
          <w:sz w:val="28"/>
        </w:rPr>
        <w:t xml:space="preserve">title: </w:t>
      </w:r>
      <w:r>
        <w:rPr>
          <w:rFonts w:ascii="Times New Roman" w:eastAsiaTheme="minorHAnsi" w:hAnsi="Times New Roman" w:cs="Times New Roman"/>
          <w:sz w:val="28"/>
        </w:rPr>
        <w:t>Multidisciplinary m</w:t>
      </w:r>
      <w:r w:rsidRPr="00A72EB9">
        <w:rPr>
          <w:rFonts w:ascii="Times New Roman" w:eastAsiaTheme="minorHAnsi" w:hAnsi="Times New Roman" w:cs="Times New Roman"/>
          <w:sz w:val="28"/>
        </w:rPr>
        <w:t>edication management in nursing homes</w:t>
      </w:r>
    </w:p>
    <w:p w14:paraId="2F05BDBE" w14:textId="49485561" w:rsidR="00331077" w:rsidRPr="00483A87" w:rsidRDefault="00331077" w:rsidP="00331077">
      <w:pPr>
        <w:spacing w:line="480" w:lineRule="auto"/>
        <w:rPr>
          <w:rFonts w:ascii="Times New Roman" w:hAnsi="Times New Roman" w:cs="Times New Roman"/>
          <w:b/>
          <w:sz w:val="28"/>
          <w:szCs w:val="28"/>
        </w:rPr>
      </w:pPr>
      <w:bookmarkStart w:id="0" w:name="_GoBack"/>
      <w:proofErr w:type="gramStart"/>
      <w:r w:rsidRPr="00483A87">
        <w:rPr>
          <w:rFonts w:ascii="Times New Roman" w:hAnsi="Times New Roman" w:cs="Times New Roman"/>
          <w:b/>
          <w:sz w:val="28"/>
        </w:rPr>
        <w:t>Suppleme</w:t>
      </w:r>
      <w:bookmarkEnd w:id="0"/>
      <w:r w:rsidRPr="00483A87">
        <w:rPr>
          <w:rFonts w:ascii="Times New Roman" w:hAnsi="Times New Roman" w:cs="Times New Roman"/>
          <w:b/>
          <w:sz w:val="28"/>
        </w:rPr>
        <w:t>ntary Text 2</w:t>
      </w:r>
      <w:r w:rsidRPr="00483A87">
        <w:rPr>
          <w:rFonts w:ascii="Times New Roman" w:hAnsi="Times New Roman" w:cs="Times New Roman"/>
          <w:b/>
          <w:sz w:val="28"/>
          <w:szCs w:val="28"/>
        </w:rPr>
        <w:t>.</w:t>
      </w:r>
      <w:proofErr w:type="gramEnd"/>
      <w:r w:rsidRPr="00483A87">
        <w:rPr>
          <w:rFonts w:ascii="Times New Roman" w:hAnsi="Times New Roman" w:cs="Times New Roman"/>
          <w:b/>
          <w:sz w:val="28"/>
          <w:szCs w:val="28"/>
        </w:rPr>
        <w:t xml:space="preserve"> Step-by-step detailed description of the operational steps</w:t>
      </w:r>
    </w:p>
    <w:p w14:paraId="0A4D0169"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1: Explanation of the study and obtaining informed consent</w:t>
      </w:r>
    </w:p>
    <w:p w14:paraId="473BD563"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A nurse in </w:t>
      </w:r>
      <w:r w:rsidRPr="00483A87">
        <w:rPr>
          <w:rFonts w:ascii="Times New Roman" w:eastAsia="Malgun Gothic" w:hAnsi="Times New Roman" w:cs="Times New Roman"/>
          <w:sz w:val="24"/>
        </w:rPr>
        <w:t>the long-term care facility (LTCF) explain</w:t>
      </w:r>
      <w:r w:rsidRPr="00483A87">
        <w:rPr>
          <w:rFonts w:ascii="Times New Roman" w:hAnsi="Times New Roman" w:cs="Times New Roman"/>
          <w:sz w:val="24"/>
        </w:rPr>
        <w:t xml:space="preserve">s the research using promotional brochures or videos to participants who meet the inclusion criteria and </w:t>
      </w:r>
      <w:r w:rsidRPr="00483A87">
        <w:rPr>
          <w:rFonts w:ascii="Times New Roman" w:eastAsia="Malgun Gothic" w:hAnsi="Times New Roman" w:cs="Times New Roman"/>
          <w:sz w:val="24"/>
        </w:rPr>
        <w:t>their guardians</w:t>
      </w:r>
      <w:r w:rsidRPr="00483A87">
        <w:rPr>
          <w:rFonts w:ascii="Times New Roman" w:hAnsi="Times New Roman" w:cs="Times New Roman"/>
          <w:sz w:val="24"/>
        </w:rPr>
        <w:t xml:space="preserve"> and obtains informed consent. If a participant has dementia or i</w:t>
      </w:r>
      <w:r w:rsidRPr="00483A87">
        <w:rPr>
          <w:rFonts w:ascii="Times New Roman" w:eastAsia="Malgun Gothic" w:hAnsi="Times New Roman" w:cs="Times New Roman"/>
          <w:sz w:val="24"/>
        </w:rPr>
        <w:t xml:space="preserve">s unable to sign the consent form, consent </w:t>
      </w:r>
      <w:r w:rsidRPr="00483A87">
        <w:rPr>
          <w:rFonts w:ascii="Times New Roman" w:hAnsi="Times New Roman" w:cs="Times New Roman"/>
          <w:sz w:val="24"/>
        </w:rPr>
        <w:t>is obtained only from the guardian (</w:t>
      </w:r>
      <w:r w:rsidRPr="00483A87">
        <w:rPr>
          <w:rFonts w:ascii="Times New Roman" w:eastAsia="Malgun Gothic" w:hAnsi="Times New Roman" w:cs="Times New Roman"/>
          <w:sz w:val="24"/>
        </w:rPr>
        <w:t>the legal representative).</w:t>
      </w:r>
    </w:p>
    <w:p w14:paraId="5D76124D" w14:textId="77777777" w:rsidR="00331077" w:rsidRPr="00483A87" w:rsidRDefault="00331077" w:rsidP="00331077">
      <w:pPr>
        <w:spacing w:line="480" w:lineRule="auto"/>
        <w:rPr>
          <w:rFonts w:ascii="Times New Roman" w:hAnsi="Times New Roman" w:cs="Times New Roman"/>
          <w:sz w:val="24"/>
        </w:rPr>
      </w:pPr>
    </w:p>
    <w:p w14:paraId="15A8FDED"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2: Recruitment and registration of participants</w:t>
      </w:r>
    </w:p>
    <w:p w14:paraId="0F221A6F"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A research assistant registers participants who meet the inclusion/exclusion criteria described above.</w:t>
      </w:r>
    </w:p>
    <w:p w14:paraId="2A5CC3AE" w14:textId="77777777" w:rsidR="00331077" w:rsidRPr="00483A87" w:rsidRDefault="00331077" w:rsidP="00331077">
      <w:pPr>
        <w:spacing w:line="480" w:lineRule="auto"/>
        <w:rPr>
          <w:rFonts w:ascii="Times New Roman" w:hAnsi="Times New Roman" w:cs="Times New Roman"/>
          <w:sz w:val="24"/>
        </w:rPr>
      </w:pPr>
    </w:p>
    <w:p w14:paraId="43CBBC42"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3: Collection of participant’s information</w:t>
      </w:r>
    </w:p>
    <w:p w14:paraId="7A0205D7"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Based on the existing format of LTCF, any available data on </w:t>
      </w:r>
      <w:r w:rsidRPr="00483A87">
        <w:rPr>
          <w:rFonts w:ascii="Times New Roman" w:eastAsia="Malgun Gothic" w:hAnsi="Times New Roman" w:cs="Times New Roman"/>
          <w:sz w:val="24"/>
        </w:rPr>
        <w:t xml:space="preserve">the participants’ characteristics relevant to medications, demographic characteristics, and anthropometric data </w:t>
      </w:r>
      <w:r w:rsidRPr="00483A87">
        <w:rPr>
          <w:rFonts w:ascii="Times New Roman" w:hAnsi="Times New Roman" w:cs="Times New Roman"/>
          <w:sz w:val="24"/>
        </w:rPr>
        <w:t>are collected. This will be performed by a research assistant</w:t>
      </w:r>
      <w:r w:rsidRPr="00483A87">
        <w:rPr>
          <w:rFonts w:ascii="Times New Roman" w:eastAsia="Malgun Gothic" w:hAnsi="Times New Roman" w:cs="Times New Roman"/>
          <w:sz w:val="24"/>
        </w:rPr>
        <w:t>, along with the collection of baseline outcome data.</w:t>
      </w:r>
    </w:p>
    <w:p w14:paraId="3AA70F74" w14:textId="77777777" w:rsidR="00331077" w:rsidRPr="00483A87" w:rsidRDefault="00331077" w:rsidP="00331077">
      <w:pPr>
        <w:spacing w:line="480" w:lineRule="auto"/>
        <w:rPr>
          <w:rFonts w:ascii="Times New Roman" w:hAnsi="Times New Roman" w:cs="Times New Roman"/>
          <w:sz w:val="24"/>
        </w:rPr>
      </w:pPr>
    </w:p>
    <w:p w14:paraId="3608A2D8"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STEP 4: Listing medications taken by the participant </w:t>
      </w:r>
    </w:p>
    <w:p w14:paraId="045BF9CF"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Our study will acquire data through </w:t>
      </w:r>
      <w:proofErr w:type="gramStart"/>
      <w:r w:rsidRPr="00483A87">
        <w:rPr>
          <w:rFonts w:ascii="Times New Roman" w:hAnsi="Times New Roman" w:cs="Times New Roman"/>
          <w:sz w:val="24"/>
        </w:rPr>
        <w:t>a collaboration</w:t>
      </w:r>
      <w:proofErr w:type="gramEnd"/>
      <w:r w:rsidRPr="00483A87">
        <w:rPr>
          <w:rFonts w:ascii="Times New Roman" w:hAnsi="Times New Roman" w:cs="Times New Roman"/>
          <w:sz w:val="24"/>
        </w:rPr>
        <w:t xml:space="preserve"> between the National Health Insurance Service (NHIS) and the Health Insurance Review and Assessment Service (HIRA). Using the records</w:t>
      </w:r>
      <w:r w:rsidRPr="00483A87">
        <w:rPr>
          <w:rFonts w:ascii="Times New Roman" w:eastAsia="Malgun Gothic" w:hAnsi="Times New Roman" w:cs="Times New Roman"/>
          <w:sz w:val="24"/>
        </w:rPr>
        <w:t xml:space="preserve">, including the medication dispensing records of the LTCF, NHIS, and HIRA, </w:t>
      </w:r>
      <w:r w:rsidRPr="00483A87">
        <w:rPr>
          <w:rFonts w:ascii="Times New Roman" w:hAnsi="Times New Roman" w:cs="Times New Roman"/>
          <w:sz w:val="24"/>
        </w:rPr>
        <w:t>acquired information such as medication name, medication code, dosage, dose per serving, number of doses, number of days of administration, prescribed medication information, diagnosis, and name of the prescribing medical institution will be entered into the platform. Based on these data, it is possible to formalize a complete list of medications taken by the participants.</w:t>
      </w:r>
    </w:p>
    <w:p w14:paraId="578B3CA9" w14:textId="77777777" w:rsidR="00331077" w:rsidRPr="00483A87" w:rsidRDefault="00331077" w:rsidP="00331077">
      <w:pPr>
        <w:spacing w:line="480" w:lineRule="auto"/>
        <w:rPr>
          <w:rFonts w:ascii="Times New Roman" w:hAnsi="Times New Roman" w:cs="Times New Roman"/>
          <w:sz w:val="24"/>
        </w:rPr>
      </w:pPr>
    </w:p>
    <w:p w14:paraId="13A2FDA8"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5: Comprehensive medication review and counseling by pharmacists</w:t>
      </w:r>
    </w:p>
    <w:p w14:paraId="6EE9DCD6"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A comprehensive medication review consists of </w:t>
      </w:r>
      <w:r w:rsidRPr="00483A87">
        <w:rPr>
          <w:rFonts w:ascii="Times New Roman" w:eastAsia="Malgun Gothic" w:hAnsi="Times New Roman" w:cs="Times New Roman"/>
          <w:sz w:val="24"/>
        </w:rPr>
        <w:t xml:space="preserve">a pharmaceutical analysis of </w:t>
      </w:r>
      <w:r w:rsidRPr="00483A87">
        <w:rPr>
          <w:rFonts w:ascii="Times New Roman" w:hAnsi="Times New Roman" w:cs="Times New Roman"/>
          <w:sz w:val="24"/>
        </w:rPr>
        <w:t>prescription</w:t>
      </w:r>
      <w:r w:rsidRPr="00483A87">
        <w:rPr>
          <w:rFonts w:ascii="Times New Roman" w:eastAsia="Malgun Gothic" w:hAnsi="Times New Roman" w:cs="Times New Roman"/>
          <w:sz w:val="24"/>
        </w:rPr>
        <w:t xml:space="preserve">s. A comprehensive medication review will be </w:t>
      </w:r>
      <w:r w:rsidRPr="00483A87">
        <w:rPr>
          <w:rFonts w:ascii="Times New Roman" w:hAnsi="Times New Roman" w:cs="Times New Roman"/>
          <w:sz w:val="24"/>
        </w:rPr>
        <w:t>conducted on the participant</w:t>
      </w:r>
      <w:r w:rsidRPr="00483A87">
        <w:rPr>
          <w:rFonts w:ascii="Times New Roman" w:eastAsia="Malgun Gothic" w:hAnsi="Times New Roman" w:cs="Times New Roman"/>
          <w:sz w:val="24"/>
        </w:rPr>
        <w:t>s</w:t>
      </w:r>
      <w:r w:rsidRPr="00483A87">
        <w:rPr>
          <w:rFonts w:ascii="Times New Roman" w:hAnsi="Times New Roman" w:cs="Times New Roman"/>
          <w:sz w:val="24"/>
        </w:rPr>
        <w:t>’ medication</w:t>
      </w:r>
      <w:r w:rsidRPr="00483A87">
        <w:rPr>
          <w:rFonts w:ascii="Times New Roman" w:eastAsia="Malgun Gothic" w:hAnsi="Times New Roman" w:cs="Times New Roman"/>
          <w:sz w:val="24"/>
        </w:rPr>
        <w:t xml:space="preserve">s, including the accuracy of dose and frequency, appropriateness, and indications. This review also focuses on medications suitable for </w:t>
      </w:r>
      <w:r w:rsidRPr="00483A87">
        <w:rPr>
          <w:rFonts w:ascii="Times New Roman" w:hAnsi="Times New Roman" w:cs="Times New Roman"/>
          <w:sz w:val="24"/>
        </w:rPr>
        <w:t xml:space="preserve">discontinuation or dose reduction, supported by the reference materials of </w:t>
      </w:r>
      <w:r w:rsidRPr="00483A87">
        <w:rPr>
          <w:rFonts w:ascii="Times New Roman" w:eastAsia="Malgun Gothic" w:hAnsi="Times New Roman" w:cs="Times New Roman"/>
          <w:sz w:val="24"/>
        </w:rPr>
        <w:t xml:space="preserve">the platform and evidence resources for </w:t>
      </w:r>
      <w:proofErr w:type="spellStart"/>
      <w:r w:rsidRPr="00483A87">
        <w:rPr>
          <w:rFonts w:ascii="Times New Roman" w:eastAsia="Malgun Gothic" w:hAnsi="Times New Roman" w:cs="Times New Roman"/>
          <w:sz w:val="24"/>
        </w:rPr>
        <w:t>deprescribing</w:t>
      </w:r>
      <w:proofErr w:type="spellEnd"/>
      <w:r w:rsidRPr="00483A87">
        <w:rPr>
          <w:rFonts w:ascii="Times New Roman" w:eastAsia="Malgun Gothic" w:hAnsi="Times New Roman" w:cs="Times New Roman"/>
          <w:sz w:val="24"/>
        </w:rPr>
        <w:t xml:space="preserve">, </w:t>
      </w:r>
      <w:r w:rsidRPr="00483A87">
        <w:rPr>
          <w:rFonts w:ascii="Times New Roman" w:hAnsi="Times New Roman" w:cs="Times New Roman"/>
          <w:sz w:val="24"/>
        </w:rPr>
        <w:t>reported medication side effects by the participant</w:t>
      </w:r>
      <w:r w:rsidRPr="00483A87">
        <w:rPr>
          <w:rFonts w:ascii="Times New Roman" w:eastAsia="Malgun Gothic" w:hAnsi="Times New Roman" w:cs="Times New Roman"/>
          <w:sz w:val="24"/>
        </w:rPr>
        <w:t xml:space="preserve">s, and a review of the </w:t>
      </w:r>
      <w:r w:rsidRPr="00483A87">
        <w:rPr>
          <w:rFonts w:ascii="Times New Roman" w:hAnsi="Times New Roman" w:cs="Times New Roman"/>
          <w:sz w:val="24"/>
        </w:rPr>
        <w:t xml:space="preserve">participants’ medication experience. Using reference materials within the platform, overlapping medications, interactions, </w:t>
      </w:r>
      <w:r w:rsidRPr="00483A87">
        <w:rPr>
          <w:rFonts w:ascii="Times New Roman" w:eastAsia="Malgun Gothic" w:hAnsi="Times New Roman" w:cs="Times New Roman"/>
          <w:sz w:val="24"/>
        </w:rPr>
        <w:t xml:space="preserve">and adverse drug events (ADEs; side effects) will be checked, the results recorded </w:t>
      </w:r>
      <w:r w:rsidRPr="00483A87">
        <w:rPr>
          <w:rFonts w:ascii="Times New Roman" w:hAnsi="Times New Roman" w:cs="Times New Roman"/>
          <w:sz w:val="24"/>
        </w:rPr>
        <w:t xml:space="preserve">on the platform, and the results of medication use assessments documented (creation of </w:t>
      </w:r>
      <w:r w:rsidRPr="00483A87">
        <w:rPr>
          <w:rFonts w:ascii="Times New Roman" w:eastAsia="Malgun Gothic" w:hAnsi="Times New Roman" w:cs="Times New Roman"/>
          <w:sz w:val="24"/>
        </w:rPr>
        <w:t>a comprehensive medication review form and medication reconciliation request form).</w:t>
      </w:r>
    </w:p>
    <w:p w14:paraId="1CC9F089"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The results of the review will be structured </w:t>
      </w:r>
      <w:r w:rsidRPr="00483A87">
        <w:rPr>
          <w:rFonts w:ascii="Times New Roman" w:eastAsia="Malgun Gothic" w:hAnsi="Times New Roman" w:cs="Times New Roman"/>
          <w:sz w:val="24"/>
        </w:rPr>
        <w:t xml:space="preserve">as propositions </w:t>
      </w:r>
      <w:r w:rsidRPr="00483A87">
        <w:rPr>
          <w:rFonts w:ascii="Times New Roman" w:hAnsi="Times New Roman" w:cs="Times New Roman"/>
          <w:sz w:val="24"/>
        </w:rPr>
        <w:t xml:space="preserve">for medication regimen </w:t>
      </w:r>
      <w:r w:rsidRPr="00483A87">
        <w:rPr>
          <w:rFonts w:ascii="Times New Roman" w:hAnsi="Times New Roman" w:cs="Times New Roman"/>
          <w:sz w:val="24"/>
        </w:rPr>
        <w:lastRenderedPageBreak/>
        <w:t>modification</w:t>
      </w:r>
      <w:r w:rsidRPr="00483A87">
        <w:rPr>
          <w:rFonts w:ascii="Times New Roman" w:eastAsia="Malgun Gothic" w:hAnsi="Times New Roman" w:cs="Times New Roman"/>
          <w:sz w:val="24"/>
        </w:rPr>
        <w:t>s</w:t>
      </w:r>
      <w:r w:rsidRPr="00483A87">
        <w:rPr>
          <w:rFonts w:ascii="Times New Roman" w:hAnsi="Times New Roman" w:cs="Times New Roman"/>
          <w:sz w:val="24"/>
        </w:rPr>
        <w:t xml:space="preserve"> tailored to the clinical situation of each participant. These propositions include continuation, discontinuation, regimen modifications (administration form, time, dose, or frequency), withdrawal or tapering of non-beneficial medications (</w:t>
      </w:r>
      <w:proofErr w:type="spellStart"/>
      <w:r w:rsidRPr="00483A87">
        <w:rPr>
          <w:rFonts w:ascii="Times New Roman" w:hAnsi="Times New Roman" w:cs="Times New Roman"/>
          <w:sz w:val="24"/>
        </w:rPr>
        <w:t>deprescribing</w:t>
      </w:r>
      <w:proofErr w:type="spellEnd"/>
      <w:r w:rsidRPr="00483A87">
        <w:rPr>
          <w:rFonts w:ascii="Times New Roman" w:hAnsi="Times New Roman" w:cs="Times New Roman"/>
          <w:sz w:val="24"/>
        </w:rPr>
        <w:t>), switch</w:t>
      </w:r>
      <w:r w:rsidRPr="00483A87">
        <w:rPr>
          <w:rFonts w:ascii="Times New Roman" w:eastAsia="Malgun Gothic" w:hAnsi="Times New Roman" w:cs="Times New Roman"/>
          <w:sz w:val="24"/>
        </w:rPr>
        <w:t xml:space="preserve">ing to </w:t>
      </w:r>
      <w:r w:rsidRPr="00483A87">
        <w:rPr>
          <w:rFonts w:ascii="Times New Roman" w:hAnsi="Times New Roman" w:cs="Times New Roman"/>
          <w:sz w:val="24"/>
        </w:rPr>
        <w:t>safer medication</w:t>
      </w:r>
      <w:r w:rsidRPr="00483A87">
        <w:rPr>
          <w:rFonts w:ascii="Times New Roman" w:eastAsia="Malgun Gothic" w:hAnsi="Times New Roman" w:cs="Times New Roman"/>
          <w:sz w:val="24"/>
        </w:rPr>
        <w:t xml:space="preserve">s, and introduction of new medications in case of </w:t>
      </w:r>
      <w:r w:rsidRPr="00483A87">
        <w:rPr>
          <w:rFonts w:ascii="Times New Roman" w:hAnsi="Times New Roman" w:cs="Times New Roman"/>
          <w:sz w:val="24"/>
        </w:rPr>
        <w:t>prescription omission.</w:t>
      </w:r>
    </w:p>
    <w:p w14:paraId="0A1D75BD"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Comprehensive medication review and medication reconciliation request form</w:t>
      </w:r>
      <w:r w:rsidRPr="00483A87">
        <w:rPr>
          <w:rFonts w:ascii="Times New Roman" w:eastAsia="Malgun Gothic" w:hAnsi="Times New Roman" w:cs="Times New Roman"/>
          <w:sz w:val="24"/>
        </w:rPr>
        <w:t xml:space="preserve">s prepared by the pharmacist </w:t>
      </w:r>
      <w:r w:rsidRPr="00483A87">
        <w:rPr>
          <w:rFonts w:ascii="Times New Roman" w:hAnsi="Times New Roman" w:cs="Times New Roman"/>
          <w:sz w:val="24"/>
        </w:rPr>
        <w:t xml:space="preserve">are delivered to the physician. Conversely, if a physician determines that a comprehensive medication review is necessary, </w:t>
      </w:r>
      <w:r w:rsidRPr="00483A87">
        <w:rPr>
          <w:rFonts w:ascii="Times New Roman" w:eastAsia="Malgun Gothic" w:hAnsi="Times New Roman" w:cs="Times New Roman"/>
          <w:sz w:val="24"/>
        </w:rPr>
        <w:t xml:space="preserve">they </w:t>
      </w:r>
      <w:r w:rsidRPr="00483A87">
        <w:rPr>
          <w:rFonts w:ascii="Times New Roman" w:hAnsi="Times New Roman" w:cs="Times New Roman"/>
          <w:sz w:val="24"/>
        </w:rPr>
        <w:t>can request a review by a pharmacist.</w:t>
      </w:r>
    </w:p>
    <w:p w14:paraId="273A8F74" w14:textId="77777777" w:rsidR="00331077" w:rsidRPr="00483A87" w:rsidRDefault="00331077" w:rsidP="00331077">
      <w:pPr>
        <w:spacing w:line="480" w:lineRule="auto"/>
        <w:rPr>
          <w:rFonts w:ascii="Times New Roman" w:hAnsi="Times New Roman" w:cs="Times New Roman"/>
          <w:sz w:val="24"/>
        </w:rPr>
      </w:pPr>
    </w:p>
    <w:p w14:paraId="0C9E2D09"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6: Physician referral for medication reconciliation</w:t>
      </w:r>
    </w:p>
    <w:p w14:paraId="2B326838"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If the pharmacist determines that medication reconciliation is necessary as a result of </w:t>
      </w:r>
      <w:r w:rsidRPr="00483A87">
        <w:rPr>
          <w:rFonts w:ascii="Times New Roman" w:eastAsia="Malgun Gothic" w:hAnsi="Times New Roman" w:cs="Times New Roman"/>
          <w:sz w:val="24"/>
        </w:rPr>
        <w:t xml:space="preserve">a comprehensive medication review, he or she requests medication reconciliation </w:t>
      </w:r>
      <w:r w:rsidRPr="00483A87">
        <w:rPr>
          <w:rFonts w:ascii="Times New Roman" w:hAnsi="Times New Roman" w:cs="Times New Roman"/>
          <w:sz w:val="24"/>
        </w:rPr>
        <w:t xml:space="preserve">from the prescribing physician (delivery of </w:t>
      </w:r>
      <w:r w:rsidRPr="00483A87">
        <w:rPr>
          <w:rFonts w:ascii="Times New Roman" w:eastAsia="Malgun Gothic" w:hAnsi="Times New Roman" w:cs="Times New Roman"/>
          <w:sz w:val="24"/>
        </w:rPr>
        <w:t>the comprehensive medication review form and medication reconciliation request form).</w:t>
      </w:r>
    </w:p>
    <w:p w14:paraId="47D4FDCA" w14:textId="77777777" w:rsidR="00331077" w:rsidRPr="00483A87" w:rsidRDefault="00331077" w:rsidP="00331077">
      <w:pPr>
        <w:spacing w:line="480" w:lineRule="auto"/>
        <w:rPr>
          <w:rFonts w:ascii="Times New Roman" w:hAnsi="Times New Roman" w:cs="Times New Roman"/>
          <w:sz w:val="24"/>
        </w:rPr>
      </w:pPr>
    </w:p>
    <w:p w14:paraId="5119193B"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7: Medication reconciliation after the prescribing physician confirms the results of a comprehensive medication review</w:t>
      </w:r>
      <w:r w:rsidRPr="00483A87">
        <w:rPr>
          <w:rFonts w:ascii="Times New Roman" w:eastAsia="Malgun Gothic" w:hAnsi="Times New Roman" w:cs="Times New Roman"/>
          <w:sz w:val="24"/>
        </w:rPr>
        <w:t>.</w:t>
      </w:r>
    </w:p>
    <w:p w14:paraId="4AE9C706"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When </w:t>
      </w:r>
      <w:r w:rsidRPr="00483A87">
        <w:rPr>
          <w:rFonts w:ascii="Times New Roman" w:eastAsia="Malgun Gothic" w:hAnsi="Times New Roman" w:cs="Times New Roman"/>
          <w:sz w:val="24"/>
        </w:rPr>
        <w:t>medication is prescribed by an internal physician in</w:t>
      </w:r>
      <w:r w:rsidRPr="00483A87">
        <w:rPr>
          <w:rFonts w:ascii="Times New Roman" w:hAnsi="Times New Roman" w:cs="Times New Roman"/>
          <w:sz w:val="24"/>
        </w:rPr>
        <w:t xml:space="preserve"> an</w:t>
      </w:r>
      <w:r w:rsidRPr="00483A87">
        <w:rPr>
          <w:rFonts w:ascii="Times New Roman" w:eastAsia="Malgun Gothic" w:hAnsi="Times New Roman" w:cs="Times New Roman"/>
          <w:sz w:val="24"/>
        </w:rPr>
        <w:t xml:space="preserve"> LTCF, the physician reviews the pharmacist's comprehensive medication review and fills out the medication reconciliation decision and the response form. When medication is prescribed by an external physician outside the LTCF, the medication reconciliation request form is delivered in writing through the guardian, and the prescribing physician who confirms </w:t>
      </w:r>
      <w:r w:rsidRPr="00483A87">
        <w:rPr>
          <w:rFonts w:ascii="Times New Roman" w:hAnsi="Times New Roman" w:cs="Times New Roman"/>
          <w:sz w:val="24"/>
        </w:rPr>
        <w:t xml:space="preserve">that action has been taken, prepares the medication reconciliation decision and response form, and delivers it to the LTCF through </w:t>
      </w:r>
      <w:r w:rsidRPr="00483A87">
        <w:rPr>
          <w:rFonts w:ascii="Times New Roman" w:hAnsi="Times New Roman" w:cs="Times New Roman"/>
          <w:sz w:val="24"/>
        </w:rPr>
        <w:lastRenderedPageBreak/>
        <w:t xml:space="preserve">the guardian. </w:t>
      </w:r>
    </w:p>
    <w:p w14:paraId="0584FBD0"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Actions are classified as no medication reconciliation, medication reconciliation present (discontinuation of medication, change of prescription to another medication, adjustment of prescription dose, route of administration, change of dosage form, addition of prescription medication, etc.), </w:t>
      </w:r>
      <w:r w:rsidRPr="00483A87">
        <w:rPr>
          <w:rFonts w:ascii="Times New Roman" w:eastAsia="Malgun Gothic" w:hAnsi="Times New Roman" w:cs="Times New Roman"/>
          <w:sz w:val="24"/>
        </w:rPr>
        <w:t>and medication reconciliation required but no reconciliation.</w:t>
      </w:r>
    </w:p>
    <w:p w14:paraId="59BD0ABD" w14:textId="77777777" w:rsidR="00331077" w:rsidRPr="00483A87" w:rsidRDefault="00331077" w:rsidP="00331077">
      <w:pPr>
        <w:spacing w:line="480" w:lineRule="auto"/>
        <w:rPr>
          <w:rFonts w:ascii="Times New Roman" w:hAnsi="Times New Roman" w:cs="Times New Roman"/>
          <w:sz w:val="24"/>
        </w:rPr>
      </w:pPr>
    </w:p>
    <w:p w14:paraId="4451ECFF"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STEP 8: Conducting multidisciplinary case conference through </w:t>
      </w:r>
      <w:r w:rsidRPr="00483A87">
        <w:rPr>
          <w:rFonts w:ascii="Times New Roman" w:eastAsia="Malgun Gothic" w:hAnsi="Times New Roman" w:cs="Times New Roman"/>
          <w:sz w:val="24"/>
        </w:rPr>
        <w:t>the cooperation of multidisciplinary teams (physicians, pharmacists, nurses, and nursing home workers)</w:t>
      </w:r>
    </w:p>
    <w:p w14:paraId="15FDC18A"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Propositions by pharmacist</w:t>
      </w:r>
      <w:r w:rsidRPr="00483A87">
        <w:rPr>
          <w:rFonts w:ascii="Times New Roman" w:eastAsia="Malgun Gothic" w:hAnsi="Times New Roman" w:cs="Times New Roman"/>
          <w:sz w:val="24"/>
        </w:rPr>
        <w:t>s will be discussed with the physicians, nurses, and nursing home workers</w:t>
      </w:r>
      <w:r w:rsidRPr="00483A87">
        <w:rPr>
          <w:rFonts w:ascii="Times New Roman" w:hAnsi="Times New Roman" w:cs="Times New Roman"/>
          <w:sz w:val="24"/>
        </w:rPr>
        <w:t xml:space="preserve"> with the goal of developing a </w:t>
      </w:r>
      <w:proofErr w:type="spellStart"/>
      <w:r w:rsidRPr="00483A87">
        <w:rPr>
          <w:rFonts w:ascii="Times New Roman" w:hAnsi="Times New Roman" w:cs="Times New Roman"/>
          <w:sz w:val="24"/>
        </w:rPr>
        <w:t>deprescribing</w:t>
      </w:r>
      <w:proofErr w:type="spellEnd"/>
      <w:r w:rsidRPr="00483A87">
        <w:rPr>
          <w:rFonts w:ascii="Times New Roman" w:hAnsi="Times New Roman" w:cs="Times New Roman"/>
          <w:sz w:val="24"/>
        </w:rPr>
        <w:t xml:space="preserve"> plan that will be validated with the participants or their guardians before being enacted.</w:t>
      </w:r>
    </w:p>
    <w:p w14:paraId="42F688E0"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Multidisciplinary teams (physician</w:t>
      </w:r>
      <w:r w:rsidRPr="00483A87">
        <w:rPr>
          <w:rFonts w:ascii="Times New Roman" w:eastAsia="Malgun Gothic" w:hAnsi="Times New Roman" w:cs="Times New Roman"/>
          <w:sz w:val="24"/>
        </w:rPr>
        <w:t>s, pharmacists, nurses, and nursing home workers) attend a multidisciplinary case conference once a month to discuss with participants who need intervention, identify problems</w:t>
      </w:r>
      <w:r w:rsidRPr="00483A87">
        <w:rPr>
          <w:rFonts w:ascii="Times New Roman" w:hAnsi="Times New Roman" w:cs="Times New Roman"/>
          <w:sz w:val="24"/>
        </w:rPr>
        <w:t>, establish an intervention plan, and then conduct medication reconciliation for participants who need</w:t>
      </w:r>
      <w:r w:rsidRPr="00483A87">
        <w:rPr>
          <w:rFonts w:ascii="Times New Roman" w:eastAsia="Malgun Gothic" w:hAnsi="Times New Roman" w:cs="Times New Roman"/>
          <w:sz w:val="24"/>
        </w:rPr>
        <w:t xml:space="preserve"> intervention through multidisciplinary discussions.</w:t>
      </w:r>
    </w:p>
    <w:p w14:paraId="06EDC6A1"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After the conference, the pharmacist creates a multidisciplinary case conference form.</w:t>
      </w:r>
    </w:p>
    <w:p w14:paraId="6AE9CC60" w14:textId="77777777" w:rsidR="00331077" w:rsidRPr="00483A87" w:rsidRDefault="00331077" w:rsidP="00331077">
      <w:pPr>
        <w:spacing w:line="480" w:lineRule="auto"/>
        <w:rPr>
          <w:rFonts w:ascii="Times New Roman" w:hAnsi="Times New Roman" w:cs="Times New Roman"/>
          <w:sz w:val="24"/>
        </w:rPr>
      </w:pPr>
    </w:p>
    <w:p w14:paraId="2652806E"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STEP 9: Sharing of comprehensive medication review results, </w:t>
      </w:r>
      <w:proofErr w:type="spellStart"/>
      <w:r w:rsidRPr="00483A87">
        <w:rPr>
          <w:rFonts w:ascii="Times New Roman" w:hAnsi="Times New Roman" w:cs="Times New Roman"/>
          <w:sz w:val="24"/>
        </w:rPr>
        <w:t>deprescribing</w:t>
      </w:r>
      <w:proofErr w:type="spellEnd"/>
      <w:r w:rsidRPr="00483A87">
        <w:rPr>
          <w:rFonts w:ascii="Times New Roman" w:hAnsi="Times New Roman" w:cs="Times New Roman"/>
          <w:sz w:val="24"/>
        </w:rPr>
        <w:t>, and participant management</w:t>
      </w:r>
    </w:p>
    <w:p w14:paraId="4615B1AF"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 xml:space="preserve">In the case of outpatient treatment at an external hospital or clinic (when medication is prescribed by an external physician outside the LTCF), the results of the comprehensive </w:t>
      </w:r>
      <w:r w:rsidRPr="00483A87">
        <w:rPr>
          <w:rFonts w:ascii="Times New Roman" w:hAnsi="Times New Roman" w:cs="Times New Roman"/>
          <w:sz w:val="24"/>
        </w:rPr>
        <w:lastRenderedPageBreak/>
        <w:t xml:space="preserve">medication review and </w:t>
      </w:r>
      <w:proofErr w:type="spellStart"/>
      <w:r w:rsidRPr="00483A87">
        <w:rPr>
          <w:rFonts w:ascii="Times New Roman" w:hAnsi="Times New Roman" w:cs="Times New Roman"/>
          <w:sz w:val="24"/>
        </w:rPr>
        <w:t>deprescription</w:t>
      </w:r>
      <w:proofErr w:type="spellEnd"/>
      <w:r w:rsidRPr="00483A87">
        <w:rPr>
          <w:rFonts w:ascii="Times New Roman" w:hAnsi="Times New Roman" w:cs="Times New Roman"/>
          <w:sz w:val="24"/>
        </w:rPr>
        <w:t xml:space="preserve"> are delivered in writing through the guardian.</w:t>
      </w:r>
    </w:p>
    <w:p w14:paraId="494E697B" w14:textId="77777777" w:rsidR="00331077" w:rsidRPr="00483A87" w:rsidRDefault="00331077" w:rsidP="00331077">
      <w:pPr>
        <w:spacing w:line="480" w:lineRule="auto"/>
        <w:rPr>
          <w:rFonts w:ascii="Times New Roman" w:hAnsi="Times New Roman" w:cs="Times New Roman"/>
          <w:sz w:val="24"/>
        </w:rPr>
      </w:pPr>
    </w:p>
    <w:p w14:paraId="60316488"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10: Nursing care and monitoring of ADEs by nurses</w:t>
      </w:r>
    </w:p>
    <w:p w14:paraId="61EA8EDE"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Nursing care includes monitoring basic vital signs, recording possible ADEs that may have occurred before or during admission to a</w:t>
      </w:r>
      <w:r w:rsidRPr="00483A87">
        <w:rPr>
          <w:rFonts w:ascii="Times New Roman" w:eastAsia="Malgun Gothic" w:hAnsi="Times New Roman" w:cs="Times New Roman"/>
          <w:sz w:val="24"/>
        </w:rPr>
        <w:t xml:space="preserve">n LTCF, and identifying adverse events. In addition, a medication </w:t>
      </w:r>
      <w:r w:rsidRPr="00483A87">
        <w:rPr>
          <w:rFonts w:ascii="Times New Roman" w:hAnsi="Times New Roman" w:cs="Times New Roman"/>
          <w:sz w:val="24"/>
        </w:rPr>
        <w:t>intake form is filled out, and participant accidents are monitored and reported.</w:t>
      </w:r>
    </w:p>
    <w:p w14:paraId="7E77D634" w14:textId="77777777" w:rsidR="00331077" w:rsidRPr="00483A87" w:rsidRDefault="00331077" w:rsidP="00331077">
      <w:pPr>
        <w:spacing w:line="480" w:lineRule="auto"/>
        <w:rPr>
          <w:rFonts w:ascii="Times New Roman" w:hAnsi="Times New Roman" w:cs="Times New Roman"/>
          <w:sz w:val="24"/>
        </w:rPr>
      </w:pPr>
    </w:p>
    <w:p w14:paraId="566176E2"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STEP 11: Medication management education for the multidisciplinary teams in the LTCF</w:t>
      </w:r>
    </w:p>
    <w:p w14:paraId="741AAED0" w14:textId="77777777" w:rsidR="00331077" w:rsidRPr="00483A87" w:rsidRDefault="00331077" w:rsidP="00331077">
      <w:pPr>
        <w:spacing w:line="480" w:lineRule="auto"/>
        <w:rPr>
          <w:rFonts w:ascii="Times New Roman" w:hAnsi="Times New Roman" w:cs="Times New Roman"/>
          <w:sz w:val="24"/>
        </w:rPr>
      </w:pPr>
      <w:r w:rsidRPr="00483A87">
        <w:rPr>
          <w:rFonts w:ascii="Times New Roman" w:hAnsi="Times New Roman" w:cs="Times New Roman"/>
          <w:sz w:val="24"/>
        </w:rPr>
        <w:t>The education</w:t>
      </w:r>
      <w:r w:rsidRPr="00483A87">
        <w:rPr>
          <w:rFonts w:ascii="Times New Roman" w:eastAsia="Malgun Gothic" w:hAnsi="Times New Roman" w:cs="Times New Roman"/>
          <w:sz w:val="24"/>
        </w:rPr>
        <w:t>al con</w:t>
      </w:r>
      <w:r w:rsidRPr="00483A87">
        <w:rPr>
          <w:rFonts w:ascii="Times New Roman" w:hAnsi="Times New Roman" w:cs="Times New Roman"/>
          <w:sz w:val="24"/>
        </w:rPr>
        <w:t>tent includes the importance of proper management of multidisciplinary medication use, program information, examples of appropriate management of multidisciplinary medication use, and actual medication reconciliation. Education is provided in person or</w:t>
      </w:r>
      <w:r w:rsidRPr="00483A87">
        <w:rPr>
          <w:rFonts w:ascii="Times New Roman" w:eastAsia="Malgun Gothic" w:hAnsi="Times New Roman" w:cs="Times New Roman"/>
          <w:sz w:val="24"/>
        </w:rPr>
        <w:t xml:space="preserve"> through virtual</w:t>
      </w:r>
      <w:r w:rsidRPr="00483A87">
        <w:rPr>
          <w:rFonts w:ascii="Times New Roman" w:hAnsi="Times New Roman" w:cs="Times New Roman"/>
          <w:sz w:val="24"/>
        </w:rPr>
        <w:t xml:space="preserve"> or video consultations.</w:t>
      </w:r>
    </w:p>
    <w:p w14:paraId="2F56B039" w14:textId="77777777" w:rsidR="001A4C36" w:rsidRPr="00331077" w:rsidRDefault="001A4C36" w:rsidP="002208B7">
      <w:pPr>
        <w:spacing w:line="480" w:lineRule="auto"/>
        <w:rPr>
          <w:rFonts w:ascii="Times New Roman" w:hAnsi="Times New Roman" w:cs="Times New Roman"/>
          <w:sz w:val="24"/>
        </w:rPr>
      </w:pPr>
    </w:p>
    <w:sectPr w:rsidR="001A4C36" w:rsidRPr="00331077">
      <w:footerReference w:type="default" r:id="rId8"/>
      <w:pgSz w:w="11906" w:h="16838"/>
      <w:pgMar w:top="1701" w:right="1440" w:bottom="1440" w:left="1440" w:header="851" w:footer="992" w:gutter="0"/>
      <w:cols w:space="42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6cid:commentId w16cid:paraId="5D161720" w16cid:durableId="2880984B"/>
  <w16cid:commentId w16cid:paraId="2E3371E0" w16cid:durableId="2880922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23E7F" w14:textId="77777777" w:rsidR="00847865" w:rsidRDefault="00847865">
      <w:pPr>
        <w:spacing w:after="0" w:line="240" w:lineRule="auto"/>
      </w:pPr>
      <w:r>
        <w:separator/>
      </w:r>
    </w:p>
  </w:endnote>
  <w:endnote w:type="continuationSeparator" w:id="0">
    <w:p w14:paraId="52E1734A" w14:textId="77777777" w:rsidR="00847865" w:rsidRDefault="00847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827178"/>
      <w:docPartObj>
        <w:docPartGallery w:val="Page Numbers (Bottom of Page)"/>
        <w:docPartUnique/>
      </w:docPartObj>
    </w:sdtPr>
    <w:sdtEndPr/>
    <w:sdtContent>
      <w:p w14:paraId="7F7B016E" w14:textId="71E85C49" w:rsidR="007F4442" w:rsidRDefault="007F4442">
        <w:pPr>
          <w:pStyle w:val="Footer"/>
          <w:jc w:val="center"/>
        </w:pPr>
        <w:r>
          <w:fldChar w:fldCharType="begin"/>
        </w:r>
        <w:r>
          <w:instrText>PAGE   \* MERGEFORMAT</w:instrText>
        </w:r>
        <w:r>
          <w:fldChar w:fldCharType="separate"/>
        </w:r>
        <w:r w:rsidR="0021225D" w:rsidRPr="0021225D">
          <w:rPr>
            <w:noProof/>
            <w:lang w:val="ko-KR"/>
          </w:rPr>
          <w:t>9</w:t>
        </w:r>
        <w:r>
          <w:fldChar w:fldCharType="end"/>
        </w:r>
      </w:p>
    </w:sdtContent>
  </w:sdt>
  <w:p w14:paraId="5E53D861" w14:textId="77777777" w:rsidR="009539FB" w:rsidRPr="000F1B14" w:rsidRDefault="00953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050EE" w14:textId="77777777" w:rsidR="00847865" w:rsidRDefault="00847865">
      <w:pPr>
        <w:spacing w:after="0" w:line="240" w:lineRule="auto"/>
      </w:pPr>
      <w:r>
        <w:separator/>
      </w:r>
    </w:p>
  </w:footnote>
  <w:footnote w:type="continuationSeparator" w:id="0">
    <w:p w14:paraId="64F8C6BE" w14:textId="77777777" w:rsidR="00847865" w:rsidRDefault="00847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0E7AFE"/>
    <w:multiLevelType w:val="hybridMultilevel"/>
    <w:tmpl w:val="AD60E2FC"/>
    <w:lvl w:ilvl="0" w:tplc="541C059E">
      <w:start w:val="1"/>
      <w:numFmt w:val="decimal"/>
      <w:lvlText w:val="%1."/>
      <w:lvlJc w:val="left"/>
      <w:pPr>
        <w:ind w:left="1080" w:hanging="360"/>
      </w:pPr>
      <w:rPr>
        <w:i w:val="0"/>
      </w:rPr>
    </w:lvl>
    <w:lvl w:ilvl="1" w:tplc="FDDC7D56" w:tentative="1">
      <w:start w:val="1"/>
      <w:numFmt w:val="lowerLetter"/>
      <w:lvlText w:val="%2."/>
      <w:lvlJc w:val="left"/>
      <w:pPr>
        <w:ind w:left="1800" w:hanging="360"/>
      </w:pPr>
    </w:lvl>
    <w:lvl w:ilvl="2" w:tplc="E92826C0" w:tentative="1">
      <w:start w:val="1"/>
      <w:numFmt w:val="lowerRoman"/>
      <w:lvlText w:val="%3."/>
      <w:lvlJc w:val="right"/>
      <w:pPr>
        <w:ind w:left="2520" w:hanging="180"/>
      </w:pPr>
    </w:lvl>
    <w:lvl w:ilvl="3" w:tplc="DF4E32C8" w:tentative="1">
      <w:start w:val="1"/>
      <w:numFmt w:val="decimal"/>
      <w:lvlText w:val="%4."/>
      <w:lvlJc w:val="left"/>
      <w:pPr>
        <w:ind w:left="3240" w:hanging="360"/>
      </w:pPr>
    </w:lvl>
    <w:lvl w:ilvl="4" w:tplc="75E429F8" w:tentative="1">
      <w:start w:val="1"/>
      <w:numFmt w:val="lowerLetter"/>
      <w:lvlText w:val="%5."/>
      <w:lvlJc w:val="left"/>
      <w:pPr>
        <w:ind w:left="3960" w:hanging="360"/>
      </w:pPr>
    </w:lvl>
    <w:lvl w:ilvl="5" w:tplc="58D09E38" w:tentative="1">
      <w:start w:val="1"/>
      <w:numFmt w:val="lowerRoman"/>
      <w:lvlText w:val="%6."/>
      <w:lvlJc w:val="right"/>
      <w:pPr>
        <w:ind w:left="4680" w:hanging="180"/>
      </w:pPr>
    </w:lvl>
    <w:lvl w:ilvl="6" w:tplc="67BCF800" w:tentative="1">
      <w:start w:val="1"/>
      <w:numFmt w:val="decimal"/>
      <w:lvlText w:val="%7."/>
      <w:lvlJc w:val="left"/>
      <w:pPr>
        <w:ind w:left="5400" w:hanging="360"/>
      </w:pPr>
    </w:lvl>
    <w:lvl w:ilvl="7" w:tplc="AF8E6C36" w:tentative="1">
      <w:start w:val="1"/>
      <w:numFmt w:val="lowerLetter"/>
      <w:lvlText w:val="%8."/>
      <w:lvlJc w:val="left"/>
      <w:pPr>
        <w:ind w:left="6120" w:hanging="360"/>
      </w:pPr>
    </w:lvl>
    <w:lvl w:ilvl="8" w:tplc="E8BC2C10"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DateAndTim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8B7"/>
    <w:rsid w:val="000F1B14"/>
    <w:rsid w:val="00146F55"/>
    <w:rsid w:val="00180C8D"/>
    <w:rsid w:val="001A4C36"/>
    <w:rsid w:val="0021225D"/>
    <w:rsid w:val="002208B7"/>
    <w:rsid w:val="00241C87"/>
    <w:rsid w:val="00246E91"/>
    <w:rsid w:val="002D7EE1"/>
    <w:rsid w:val="00331077"/>
    <w:rsid w:val="00337346"/>
    <w:rsid w:val="00396BA8"/>
    <w:rsid w:val="003F4B8C"/>
    <w:rsid w:val="00414C79"/>
    <w:rsid w:val="004519BF"/>
    <w:rsid w:val="00472F10"/>
    <w:rsid w:val="004E1A41"/>
    <w:rsid w:val="004E5D31"/>
    <w:rsid w:val="0050425F"/>
    <w:rsid w:val="0058347C"/>
    <w:rsid w:val="005A32E7"/>
    <w:rsid w:val="00693FBE"/>
    <w:rsid w:val="006D5D38"/>
    <w:rsid w:val="006E7A82"/>
    <w:rsid w:val="006F11C3"/>
    <w:rsid w:val="007D0EA6"/>
    <w:rsid w:val="007F4442"/>
    <w:rsid w:val="00800176"/>
    <w:rsid w:val="00847865"/>
    <w:rsid w:val="008F6774"/>
    <w:rsid w:val="009113B5"/>
    <w:rsid w:val="009539FB"/>
    <w:rsid w:val="009D19DF"/>
    <w:rsid w:val="009D3B24"/>
    <w:rsid w:val="00A02302"/>
    <w:rsid w:val="00A10DBC"/>
    <w:rsid w:val="00AA0057"/>
    <w:rsid w:val="00B15212"/>
    <w:rsid w:val="00B67B05"/>
    <w:rsid w:val="00B93219"/>
    <w:rsid w:val="00CF0FBC"/>
    <w:rsid w:val="00D1567C"/>
    <w:rsid w:val="00D16F0A"/>
    <w:rsid w:val="00EB2577"/>
    <w:rsid w:val="00FE1BF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91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B7"/>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9FB"/>
    <w:pPr>
      <w:tabs>
        <w:tab w:val="center" w:pos="4513"/>
        <w:tab w:val="right" w:pos="9026"/>
      </w:tabs>
      <w:snapToGrid w:val="0"/>
    </w:pPr>
  </w:style>
  <w:style w:type="character" w:customStyle="1" w:styleId="HeaderChar">
    <w:name w:val="Header Char"/>
    <w:basedOn w:val="DefaultParagraphFont"/>
    <w:link w:val="Header"/>
    <w:uiPriority w:val="99"/>
    <w:rsid w:val="009539FB"/>
  </w:style>
  <w:style w:type="paragraph" w:styleId="Footer">
    <w:name w:val="footer"/>
    <w:basedOn w:val="Normal"/>
    <w:link w:val="FooterChar"/>
    <w:uiPriority w:val="99"/>
    <w:unhideWhenUsed/>
    <w:rsid w:val="009539FB"/>
    <w:pPr>
      <w:tabs>
        <w:tab w:val="center" w:pos="4513"/>
        <w:tab w:val="right" w:pos="9026"/>
      </w:tabs>
      <w:snapToGrid w:val="0"/>
    </w:pPr>
  </w:style>
  <w:style w:type="character" w:customStyle="1" w:styleId="FooterChar">
    <w:name w:val="Footer Char"/>
    <w:basedOn w:val="DefaultParagraphFont"/>
    <w:link w:val="Footer"/>
    <w:uiPriority w:val="99"/>
    <w:rsid w:val="009539FB"/>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Cs w:val="20"/>
    </w:rPr>
  </w:style>
  <w:style w:type="paragraph" w:styleId="BalloonText">
    <w:name w:val="Balloon Text"/>
    <w:basedOn w:val="Normal"/>
    <w:link w:val="BalloonTextChar"/>
    <w:uiPriority w:val="99"/>
    <w:semiHidden/>
    <w:unhideWhenUsed/>
    <w:rsid w:val="00EB257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257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F6774"/>
    <w:rPr>
      <w:b/>
      <w:bCs/>
    </w:rPr>
  </w:style>
  <w:style w:type="character" w:customStyle="1" w:styleId="CommentSubjectChar">
    <w:name w:val="Comment Subject Char"/>
    <w:basedOn w:val="CommentTextChar"/>
    <w:link w:val="CommentSubject"/>
    <w:uiPriority w:val="99"/>
    <w:semiHidden/>
    <w:rsid w:val="008F6774"/>
    <w:rPr>
      <w:b/>
      <w:bCs/>
      <w:szCs w:val="20"/>
    </w:rPr>
  </w:style>
  <w:style w:type="paragraph" w:styleId="ListParagraph">
    <w:name w:val="List Paragraph"/>
    <w:basedOn w:val="Normal"/>
    <w:uiPriority w:val="34"/>
    <w:qFormat/>
    <w:rsid w:val="008F6774"/>
    <w:pPr>
      <w:widowControl/>
      <w:wordWrap/>
      <w:autoSpaceDE/>
      <w:autoSpaceDN/>
      <w:spacing w:after="0" w:line="240" w:lineRule="auto"/>
      <w:ind w:left="720"/>
      <w:contextualSpacing/>
      <w:jc w:val="left"/>
    </w:pPr>
    <w:rPr>
      <w:rFonts w:ascii="Times New Roman" w:eastAsiaTheme="minorHAnsi" w:hAnsi="Times New Roman"/>
      <w:kern w:val="0"/>
      <w:sz w:val="24"/>
      <w:szCs w:val="24"/>
      <w:lang w:eastAsia="en-US"/>
    </w:rPr>
  </w:style>
  <w:style w:type="character" w:styleId="Hyperlink">
    <w:name w:val="Hyperlink"/>
    <w:basedOn w:val="DefaultParagraphFont"/>
    <w:uiPriority w:val="99"/>
    <w:unhideWhenUsed/>
    <w:rsid w:val="007D0EA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8B7"/>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9FB"/>
    <w:pPr>
      <w:tabs>
        <w:tab w:val="center" w:pos="4513"/>
        <w:tab w:val="right" w:pos="9026"/>
      </w:tabs>
      <w:snapToGrid w:val="0"/>
    </w:pPr>
  </w:style>
  <w:style w:type="character" w:customStyle="1" w:styleId="HeaderChar">
    <w:name w:val="Header Char"/>
    <w:basedOn w:val="DefaultParagraphFont"/>
    <w:link w:val="Header"/>
    <w:uiPriority w:val="99"/>
    <w:rsid w:val="009539FB"/>
  </w:style>
  <w:style w:type="paragraph" w:styleId="Footer">
    <w:name w:val="footer"/>
    <w:basedOn w:val="Normal"/>
    <w:link w:val="FooterChar"/>
    <w:uiPriority w:val="99"/>
    <w:unhideWhenUsed/>
    <w:rsid w:val="009539FB"/>
    <w:pPr>
      <w:tabs>
        <w:tab w:val="center" w:pos="4513"/>
        <w:tab w:val="right" w:pos="9026"/>
      </w:tabs>
      <w:snapToGrid w:val="0"/>
    </w:pPr>
  </w:style>
  <w:style w:type="character" w:customStyle="1" w:styleId="FooterChar">
    <w:name w:val="Footer Char"/>
    <w:basedOn w:val="DefaultParagraphFont"/>
    <w:link w:val="Footer"/>
    <w:uiPriority w:val="99"/>
    <w:rsid w:val="009539FB"/>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Cs w:val="20"/>
    </w:rPr>
  </w:style>
  <w:style w:type="paragraph" w:styleId="BalloonText">
    <w:name w:val="Balloon Text"/>
    <w:basedOn w:val="Normal"/>
    <w:link w:val="BalloonTextChar"/>
    <w:uiPriority w:val="99"/>
    <w:semiHidden/>
    <w:unhideWhenUsed/>
    <w:rsid w:val="00EB257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2577"/>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F6774"/>
    <w:rPr>
      <w:b/>
      <w:bCs/>
    </w:rPr>
  </w:style>
  <w:style w:type="character" w:customStyle="1" w:styleId="CommentSubjectChar">
    <w:name w:val="Comment Subject Char"/>
    <w:basedOn w:val="CommentTextChar"/>
    <w:link w:val="CommentSubject"/>
    <w:uiPriority w:val="99"/>
    <w:semiHidden/>
    <w:rsid w:val="008F6774"/>
    <w:rPr>
      <w:b/>
      <w:bCs/>
      <w:szCs w:val="20"/>
    </w:rPr>
  </w:style>
  <w:style w:type="paragraph" w:styleId="ListParagraph">
    <w:name w:val="List Paragraph"/>
    <w:basedOn w:val="Normal"/>
    <w:uiPriority w:val="34"/>
    <w:qFormat/>
    <w:rsid w:val="008F6774"/>
    <w:pPr>
      <w:widowControl/>
      <w:wordWrap/>
      <w:autoSpaceDE/>
      <w:autoSpaceDN/>
      <w:spacing w:after="0" w:line="240" w:lineRule="auto"/>
      <w:ind w:left="720"/>
      <w:contextualSpacing/>
      <w:jc w:val="left"/>
    </w:pPr>
    <w:rPr>
      <w:rFonts w:ascii="Times New Roman" w:eastAsiaTheme="minorHAnsi" w:hAnsi="Times New Roman"/>
      <w:kern w:val="0"/>
      <w:sz w:val="24"/>
      <w:szCs w:val="24"/>
      <w:lang w:eastAsia="en-US"/>
    </w:rPr>
  </w:style>
  <w:style w:type="character" w:styleId="Hyperlink">
    <w:name w:val="Hyperlink"/>
    <w:basedOn w:val="DefaultParagraphFont"/>
    <w:uiPriority w:val="99"/>
    <w:unhideWhenUsed/>
    <w:rsid w:val="007D0E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1961</Words>
  <Characters>11179</Characters>
  <Application>Microsoft Office Word</Application>
  <DocSecurity>0</DocSecurity>
  <Lines>93</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이혜준(가정의학교실)</dc:creator>
  <cp:lastModifiedBy>Maiden Pacang</cp:lastModifiedBy>
  <cp:revision>3</cp:revision>
  <dcterms:created xsi:type="dcterms:W3CDTF">2023-11-14T02:05:00Z</dcterms:created>
  <dcterms:modified xsi:type="dcterms:W3CDTF">2024-02-28T13:15:00Z</dcterms:modified>
</cp:coreProperties>
</file>