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407"/>
        <w:gridCol w:w="452"/>
      </w:tblGrid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  <w:t>10 years before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  <w:t>5 years before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  <w:t>Baseline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  <w:t>n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b/>
                <w:color w:val="000000"/>
                <w:sz w:val="20"/>
                <w:szCs w:val="15"/>
                <w:lang w:val="en-GB" w:eastAsia="ca-ES"/>
              </w:rPr>
              <w:t>%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398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9.98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188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4.71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184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4.61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169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4.24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151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3.79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135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3.39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2.96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2.51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2.51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98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2.46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93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2.33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2.23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2.06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1.96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1.96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1.76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1.76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67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1.68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65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1.63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62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1.55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60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1.50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1.10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1.10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1.08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1.00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1.00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1.00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0.98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0.78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0.75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30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0.75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0.73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0.70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0.60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No multimorbidity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0.50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0.40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Lipid metabolism disorders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lastRenderedPageBreak/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0.35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0.33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Minor conditions &amp; sensory impairm.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0.30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Neurocognitive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Metabolic &amp; vascular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Male-predominant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Musculoskeletal &amp; chronic pain synd.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  <w:tr w:rsidR="006C2150" w:rsidRPr="00A711FB" w:rsidTr="004E6D11">
        <w:trPr>
          <w:trHeight w:val="227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Heart diseases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Unspecific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150" w:rsidRPr="00A711FB" w:rsidRDefault="006C2150" w:rsidP="004E6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</w:pPr>
            <w:r w:rsidRPr="00A711FB">
              <w:rPr>
                <w:rFonts w:ascii="Arial" w:eastAsia="Times New Roman" w:hAnsi="Arial" w:cs="Arial"/>
                <w:color w:val="000000"/>
                <w:sz w:val="15"/>
                <w:szCs w:val="15"/>
                <w:lang w:val="en-GB" w:eastAsia="ca-ES"/>
              </w:rPr>
              <w:t>0.28</w:t>
            </w:r>
          </w:p>
        </w:tc>
      </w:tr>
    </w:tbl>
    <w:p w:rsidR="006C2150" w:rsidRPr="00A711FB" w:rsidRDefault="006C2150" w:rsidP="006C2150">
      <w:pPr>
        <w:rPr>
          <w:lang w:val="en-GB"/>
        </w:rPr>
      </w:pPr>
    </w:p>
    <w:p w:rsidR="006C2150" w:rsidRPr="00A711FB" w:rsidRDefault="006C2150" w:rsidP="006C2150">
      <w:pPr>
        <w:jc w:val="both"/>
        <w:rPr>
          <w:lang w:val="en-GB"/>
        </w:rPr>
      </w:pPr>
      <w:r w:rsidRPr="00A711FB">
        <w:rPr>
          <w:lang w:val="en-GB"/>
        </w:rPr>
        <w:t>Table S4. Topmost frequent chronic multimorbidity cluster trajectories across the three defined time points (10 years before, 5 years before, baseline), filtered up to 90% cumulative frequency.</w:t>
      </w:r>
      <w:bookmarkStart w:id="0" w:name="_GoBack"/>
      <w:bookmarkEnd w:id="0"/>
    </w:p>
    <w:sectPr w:rsidR="006C2150" w:rsidRPr="00A711FB" w:rsidSect="008C2D17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50"/>
    <w:rsid w:val="00205CA8"/>
    <w:rsid w:val="00463A9D"/>
    <w:rsid w:val="00464911"/>
    <w:rsid w:val="006C2150"/>
    <w:rsid w:val="007D2A75"/>
    <w:rsid w:val="008C23C7"/>
    <w:rsid w:val="008C2D17"/>
    <w:rsid w:val="00AB4353"/>
    <w:rsid w:val="00BA1041"/>
    <w:rsid w:val="00C550BE"/>
    <w:rsid w:val="00D0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D60E"/>
  <w15:chartTrackingRefBased/>
  <w15:docId w15:val="{5B89CCAE-F6B4-4FD9-B19A-DFD0B116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50"/>
  </w:style>
  <w:style w:type="paragraph" w:styleId="Ttulo1">
    <w:name w:val="heading 1"/>
    <w:basedOn w:val="Normal"/>
    <w:next w:val="Normal"/>
    <w:link w:val="Ttulo1Car"/>
    <w:uiPriority w:val="9"/>
    <w:qFormat/>
    <w:rsid w:val="006C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05CA8"/>
    <w:pPr>
      <w:keepNext/>
      <w:keepLines/>
      <w:spacing w:before="120" w:after="120" w:line="276" w:lineRule="auto"/>
      <w:jc w:val="center"/>
      <w:outlineLvl w:val="3"/>
    </w:pPr>
    <w:rPr>
      <w:rFonts w:asciiTheme="majorHAnsi" w:eastAsiaTheme="majorEastAsia" w:hAnsiTheme="majorHAnsi" w:cstheme="majorBidi"/>
      <w:b/>
      <w:bCs/>
      <w:iCs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205CA8"/>
    <w:rPr>
      <w:rFonts w:asciiTheme="majorHAnsi" w:eastAsiaTheme="majorEastAsia" w:hAnsiTheme="majorHAnsi" w:cstheme="majorBidi"/>
      <w:b/>
      <w:bCs/>
      <w:iCs/>
      <w:sz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6C21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6C2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1A599-DC95-4A24-A729-1722CA30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Lleal Custey</dc:creator>
  <cp:keywords/>
  <dc:description/>
  <cp:lastModifiedBy>Marina Lleal Custey</cp:lastModifiedBy>
  <cp:revision>13</cp:revision>
  <dcterms:created xsi:type="dcterms:W3CDTF">2023-11-02T11:23:00Z</dcterms:created>
  <dcterms:modified xsi:type="dcterms:W3CDTF">2023-11-02T11:48:00Z</dcterms:modified>
</cp:coreProperties>
</file>