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8782" w14:textId="1CA81729" w:rsidR="00F779F4" w:rsidRDefault="00F25B04">
      <w:pPr>
        <w:rPr>
          <w:rFonts w:ascii="Times" w:hAnsi="Times"/>
        </w:rPr>
      </w:pPr>
      <w:r w:rsidRPr="00F25B04">
        <w:rPr>
          <w:rFonts w:ascii="Times" w:hAnsi="Times"/>
        </w:rPr>
        <w:t xml:space="preserve">Appendix </w:t>
      </w:r>
      <w:r w:rsidR="00C87CAF">
        <w:rPr>
          <w:rFonts w:ascii="Times" w:hAnsi="Times"/>
        </w:rPr>
        <w:t>2</w:t>
      </w:r>
      <w:r w:rsidRPr="00F25B04">
        <w:rPr>
          <w:rFonts w:ascii="Times" w:hAnsi="Times"/>
        </w:rPr>
        <w:t>. Subgroup analysis for comparisons on satisfaction with discharge medication information, overall discharge information, and inpatient experience between pre-and post-implementation survey groups</w:t>
      </w:r>
    </w:p>
    <w:p w14:paraId="0CCB6D93" w14:textId="59E84951" w:rsidR="00F25B04" w:rsidRPr="00F25B04" w:rsidRDefault="00F25B04">
      <w:pPr>
        <w:rPr>
          <w:rFonts w:ascii="Times" w:hAnsi="Times"/>
        </w:rPr>
      </w:pPr>
      <w:r>
        <w:rPr>
          <w:rFonts w:ascii="Times" w:hAnsi="Times"/>
          <w:bdr w:val="single" w:sz="4" w:space="0" w:color="auto"/>
        </w:rPr>
        <w:t xml:space="preserve"> A </w:t>
      </w:r>
      <w:r>
        <w:rPr>
          <w:rFonts w:ascii="Times" w:hAnsi="Times"/>
        </w:rPr>
        <w:t xml:space="preserve"> Patient-reported outcomes</w:t>
      </w:r>
      <w:r w:rsidR="00C92829">
        <w:rPr>
          <w:rFonts w:ascii="Times" w:hAnsi="Times"/>
        </w:rPr>
        <w:t xml:space="preserve"> (N=1894)</w:t>
      </w:r>
    </w:p>
    <w:p w14:paraId="7782566B" w14:textId="0908F72F" w:rsidR="00F25B04" w:rsidRDefault="00F25B04">
      <w:r w:rsidRPr="003D4006">
        <w:rPr>
          <w:b/>
          <w:bCs/>
          <w:noProof/>
          <w:sz w:val="22"/>
          <w:szCs w:val="22"/>
        </w:rPr>
        <w:drawing>
          <wp:inline distT="0" distB="0" distL="0" distR="0" wp14:anchorId="37FF7907" wp14:editId="10D4E2D9">
            <wp:extent cx="5943600" cy="3200400"/>
            <wp:effectExtent l="0" t="0" r="12700" b="12700"/>
            <wp:docPr id="1357425349" name="Chart 13574253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2D4CF33" w14:textId="058D161E" w:rsidR="00F25B04" w:rsidRPr="00F25B04" w:rsidRDefault="00F25B04">
      <w:pPr>
        <w:rPr>
          <w:rFonts w:ascii="Times" w:hAnsi="Times"/>
        </w:rPr>
      </w:pPr>
      <w:r w:rsidRPr="00F25B04">
        <w:rPr>
          <w:rFonts w:ascii="Times" w:hAnsi="Times"/>
          <w:bdr w:val="single" w:sz="4" w:space="0" w:color="auto"/>
        </w:rPr>
        <w:t xml:space="preserve"> B </w:t>
      </w:r>
      <w:r>
        <w:rPr>
          <w:rFonts w:ascii="Times" w:hAnsi="Times"/>
        </w:rPr>
        <w:t xml:space="preserve"> Caregiver-reported outcomes</w:t>
      </w:r>
      <w:r w:rsidR="00C92829">
        <w:rPr>
          <w:rFonts w:ascii="Times" w:hAnsi="Times"/>
        </w:rPr>
        <w:t xml:space="preserve"> (N=797)</w:t>
      </w:r>
    </w:p>
    <w:p w14:paraId="7D46CFC0" w14:textId="2798E45A" w:rsidR="00F25B04" w:rsidRDefault="00F25B04">
      <w:r w:rsidRPr="003D4006">
        <w:rPr>
          <w:b/>
          <w:bCs/>
          <w:noProof/>
          <w:sz w:val="22"/>
          <w:szCs w:val="22"/>
        </w:rPr>
        <w:drawing>
          <wp:inline distT="0" distB="0" distL="0" distR="0" wp14:anchorId="2F7D2238" wp14:editId="0EABC286">
            <wp:extent cx="5943600" cy="3200400"/>
            <wp:effectExtent l="0" t="0" r="12700" b="12700"/>
            <wp:docPr id="96553832" name="Chart 965538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E9670C2" w14:textId="77777777" w:rsidR="00F25B04" w:rsidRPr="0081601C" w:rsidRDefault="00F25B04" w:rsidP="00F25B04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81601C">
        <w:rPr>
          <w:rFonts w:ascii="Times New Roman" w:hAnsi="Times New Roman" w:cs="Times New Roman"/>
          <w:sz w:val="16"/>
          <w:szCs w:val="16"/>
        </w:rPr>
        <w:t>P-value was obtained from the Mann-Whitney U test. *: p&lt;0.05; **: p&lt;0.01; ***:p&lt;0.001</w:t>
      </w:r>
    </w:p>
    <w:sectPr w:rsidR="00F25B04" w:rsidRPr="00816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DC"/>
    <w:rsid w:val="00033FF4"/>
    <w:rsid w:val="00040E99"/>
    <w:rsid w:val="00096C01"/>
    <w:rsid w:val="00097983"/>
    <w:rsid w:val="000A058B"/>
    <w:rsid w:val="000D6C0A"/>
    <w:rsid w:val="0014705D"/>
    <w:rsid w:val="00156869"/>
    <w:rsid w:val="00160A8E"/>
    <w:rsid w:val="001639B1"/>
    <w:rsid w:val="00183F02"/>
    <w:rsid w:val="00186D14"/>
    <w:rsid w:val="0018705E"/>
    <w:rsid w:val="001C769A"/>
    <w:rsid w:val="001F55AA"/>
    <w:rsid w:val="002057E3"/>
    <w:rsid w:val="0026795A"/>
    <w:rsid w:val="00287106"/>
    <w:rsid w:val="002919F9"/>
    <w:rsid w:val="00292D4C"/>
    <w:rsid w:val="002A3B36"/>
    <w:rsid w:val="002B5D12"/>
    <w:rsid w:val="002C2C4D"/>
    <w:rsid w:val="00304E6B"/>
    <w:rsid w:val="0031098E"/>
    <w:rsid w:val="00326590"/>
    <w:rsid w:val="00335CD2"/>
    <w:rsid w:val="00350803"/>
    <w:rsid w:val="00384B42"/>
    <w:rsid w:val="003C1752"/>
    <w:rsid w:val="003C7359"/>
    <w:rsid w:val="003C7C31"/>
    <w:rsid w:val="003D7C1A"/>
    <w:rsid w:val="00404D57"/>
    <w:rsid w:val="004078DF"/>
    <w:rsid w:val="00431905"/>
    <w:rsid w:val="004610FE"/>
    <w:rsid w:val="004729AE"/>
    <w:rsid w:val="00482C06"/>
    <w:rsid w:val="004B5010"/>
    <w:rsid w:val="004B7974"/>
    <w:rsid w:val="004D1F49"/>
    <w:rsid w:val="004D6091"/>
    <w:rsid w:val="005662A2"/>
    <w:rsid w:val="005B6161"/>
    <w:rsid w:val="005E10E0"/>
    <w:rsid w:val="005E15DC"/>
    <w:rsid w:val="00602241"/>
    <w:rsid w:val="0061781F"/>
    <w:rsid w:val="006268C4"/>
    <w:rsid w:val="00665FAB"/>
    <w:rsid w:val="00666B72"/>
    <w:rsid w:val="006D6ACB"/>
    <w:rsid w:val="006F61D0"/>
    <w:rsid w:val="007077F7"/>
    <w:rsid w:val="007A0685"/>
    <w:rsid w:val="007D13DE"/>
    <w:rsid w:val="00800EED"/>
    <w:rsid w:val="008333A4"/>
    <w:rsid w:val="00884DD8"/>
    <w:rsid w:val="0089616E"/>
    <w:rsid w:val="008A4F5A"/>
    <w:rsid w:val="008D3DD6"/>
    <w:rsid w:val="008D5D36"/>
    <w:rsid w:val="009056E8"/>
    <w:rsid w:val="0091398C"/>
    <w:rsid w:val="00930A63"/>
    <w:rsid w:val="009321FC"/>
    <w:rsid w:val="009601DC"/>
    <w:rsid w:val="00980B81"/>
    <w:rsid w:val="00981CE1"/>
    <w:rsid w:val="00987826"/>
    <w:rsid w:val="00996907"/>
    <w:rsid w:val="00996DA5"/>
    <w:rsid w:val="009B5760"/>
    <w:rsid w:val="009D16DD"/>
    <w:rsid w:val="009D7841"/>
    <w:rsid w:val="009F0CDA"/>
    <w:rsid w:val="00A10314"/>
    <w:rsid w:val="00A1418B"/>
    <w:rsid w:val="00A63376"/>
    <w:rsid w:val="00A726B9"/>
    <w:rsid w:val="00A72B57"/>
    <w:rsid w:val="00A802D8"/>
    <w:rsid w:val="00A94628"/>
    <w:rsid w:val="00B14098"/>
    <w:rsid w:val="00B21360"/>
    <w:rsid w:val="00B25E28"/>
    <w:rsid w:val="00B2656E"/>
    <w:rsid w:val="00B3596A"/>
    <w:rsid w:val="00B36CA1"/>
    <w:rsid w:val="00B36F33"/>
    <w:rsid w:val="00B42B65"/>
    <w:rsid w:val="00B45D9A"/>
    <w:rsid w:val="00BB29E0"/>
    <w:rsid w:val="00BC1022"/>
    <w:rsid w:val="00BC4806"/>
    <w:rsid w:val="00BC49E0"/>
    <w:rsid w:val="00BD0C45"/>
    <w:rsid w:val="00BD296D"/>
    <w:rsid w:val="00BE0BCA"/>
    <w:rsid w:val="00BE16AA"/>
    <w:rsid w:val="00C16D9B"/>
    <w:rsid w:val="00C33AB6"/>
    <w:rsid w:val="00C40733"/>
    <w:rsid w:val="00C76628"/>
    <w:rsid w:val="00C854B5"/>
    <w:rsid w:val="00C87CAF"/>
    <w:rsid w:val="00C918ED"/>
    <w:rsid w:val="00C92023"/>
    <w:rsid w:val="00C92829"/>
    <w:rsid w:val="00CA6793"/>
    <w:rsid w:val="00CE6468"/>
    <w:rsid w:val="00CF236B"/>
    <w:rsid w:val="00D1604F"/>
    <w:rsid w:val="00D47DB9"/>
    <w:rsid w:val="00D54A4E"/>
    <w:rsid w:val="00D5504A"/>
    <w:rsid w:val="00D64904"/>
    <w:rsid w:val="00D7430F"/>
    <w:rsid w:val="00D93E4C"/>
    <w:rsid w:val="00DA1817"/>
    <w:rsid w:val="00DA46B9"/>
    <w:rsid w:val="00DD0049"/>
    <w:rsid w:val="00DD6EBD"/>
    <w:rsid w:val="00DE0C1C"/>
    <w:rsid w:val="00E35F6F"/>
    <w:rsid w:val="00E92C20"/>
    <w:rsid w:val="00EB4A55"/>
    <w:rsid w:val="00EE1B8B"/>
    <w:rsid w:val="00F11A36"/>
    <w:rsid w:val="00F25B04"/>
    <w:rsid w:val="00F3633A"/>
    <w:rsid w:val="00F52AE4"/>
    <w:rsid w:val="00F63393"/>
    <w:rsid w:val="00F760D5"/>
    <w:rsid w:val="00F779F4"/>
    <w:rsid w:val="00FA52AB"/>
    <w:rsid w:val="00FA5C32"/>
    <w:rsid w:val="00FC4878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4B7CBC"/>
  <w15:chartTrackingRefBased/>
  <w15:docId w15:val="{FE06D255-6ACB-364E-B50C-F5898F11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Pre-implementation (N=845)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Sheet1!$D$2:$D$6</c:f>
                <c:numCache>
                  <c:formatCode>General</c:formatCode>
                  <c:ptCount val="5"/>
                  <c:pt idx="0">
                    <c:v>1.84</c:v>
                  </c:pt>
                  <c:pt idx="1">
                    <c:v>1.89</c:v>
                  </c:pt>
                  <c:pt idx="2">
                    <c:v>1.77</c:v>
                  </c:pt>
                  <c:pt idx="3">
                    <c:v>1.85</c:v>
                  </c:pt>
                  <c:pt idx="4">
                    <c:v>2.0099999999999998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Clarity of medication information</c:v>
                </c:pt>
                <c:pt idx="1">
                  <c:v>Adequacy of medication information</c:v>
                </c:pt>
                <c:pt idx="2">
                  <c:v>Usefulness of medication information*</c:v>
                </c:pt>
                <c:pt idx="3">
                  <c:v>Overall discharge information***</c:v>
                </c:pt>
                <c:pt idx="4">
                  <c:v>Inpatient experience***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8.0500000000000007</c:v>
                </c:pt>
                <c:pt idx="1">
                  <c:v>8.06</c:v>
                </c:pt>
                <c:pt idx="2">
                  <c:v>8.1199999999999992</c:v>
                </c:pt>
                <c:pt idx="3">
                  <c:v>8.0299999999999994</c:v>
                </c:pt>
                <c:pt idx="4">
                  <c:v>7.82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A5-2649-B3ED-DC28F336D9A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Post-implementation (N=1049)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Sheet1!$E$2:$E$6</c:f>
                <c:numCache>
                  <c:formatCode>General</c:formatCode>
                  <c:ptCount val="5"/>
                  <c:pt idx="0">
                    <c:v>1.72</c:v>
                  </c:pt>
                  <c:pt idx="1">
                    <c:v>1.77</c:v>
                  </c:pt>
                  <c:pt idx="2">
                    <c:v>1.71</c:v>
                  </c:pt>
                  <c:pt idx="3">
                    <c:v>1.51</c:v>
                  </c:pt>
                  <c:pt idx="4">
                    <c:v>1.81</c:v>
                  </c:pt>
                </c:numCache>
              </c:numRef>
            </c:plus>
            <c:minus>
              <c:numRef>
                <c:f>Sheet1!$E$2:$E$6</c:f>
                <c:numCache>
                  <c:formatCode>General</c:formatCode>
                  <c:ptCount val="5"/>
                  <c:pt idx="0">
                    <c:v>1.72</c:v>
                  </c:pt>
                  <c:pt idx="1">
                    <c:v>1.77</c:v>
                  </c:pt>
                  <c:pt idx="2">
                    <c:v>1.71</c:v>
                  </c:pt>
                  <c:pt idx="3">
                    <c:v>1.51</c:v>
                  </c:pt>
                  <c:pt idx="4">
                    <c:v>1.81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Clarity of medication information</c:v>
                </c:pt>
                <c:pt idx="1">
                  <c:v>Adequacy of medication information</c:v>
                </c:pt>
                <c:pt idx="2">
                  <c:v>Usefulness of medication information*</c:v>
                </c:pt>
                <c:pt idx="3">
                  <c:v>Overall discharge information***</c:v>
                </c:pt>
                <c:pt idx="4">
                  <c:v>Inpatient experience***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8.25</c:v>
                </c:pt>
                <c:pt idx="1">
                  <c:v>8.24</c:v>
                </c:pt>
                <c:pt idx="2">
                  <c:v>8.33</c:v>
                </c:pt>
                <c:pt idx="3">
                  <c:v>8.41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A5-2649-B3ED-DC28F336D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8915696"/>
        <c:axId val="1788943792"/>
      </c:barChart>
      <c:catAx>
        <c:axId val="178891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8943792"/>
        <c:crosses val="autoZero"/>
        <c:auto val="1"/>
        <c:lblAlgn val="ctr"/>
        <c:lblOffset val="100"/>
        <c:noMultiLvlLbl val="0"/>
      </c:catAx>
      <c:valAx>
        <c:axId val="1788943792"/>
        <c:scaling>
          <c:orientation val="minMax"/>
          <c:max val="10"/>
          <c:min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Satisfaction</a:t>
                </a:r>
                <a:r>
                  <a:rPr lang="en-US" baseline="0"/>
                  <a:t> score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3148148148148147E-3"/>
              <c:y val="0.302750906136732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891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Pre-implementation (N=420)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Sheet1!$D$2:$D$6</c:f>
                <c:numCache>
                  <c:formatCode>General</c:formatCode>
                  <c:ptCount val="5"/>
                  <c:pt idx="0">
                    <c:v>1.82</c:v>
                  </c:pt>
                  <c:pt idx="1">
                    <c:v>1.98</c:v>
                  </c:pt>
                  <c:pt idx="2">
                    <c:v>1.85</c:v>
                  </c:pt>
                  <c:pt idx="3">
                    <c:v>1.67</c:v>
                  </c:pt>
                  <c:pt idx="4">
                    <c:v>1.79</c:v>
                  </c:pt>
                </c:numCache>
              </c:numRef>
            </c:plus>
            <c:minus>
              <c:numRef>
                <c:f>Sheet1!$D$2:$D$6</c:f>
                <c:numCache>
                  <c:formatCode>General</c:formatCode>
                  <c:ptCount val="5"/>
                  <c:pt idx="0">
                    <c:v>1.82</c:v>
                  </c:pt>
                  <c:pt idx="1">
                    <c:v>1.98</c:v>
                  </c:pt>
                  <c:pt idx="2">
                    <c:v>1.85</c:v>
                  </c:pt>
                  <c:pt idx="3">
                    <c:v>1.67</c:v>
                  </c:pt>
                  <c:pt idx="4">
                    <c:v>1.79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Clarity of medication information*</c:v>
                </c:pt>
                <c:pt idx="1">
                  <c:v>Adequacy of medication information</c:v>
                </c:pt>
                <c:pt idx="2">
                  <c:v>Usefulness of medication information</c:v>
                </c:pt>
                <c:pt idx="3">
                  <c:v>Overall discharge information</c:v>
                </c:pt>
                <c:pt idx="4">
                  <c:v>Inpatient experience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7.72</c:v>
                </c:pt>
                <c:pt idx="1">
                  <c:v>7.69</c:v>
                </c:pt>
                <c:pt idx="2">
                  <c:v>7.97</c:v>
                </c:pt>
                <c:pt idx="3">
                  <c:v>7.85</c:v>
                </c:pt>
                <c:pt idx="4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AC-BB4A-9729-790E5CF394E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Post-implementation (N=377)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Sheet1!$E$2:$E$6</c:f>
                <c:numCache>
                  <c:formatCode>General</c:formatCode>
                  <c:ptCount val="5"/>
                  <c:pt idx="0">
                    <c:v>1.59</c:v>
                  </c:pt>
                  <c:pt idx="1">
                    <c:v>1.73</c:v>
                  </c:pt>
                  <c:pt idx="2">
                    <c:v>1.67</c:v>
                  </c:pt>
                  <c:pt idx="3">
                    <c:v>1.5</c:v>
                  </c:pt>
                  <c:pt idx="4">
                    <c:v>1.72</c:v>
                  </c:pt>
                </c:numCache>
              </c:numRef>
            </c:plus>
            <c:minus>
              <c:numRef>
                <c:f>Sheet1!$E$2:$E$6</c:f>
                <c:numCache>
                  <c:formatCode>General</c:formatCode>
                  <c:ptCount val="5"/>
                  <c:pt idx="0">
                    <c:v>1.59</c:v>
                  </c:pt>
                  <c:pt idx="1">
                    <c:v>1.73</c:v>
                  </c:pt>
                  <c:pt idx="2">
                    <c:v>1.67</c:v>
                  </c:pt>
                  <c:pt idx="3">
                    <c:v>1.5</c:v>
                  </c:pt>
                  <c:pt idx="4">
                    <c:v>1.72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Clarity of medication information*</c:v>
                </c:pt>
                <c:pt idx="1">
                  <c:v>Adequacy of medication information</c:v>
                </c:pt>
                <c:pt idx="2">
                  <c:v>Usefulness of medication information</c:v>
                </c:pt>
                <c:pt idx="3">
                  <c:v>Overall discharge information</c:v>
                </c:pt>
                <c:pt idx="4">
                  <c:v>Inpatient experience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8.02</c:v>
                </c:pt>
                <c:pt idx="1">
                  <c:v>7.93</c:v>
                </c:pt>
                <c:pt idx="2">
                  <c:v>8.1</c:v>
                </c:pt>
                <c:pt idx="3">
                  <c:v>8.07</c:v>
                </c:pt>
                <c:pt idx="4">
                  <c:v>7.69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AC-BB4A-9729-790E5CF39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8915696"/>
        <c:axId val="1788943792"/>
      </c:barChart>
      <c:catAx>
        <c:axId val="178891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8943792"/>
        <c:crosses val="autoZero"/>
        <c:auto val="1"/>
        <c:lblAlgn val="ctr"/>
        <c:lblOffset val="100"/>
        <c:noMultiLvlLbl val="0"/>
      </c:catAx>
      <c:valAx>
        <c:axId val="1788943792"/>
        <c:scaling>
          <c:orientation val="minMax"/>
          <c:max val="10"/>
          <c:min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Satisfaction</a:t>
                </a:r>
                <a:r>
                  <a:rPr lang="en-US" baseline="0"/>
                  <a:t> score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3148148148148147E-3"/>
              <c:y val="0.302750906136732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891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Yingxuan</dc:creator>
  <cp:keywords/>
  <dc:description/>
  <cp:lastModifiedBy>WANG, Yingxuan</cp:lastModifiedBy>
  <cp:revision>2</cp:revision>
  <dcterms:created xsi:type="dcterms:W3CDTF">2024-06-24T04:37:00Z</dcterms:created>
  <dcterms:modified xsi:type="dcterms:W3CDTF">2024-06-24T10:39:00Z</dcterms:modified>
</cp:coreProperties>
</file>