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D8F2F" w14:textId="77777777" w:rsidR="00650F7A" w:rsidRPr="00650F7A" w:rsidRDefault="00650F7A" w:rsidP="00650F7A">
      <w:pPr>
        <w:widowControl/>
        <w:snapToGrid w:val="0"/>
        <w:spacing w:after="200" w:line="480" w:lineRule="auto"/>
        <w:contextualSpacing/>
        <w:jc w:val="center"/>
        <w:rPr>
          <w:rFonts w:ascii="Times New Roman" w:eastAsia="MS Mincho" w:hAnsi="Times New Roman" w:cs="Times New Roman"/>
          <w:color w:val="000000"/>
          <w:sz w:val="36"/>
          <w:szCs w:val="36"/>
          <w:lang w:eastAsia="ja-JP"/>
        </w:rPr>
      </w:pPr>
      <w:r w:rsidRPr="00650F7A">
        <w:rPr>
          <w:rFonts w:ascii="Times New Roman" w:eastAsia="MS Mincho" w:hAnsi="Times New Roman" w:cs="Times New Roman"/>
          <w:color w:val="000000"/>
          <w:sz w:val="36"/>
          <w:szCs w:val="36"/>
          <w:lang w:eastAsia="ja-JP"/>
        </w:rPr>
        <w:t>Supplementary Data</w:t>
      </w:r>
    </w:p>
    <w:p w14:paraId="5CBAC0C2" w14:textId="77777777" w:rsidR="00650F7A" w:rsidRPr="00650F7A" w:rsidRDefault="00650F7A" w:rsidP="00650F7A">
      <w:pPr>
        <w:snapToGrid w:val="0"/>
        <w:spacing w:line="360" w:lineRule="auto"/>
        <w:jc w:val="left"/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</w:pPr>
      <w:r w:rsidRPr="00650F7A">
        <w:rPr>
          <w:rFonts w:ascii="Times New Roman" w:eastAsia="MS Mincho" w:hAnsi="Times New Roman" w:cs="Times New Roman" w:hint="eastAsia"/>
          <w:b/>
          <w:color w:val="000000"/>
          <w:sz w:val="24"/>
          <w:szCs w:val="24"/>
          <w:lang w:eastAsia="ja-JP"/>
        </w:rPr>
        <w:t>Appendix 1.</w:t>
      </w:r>
      <w:r w:rsidRPr="00650F7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650F7A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>The details of the search strategy</w:t>
      </w:r>
    </w:p>
    <w:p w14:paraId="0381C5A5" w14:textId="77777777" w:rsidR="00650F7A" w:rsidRPr="00650F7A" w:rsidRDefault="00650F7A" w:rsidP="00650F7A">
      <w:pPr>
        <w:snapToGrid w:val="0"/>
        <w:spacing w:line="360" w:lineRule="auto"/>
        <w:jc w:val="left"/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</w:pPr>
      <w:r w:rsidRPr="00650F7A">
        <w:rPr>
          <w:rFonts w:ascii="Times New Roman" w:eastAsia="MS Mincho" w:hAnsi="Times New Roman" w:cs="Times New Roman" w:hint="eastAsia"/>
          <w:b/>
          <w:color w:val="000000"/>
          <w:sz w:val="24"/>
          <w:szCs w:val="24"/>
          <w:lang w:eastAsia="ja-JP"/>
        </w:rPr>
        <w:t>Appendix 2</w:t>
      </w:r>
      <w:r w:rsidRPr="00650F7A"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ja-JP"/>
        </w:rPr>
        <w:t xml:space="preserve">. </w:t>
      </w:r>
      <w:r w:rsidRPr="00650F7A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>Methodological quality assessment</w:t>
      </w:r>
    </w:p>
    <w:p w14:paraId="24880563" w14:textId="2397D824" w:rsidR="00650F7A" w:rsidRPr="00650F7A" w:rsidRDefault="00650F7A" w:rsidP="00650F7A">
      <w:pPr>
        <w:snapToGrid w:val="0"/>
        <w:spacing w:line="360" w:lineRule="auto"/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</w:pPr>
      <w:r w:rsidRPr="00650F7A"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ja-JP"/>
        </w:rPr>
        <w:t>Appendix</w:t>
      </w:r>
      <w:r w:rsidR="00CB38B5"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ja-JP"/>
        </w:rPr>
        <w:t xml:space="preserve"> </w:t>
      </w:r>
      <w:r w:rsidRPr="00650F7A">
        <w:rPr>
          <w:rFonts w:ascii="Times New Roman" w:eastAsia="MS Mincho" w:hAnsi="Times New Roman" w:cs="Times New Roman" w:hint="eastAsia"/>
          <w:b/>
          <w:color w:val="000000"/>
          <w:sz w:val="24"/>
          <w:szCs w:val="24"/>
          <w:lang w:eastAsia="ja-JP"/>
        </w:rPr>
        <w:t>3</w:t>
      </w:r>
      <w:r w:rsidRPr="00650F7A">
        <w:rPr>
          <w:rFonts w:ascii="Times New Roman" w:eastAsia="MS Mincho" w:hAnsi="Times New Roman" w:cs="Times New Roman"/>
          <w:b/>
          <w:color w:val="000000"/>
          <w:sz w:val="24"/>
          <w:szCs w:val="24"/>
          <w:lang w:eastAsia="ja-JP"/>
        </w:rPr>
        <w:t>.</w:t>
      </w:r>
      <w:r w:rsidRPr="00650F7A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 xml:space="preserve"> </w:t>
      </w:r>
      <w:r w:rsidR="000D690F" w:rsidRPr="000D690F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>Forest plot of the association between multidimensional frailty and mortality in different settings.</w:t>
      </w:r>
    </w:p>
    <w:p w14:paraId="11437485" w14:textId="08F2610B" w:rsidR="00650F7A" w:rsidRDefault="00650F7A" w:rsidP="00650F7A">
      <w:pPr>
        <w:snapToGrid w:val="0"/>
        <w:spacing w:line="360" w:lineRule="auto"/>
        <w:rPr>
          <w:rFonts w:ascii="Times New Roman" w:eastAsia="MS Mincho" w:hAnsi="Times New Roman" w:cs="Times New Roman"/>
          <w:noProof/>
          <w:sz w:val="24"/>
          <w:szCs w:val="24"/>
          <w:lang w:eastAsia="ja-JP"/>
        </w:rPr>
      </w:pPr>
      <w:r w:rsidRPr="00650F7A">
        <w:rPr>
          <w:rFonts w:ascii="Times New Roman" w:eastAsia="MS Mincho" w:hAnsi="Times New Roman" w:cs="Times New Roman"/>
          <w:b/>
          <w:noProof/>
          <w:sz w:val="24"/>
          <w:szCs w:val="24"/>
          <w:lang w:eastAsia="ja-JP"/>
        </w:rPr>
        <w:t>Appendix 4.</w:t>
      </w:r>
      <w:r w:rsidR="000D690F">
        <w:rPr>
          <w:rFonts w:ascii="Times New Roman" w:eastAsia="MS Mincho" w:hAnsi="Times New Roman" w:cs="Times New Roman"/>
          <w:noProof/>
          <w:sz w:val="24"/>
          <w:szCs w:val="24"/>
          <w:lang w:eastAsia="ja-JP"/>
        </w:rPr>
        <w:t xml:space="preserve"> </w:t>
      </w:r>
      <w:r w:rsidR="000D690F" w:rsidRPr="000D690F">
        <w:rPr>
          <w:rFonts w:ascii="Times New Roman" w:eastAsia="MS Mincho" w:hAnsi="Times New Roman" w:cs="Times New Roman"/>
          <w:noProof/>
          <w:sz w:val="24"/>
          <w:szCs w:val="24"/>
          <w:lang w:eastAsia="ja-JP"/>
        </w:rPr>
        <w:t>Forest plot of the association between multidimensional frailty and mortality about different follow-up durations.</w:t>
      </w:r>
    </w:p>
    <w:p w14:paraId="5581A0D0" w14:textId="62AED4DE" w:rsidR="00817980" w:rsidRPr="00817980" w:rsidRDefault="00817980" w:rsidP="00650F7A">
      <w:pPr>
        <w:snapToGrid w:val="0"/>
        <w:spacing w:line="360" w:lineRule="auto"/>
        <w:rPr>
          <w:rFonts w:ascii="Times New Roman" w:eastAsia="MS Mincho" w:hAnsi="Times New Roman" w:cs="Times New Roman"/>
          <w:noProof/>
          <w:sz w:val="24"/>
          <w:szCs w:val="24"/>
          <w:lang w:eastAsia="ja-JP"/>
        </w:rPr>
      </w:pPr>
      <w:r w:rsidRPr="00650F7A">
        <w:rPr>
          <w:rFonts w:ascii="Times New Roman" w:eastAsia="MS Mincho" w:hAnsi="Times New Roman" w:cs="Times New Roman"/>
          <w:b/>
          <w:noProof/>
          <w:sz w:val="24"/>
          <w:szCs w:val="24"/>
          <w:lang w:eastAsia="ja-JP"/>
        </w:rPr>
        <w:t xml:space="preserve">Appendix </w:t>
      </w:r>
      <w:r>
        <w:rPr>
          <w:rFonts w:ascii="Times New Roman" w:eastAsia="MS Mincho" w:hAnsi="Times New Roman" w:cs="Times New Roman"/>
          <w:b/>
          <w:noProof/>
          <w:sz w:val="24"/>
          <w:szCs w:val="24"/>
          <w:lang w:eastAsia="ja-JP"/>
        </w:rPr>
        <w:t>5</w:t>
      </w:r>
      <w:r w:rsidRPr="00650F7A">
        <w:rPr>
          <w:rFonts w:ascii="Times New Roman" w:eastAsia="MS Mincho" w:hAnsi="Times New Roman" w:cs="Times New Roman"/>
          <w:b/>
          <w:noProof/>
          <w:sz w:val="24"/>
          <w:szCs w:val="24"/>
          <w:lang w:eastAsia="ja-JP"/>
        </w:rPr>
        <w:t>.</w:t>
      </w:r>
      <w:r>
        <w:rPr>
          <w:rFonts w:ascii="Times New Roman" w:eastAsia="MS Mincho" w:hAnsi="Times New Roman" w:cs="Times New Roman"/>
          <w:noProof/>
          <w:sz w:val="24"/>
          <w:szCs w:val="24"/>
          <w:lang w:eastAsia="ja-JP"/>
        </w:rPr>
        <w:t xml:space="preserve"> </w:t>
      </w:r>
      <w:r w:rsidRPr="000D690F">
        <w:rPr>
          <w:rFonts w:ascii="Times New Roman" w:eastAsia="MS Mincho" w:hAnsi="Times New Roman" w:cs="Times New Roman"/>
          <w:noProof/>
          <w:sz w:val="24"/>
          <w:szCs w:val="24"/>
          <w:lang w:eastAsia="ja-JP"/>
        </w:rPr>
        <w:t xml:space="preserve">Forest plot of the association between multidimensional frailty and mortality about different </w:t>
      </w:r>
      <w:r w:rsidRPr="00817980">
        <w:rPr>
          <w:rFonts w:ascii="Times New Roman" w:eastAsia="MS Mincho" w:hAnsi="Times New Roman" w:cs="Times New Roman"/>
          <w:noProof/>
          <w:sz w:val="24"/>
          <w:szCs w:val="24"/>
          <w:lang w:eastAsia="ja-JP"/>
        </w:rPr>
        <w:t>system diseases</w:t>
      </w:r>
      <w:r w:rsidRPr="000D690F">
        <w:rPr>
          <w:rFonts w:ascii="Times New Roman" w:eastAsia="MS Mincho" w:hAnsi="Times New Roman" w:cs="Times New Roman"/>
          <w:noProof/>
          <w:sz w:val="24"/>
          <w:szCs w:val="24"/>
          <w:lang w:eastAsia="ja-JP"/>
        </w:rPr>
        <w:t>.</w:t>
      </w:r>
    </w:p>
    <w:p w14:paraId="63D9C5B7" w14:textId="0F93F9AB" w:rsidR="00650F7A" w:rsidRPr="00650F7A" w:rsidRDefault="00650F7A" w:rsidP="00650F7A">
      <w:pPr>
        <w:snapToGrid w:val="0"/>
        <w:spacing w:line="360" w:lineRule="auto"/>
        <w:rPr>
          <w:rFonts w:ascii="Times New Roman" w:eastAsia="MS Mincho" w:hAnsi="Times New Roman" w:cs="Times New Roman"/>
          <w:noProof/>
          <w:sz w:val="24"/>
          <w:szCs w:val="24"/>
          <w:lang w:eastAsia="ja-JP"/>
        </w:rPr>
      </w:pPr>
      <w:r w:rsidRPr="00650F7A">
        <w:rPr>
          <w:rFonts w:ascii="Times New Roman" w:eastAsia="MS Mincho" w:hAnsi="Times New Roman" w:cs="Times New Roman"/>
          <w:b/>
          <w:noProof/>
          <w:sz w:val="24"/>
          <w:szCs w:val="24"/>
          <w:lang w:eastAsia="ja-JP"/>
        </w:rPr>
        <w:t xml:space="preserve">Appendix </w:t>
      </w:r>
      <w:r w:rsidR="00817980">
        <w:rPr>
          <w:rFonts w:ascii="Times New Roman" w:eastAsia="MS Mincho" w:hAnsi="Times New Roman" w:cs="Times New Roman"/>
          <w:b/>
          <w:noProof/>
          <w:sz w:val="24"/>
          <w:szCs w:val="24"/>
          <w:lang w:eastAsia="ja-JP"/>
        </w:rPr>
        <w:t>6</w:t>
      </w:r>
      <w:r w:rsidRPr="00650F7A">
        <w:rPr>
          <w:rFonts w:ascii="Times New Roman" w:eastAsia="MS Mincho" w:hAnsi="Times New Roman" w:cs="Times New Roman" w:hint="eastAsia"/>
          <w:b/>
          <w:noProof/>
          <w:sz w:val="24"/>
          <w:szCs w:val="24"/>
          <w:lang w:eastAsia="ja-JP"/>
        </w:rPr>
        <w:t>.</w:t>
      </w:r>
      <w:r w:rsidRPr="00650F7A">
        <w:rPr>
          <w:rFonts w:ascii="Times New Roman" w:eastAsia="MS Mincho" w:hAnsi="Times New Roman" w:cs="Times New Roman" w:hint="eastAsia"/>
          <w:noProof/>
          <w:sz w:val="24"/>
          <w:szCs w:val="24"/>
          <w:lang w:eastAsia="ja-JP"/>
        </w:rPr>
        <w:t xml:space="preserve"> </w:t>
      </w:r>
      <w:r w:rsidR="000D690F" w:rsidRPr="000D690F">
        <w:rPr>
          <w:rFonts w:ascii="Times New Roman" w:eastAsia="MS Mincho" w:hAnsi="Times New Roman" w:cs="Times New Roman"/>
          <w:noProof/>
          <w:sz w:val="24"/>
          <w:szCs w:val="24"/>
          <w:lang w:eastAsia="ja-JP"/>
        </w:rPr>
        <w:t>Forest plot of the association between multidimensional prefrailty and mortality in different settings.</w:t>
      </w:r>
      <w:r w:rsidRPr="00650F7A">
        <w:rPr>
          <w:rFonts w:ascii="Times New Roman" w:eastAsia="MS Mincho" w:hAnsi="Times New Roman" w:cs="Times New Roman"/>
          <w:noProof/>
          <w:sz w:val="24"/>
          <w:szCs w:val="24"/>
          <w:lang w:eastAsia="ja-JP"/>
        </w:rPr>
        <w:t>.</w:t>
      </w:r>
    </w:p>
    <w:p w14:paraId="3482EE8C" w14:textId="77D9A574" w:rsidR="00650F7A" w:rsidRDefault="00650F7A" w:rsidP="00650F7A">
      <w:pPr>
        <w:snapToGrid w:val="0"/>
        <w:spacing w:line="360" w:lineRule="auto"/>
        <w:rPr>
          <w:rFonts w:ascii="Times New Roman" w:eastAsia="MS Mincho" w:hAnsi="Times New Roman" w:cs="Times New Roman"/>
          <w:noProof/>
          <w:sz w:val="24"/>
          <w:szCs w:val="24"/>
          <w:lang w:eastAsia="ja-JP"/>
        </w:rPr>
      </w:pPr>
      <w:r w:rsidRPr="00650F7A">
        <w:rPr>
          <w:rFonts w:ascii="Times New Roman" w:eastAsia="MS Mincho" w:hAnsi="Times New Roman" w:cs="Times New Roman"/>
          <w:b/>
          <w:noProof/>
          <w:sz w:val="24"/>
          <w:szCs w:val="24"/>
          <w:lang w:eastAsia="ja-JP"/>
        </w:rPr>
        <w:t xml:space="preserve">Appendix </w:t>
      </w:r>
      <w:r w:rsidR="00817980">
        <w:rPr>
          <w:rFonts w:ascii="Times New Roman" w:eastAsia="MS Mincho" w:hAnsi="Times New Roman" w:cs="Times New Roman"/>
          <w:b/>
          <w:noProof/>
          <w:sz w:val="24"/>
          <w:szCs w:val="24"/>
          <w:lang w:eastAsia="ja-JP"/>
        </w:rPr>
        <w:t>7</w:t>
      </w:r>
      <w:r w:rsidRPr="00650F7A">
        <w:rPr>
          <w:rFonts w:ascii="Times New Roman" w:eastAsia="MS Mincho" w:hAnsi="Times New Roman" w:cs="Times New Roman"/>
          <w:noProof/>
          <w:sz w:val="24"/>
          <w:szCs w:val="24"/>
          <w:lang w:eastAsia="ja-JP"/>
        </w:rPr>
        <w:t xml:space="preserve">. </w:t>
      </w:r>
      <w:r w:rsidR="000D690F" w:rsidRPr="000D690F">
        <w:rPr>
          <w:rFonts w:ascii="Times New Roman" w:eastAsia="MS Mincho" w:hAnsi="Times New Roman" w:cs="Times New Roman"/>
          <w:noProof/>
          <w:sz w:val="24"/>
          <w:szCs w:val="24"/>
          <w:lang w:eastAsia="ja-JP"/>
        </w:rPr>
        <w:t>Forest plot of the association between multidimensional prefrailty and mortality about different follow-up durations.</w:t>
      </w:r>
    </w:p>
    <w:p w14:paraId="73AD564D" w14:textId="0D002861" w:rsidR="00817980" w:rsidRPr="00817980" w:rsidRDefault="00817980" w:rsidP="00650F7A">
      <w:pPr>
        <w:snapToGrid w:val="0"/>
        <w:spacing w:line="360" w:lineRule="auto"/>
        <w:rPr>
          <w:rFonts w:ascii="Times New Roman" w:eastAsia="MS Mincho" w:hAnsi="Times New Roman" w:cs="Times New Roman"/>
          <w:noProof/>
          <w:sz w:val="24"/>
          <w:szCs w:val="24"/>
          <w:lang w:eastAsia="ja-JP"/>
        </w:rPr>
      </w:pPr>
      <w:r w:rsidRPr="00650F7A">
        <w:rPr>
          <w:rFonts w:ascii="Times New Roman" w:eastAsia="MS Mincho" w:hAnsi="Times New Roman" w:cs="Times New Roman"/>
          <w:b/>
          <w:noProof/>
          <w:sz w:val="24"/>
          <w:szCs w:val="24"/>
          <w:lang w:eastAsia="ja-JP"/>
        </w:rPr>
        <w:t xml:space="preserve">Appendix </w:t>
      </w:r>
      <w:r>
        <w:rPr>
          <w:rFonts w:ascii="Times New Roman" w:eastAsia="MS Mincho" w:hAnsi="Times New Roman" w:cs="Times New Roman"/>
          <w:b/>
          <w:noProof/>
          <w:sz w:val="24"/>
          <w:szCs w:val="24"/>
          <w:lang w:eastAsia="ja-JP"/>
        </w:rPr>
        <w:t>8</w:t>
      </w:r>
      <w:r w:rsidRPr="00650F7A">
        <w:rPr>
          <w:rFonts w:ascii="Times New Roman" w:eastAsia="MS Mincho" w:hAnsi="Times New Roman" w:cs="Times New Roman"/>
          <w:noProof/>
          <w:sz w:val="24"/>
          <w:szCs w:val="24"/>
          <w:lang w:eastAsia="ja-JP"/>
        </w:rPr>
        <w:t xml:space="preserve">. </w:t>
      </w:r>
      <w:r w:rsidRPr="000D690F">
        <w:rPr>
          <w:rFonts w:ascii="Times New Roman" w:eastAsia="MS Mincho" w:hAnsi="Times New Roman" w:cs="Times New Roman"/>
          <w:noProof/>
          <w:sz w:val="24"/>
          <w:szCs w:val="24"/>
          <w:lang w:eastAsia="ja-JP"/>
        </w:rPr>
        <w:t>Forest plot of the association between multidimensional prefrailty and mortality about different</w:t>
      </w:r>
      <w:r w:rsidRPr="00817980">
        <w:rPr>
          <w:rFonts w:ascii="Times New Roman" w:eastAsia="MS Mincho" w:hAnsi="Times New Roman" w:cs="Times New Roman"/>
          <w:noProof/>
          <w:sz w:val="24"/>
          <w:szCs w:val="24"/>
          <w:lang w:eastAsia="ja-JP"/>
        </w:rPr>
        <w:t xml:space="preserve"> system diseases</w:t>
      </w:r>
      <w:r w:rsidRPr="000D690F">
        <w:rPr>
          <w:rFonts w:ascii="Times New Roman" w:eastAsia="MS Mincho" w:hAnsi="Times New Roman" w:cs="Times New Roman"/>
          <w:noProof/>
          <w:sz w:val="24"/>
          <w:szCs w:val="24"/>
          <w:lang w:eastAsia="ja-JP"/>
        </w:rPr>
        <w:t>.</w:t>
      </w:r>
    </w:p>
    <w:p w14:paraId="3E78C1B8" w14:textId="291D8DAC" w:rsidR="0091709D" w:rsidRDefault="00650F7A" w:rsidP="000D690F">
      <w:pPr>
        <w:spacing w:line="36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sectPr w:rsidR="0091709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50F7A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Appendix </w:t>
      </w:r>
      <w:r w:rsidR="0081798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9</w:t>
      </w:r>
      <w:r w:rsidRPr="00650F7A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. </w:t>
      </w:r>
      <w:r w:rsidR="000D690F" w:rsidRPr="000D690F">
        <w:rPr>
          <w:rFonts w:ascii="Times New Roman" w:eastAsia="MS Mincho" w:hAnsi="Times New Roman" w:cs="Times New Roman"/>
          <w:sz w:val="24"/>
          <w:szCs w:val="24"/>
          <w:lang w:eastAsia="ja-JP"/>
        </w:rPr>
        <w:t>Forest plot of the association between mortality and different models of multidimensional frailty measured by odds ratio (OR).</w:t>
      </w:r>
    </w:p>
    <w:p w14:paraId="062B1CAE" w14:textId="59AC34F7" w:rsidR="00650F7A" w:rsidRPr="00650F7A" w:rsidRDefault="00650F7A" w:rsidP="00650F7A">
      <w:pPr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650F7A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lastRenderedPageBreak/>
        <w:t>Appendix 1. The details of the search strategy</w:t>
      </w:r>
    </w:p>
    <w:p w14:paraId="3716F112" w14:textId="77777777" w:rsidR="00650F7A" w:rsidRPr="00650F7A" w:rsidRDefault="00650F7A" w:rsidP="00650F7A">
      <w:pPr>
        <w:rPr>
          <w:rFonts w:ascii="Times New Roman" w:eastAsia="等线" w:hAnsi="Times New Roman" w:cs="Times New Roman"/>
        </w:rPr>
      </w:pPr>
    </w:p>
    <w:p w14:paraId="7E44720C" w14:textId="47A0FBD4" w:rsidR="00650F7A" w:rsidRPr="00650F7A" w:rsidRDefault="00650F7A" w:rsidP="00650F7A">
      <w:pPr>
        <w:rPr>
          <w:rFonts w:ascii="Times New Roman" w:eastAsia="等线" w:hAnsi="Times New Roman" w:cs="Times New Roman"/>
        </w:rPr>
      </w:pPr>
      <w:r w:rsidRPr="00650F7A">
        <w:rPr>
          <w:rFonts w:ascii="Times New Roman" w:eastAsia="等线" w:hAnsi="Times New Roman" w:cs="Times New Roman"/>
        </w:rPr>
        <w:t xml:space="preserve">PubMed     </w:t>
      </w:r>
    </w:p>
    <w:p w14:paraId="22D8439A" w14:textId="77777777" w:rsidR="00650F7A" w:rsidRPr="00650F7A" w:rsidRDefault="00650F7A" w:rsidP="00650F7A">
      <w:pPr>
        <w:rPr>
          <w:rFonts w:ascii="Times New Roman" w:eastAsia="等线" w:hAnsi="Times New Roman" w:cs="Times New Roman"/>
        </w:rPr>
      </w:pPr>
      <w:r w:rsidRPr="00650F7A">
        <w:rPr>
          <w:rFonts w:ascii="Times New Roman" w:eastAsia="等线" w:hAnsi="Times New Roman" w:cs="Times New Roman"/>
        </w:rPr>
        <w:t>#1 ("multidimensional prognostic index"[Title/Abstract]) OR ("multidimensional frailty"[Title/Abstract])</w:t>
      </w:r>
    </w:p>
    <w:p w14:paraId="5DA62D8E" w14:textId="77777777" w:rsidR="00650F7A" w:rsidRPr="00650F7A" w:rsidRDefault="00650F7A" w:rsidP="00650F7A">
      <w:pPr>
        <w:rPr>
          <w:rFonts w:ascii="Times New Roman" w:eastAsia="等线" w:hAnsi="Times New Roman" w:cs="Times New Roman"/>
        </w:rPr>
      </w:pPr>
      <w:r w:rsidRPr="00650F7A">
        <w:rPr>
          <w:rFonts w:ascii="Times New Roman" w:eastAsia="等线" w:hAnsi="Times New Roman" w:cs="Times New Roman"/>
        </w:rPr>
        <w:t>#2 (</w:t>
      </w:r>
      <w:proofErr w:type="gramStart"/>
      <w:r w:rsidRPr="00650F7A">
        <w:rPr>
          <w:rFonts w:ascii="Times New Roman" w:eastAsia="等线" w:hAnsi="Times New Roman" w:cs="Times New Roman"/>
        </w:rPr>
        <w:t>Aged[</w:t>
      </w:r>
      <w:proofErr w:type="spellStart"/>
      <w:proofErr w:type="gramEnd"/>
      <w:r w:rsidRPr="00650F7A">
        <w:rPr>
          <w:rFonts w:ascii="Times New Roman" w:eastAsia="等线" w:hAnsi="Times New Roman" w:cs="Times New Roman"/>
        </w:rPr>
        <w:t>MeSH</w:t>
      </w:r>
      <w:proofErr w:type="spellEnd"/>
      <w:r w:rsidRPr="00650F7A">
        <w:rPr>
          <w:rFonts w:ascii="Times New Roman" w:eastAsia="等线" w:hAnsi="Times New Roman" w:cs="Times New Roman"/>
        </w:rPr>
        <w:t xml:space="preserve"> Terms]) OR (elder*[Title/Abstract] OR older*[Title/Abstract] OR senior*[Title/Abstract] OR geriatric*[Title/Abstract] OR old[Title/Abstract])</w:t>
      </w:r>
    </w:p>
    <w:p w14:paraId="4B2E8CC8" w14:textId="77777777" w:rsidR="00650F7A" w:rsidRPr="00650F7A" w:rsidRDefault="00650F7A" w:rsidP="00650F7A">
      <w:pPr>
        <w:rPr>
          <w:rFonts w:ascii="Times New Roman" w:eastAsia="等线" w:hAnsi="Times New Roman" w:cs="Times New Roman"/>
        </w:rPr>
      </w:pPr>
      <w:r w:rsidRPr="00650F7A">
        <w:rPr>
          <w:rFonts w:ascii="Times New Roman" w:eastAsia="等线" w:hAnsi="Times New Roman" w:cs="Times New Roman"/>
        </w:rPr>
        <w:t>#</w:t>
      </w:r>
      <w:proofErr w:type="gramStart"/>
      <w:r w:rsidRPr="00650F7A">
        <w:rPr>
          <w:rFonts w:ascii="Times New Roman" w:eastAsia="等线" w:hAnsi="Times New Roman" w:cs="Times New Roman"/>
        </w:rPr>
        <w:t>3  #</w:t>
      </w:r>
      <w:proofErr w:type="gramEnd"/>
      <w:r w:rsidRPr="00650F7A">
        <w:rPr>
          <w:rFonts w:ascii="Times New Roman" w:eastAsia="等线" w:hAnsi="Times New Roman" w:cs="Times New Roman"/>
        </w:rPr>
        <w:t xml:space="preserve">1 AND #2 </w:t>
      </w:r>
    </w:p>
    <w:p w14:paraId="53DBB995" w14:textId="77777777" w:rsidR="00650F7A" w:rsidRPr="00650F7A" w:rsidRDefault="00650F7A" w:rsidP="00650F7A">
      <w:pPr>
        <w:rPr>
          <w:rFonts w:ascii="Times New Roman" w:eastAsia="等线" w:hAnsi="Times New Roman" w:cs="Times New Roman"/>
        </w:rPr>
      </w:pPr>
    </w:p>
    <w:p w14:paraId="2F6B7CAB" w14:textId="05E9CD8F" w:rsidR="00650F7A" w:rsidRPr="00650F7A" w:rsidRDefault="00650F7A" w:rsidP="00650F7A">
      <w:pPr>
        <w:rPr>
          <w:rFonts w:ascii="Times New Roman" w:eastAsia="等线" w:hAnsi="Times New Roman" w:cs="Times New Roman"/>
        </w:rPr>
      </w:pPr>
      <w:r w:rsidRPr="00650F7A">
        <w:rPr>
          <w:rFonts w:ascii="Times New Roman" w:eastAsia="等线" w:hAnsi="Times New Roman" w:cs="Times New Roman"/>
        </w:rPr>
        <w:t>Web of Science</w:t>
      </w:r>
      <w:r w:rsidRPr="00650F7A">
        <w:rPr>
          <w:rFonts w:ascii="Times New Roman" w:eastAsia="等线" w:hAnsi="Times New Roman" w:cs="Times New Roman" w:hint="eastAsia"/>
        </w:rPr>
        <w:t>：</w:t>
      </w:r>
      <w:r w:rsidRPr="00650F7A">
        <w:rPr>
          <w:rFonts w:ascii="Times New Roman" w:eastAsia="等线" w:hAnsi="Times New Roman" w:cs="Times New Roman"/>
        </w:rPr>
        <w:t xml:space="preserve">   </w:t>
      </w:r>
    </w:p>
    <w:p w14:paraId="499A8968" w14:textId="20478416" w:rsidR="00650F7A" w:rsidRDefault="00650F7A" w:rsidP="00650F7A">
      <w:pPr>
        <w:rPr>
          <w:rFonts w:ascii="Times New Roman" w:eastAsia="等线" w:hAnsi="Times New Roman" w:cs="Times New Roman"/>
        </w:rPr>
      </w:pPr>
      <w:r w:rsidRPr="00650F7A">
        <w:rPr>
          <w:rFonts w:ascii="Times New Roman" w:eastAsia="等线" w:hAnsi="Times New Roman" w:cs="Times New Roman"/>
        </w:rPr>
        <w:t xml:space="preserve"> (TS</w:t>
      </w:r>
      <w:proofErr w:type="gramStart"/>
      <w:r w:rsidRPr="00650F7A">
        <w:rPr>
          <w:rFonts w:ascii="Times New Roman" w:eastAsia="等线" w:hAnsi="Times New Roman" w:cs="Times New Roman"/>
        </w:rPr>
        <w:t>=( "</w:t>
      </w:r>
      <w:proofErr w:type="gramEnd"/>
      <w:r w:rsidRPr="00650F7A">
        <w:rPr>
          <w:rFonts w:ascii="Times New Roman" w:eastAsia="等线" w:hAnsi="Times New Roman" w:cs="Times New Roman"/>
        </w:rPr>
        <w:t>multidimensional prognostic index" OR "multidimensional frailty")) AND TS=(Aged OR elder* OR older* OR senior* OR geriatric*)</w:t>
      </w:r>
    </w:p>
    <w:p w14:paraId="72A2F531" w14:textId="77777777" w:rsidR="00650F7A" w:rsidRPr="00650F7A" w:rsidRDefault="00650F7A" w:rsidP="00650F7A">
      <w:pPr>
        <w:rPr>
          <w:rFonts w:ascii="等线" w:eastAsia="等线" w:hAnsi="等线" w:cs="Times New Roman"/>
          <w:noProof/>
        </w:rPr>
      </w:pPr>
    </w:p>
    <w:p w14:paraId="70C5270C" w14:textId="757F9CBF" w:rsidR="00650F7A" w:rsidRPr="00650F7A" w:rsidRDefault="00650F7A" w:rsidP="00650F7A">
      <w:pPr>
        <w:rPr>
          <w:rFonts w:ascii="Times New Roman" w:eastAsia="等线" w:hAnsi="Times New Roman" w:cs="Times New Roman"/>
        </w:rPr>
      </w:pPr>
      <w:r w:rsidRPr="00650F7A">
        <w:rPr>
          <w:rFonts w:ascii="Times New Roman" w:eastAsia="等线" w:hAnsi="Times New Roman" w:cs="Times New Roman" w:hint="eastAsia"/>
        </w:rPr>
        <w:t>Embase:</w:t>
      </w:r>
      <w:r w:rsidRPr="00650F7A">
        <w:rPr>
          <w:rFonts w:ascii="Times New Roman" w:eastAsia="等线" w:hAnsi="Times New Roman" w:cs="Times New Roman"/>
        </w:rPr>
        <w:t xml:space="preserve">     </w:t>
      </w:r>
    </w:p>
    <w:p w14:paraId="5677EA56" w14:textId="77777777" w:rsidR="00650F7A" w:rsidRPr="00650F7A" w:rsidRDefault="00650F7A" w:rsidP="00650F7A">
      <w:pPr>
        <w:rPr>
          <w:rFonts w:ascii="Times New Roman" w:eastAsia="等线" w:hAnsi="Times New Roman" w:cs="Times New Roman"/>
        </w:rPr>
      </w:pPr>
      <w:r w:rsidRPr="00650F7A">
        <w:rPr>
          <w:rFonts w:ascii="Times New Roman" w:eastAsia="等线" w:hAnsi="Times New Roman" w:cs="Times New Roman"/>
        </w:rPr>
        <w:t>#1</w:t>
      </w:r>
      <w:r w:rsidRPr="00650F7A">
        <w:rPr>
          <w:rFonts w:ascii="等线" w:eastAsia="等线" w:hAnsi="等线" w:cs="Times New Roman"/>
        </w:rPr>
        <w:t xml:space="preserve"> </w:t>
      </w:r>
      <w:r w:rsidRPr="00650F7A">
        <w:rPr>
          <w:rFonts w:ascii="Times New Roman" w:eastAsia="等线" w:hAnsi="Times New Roman" w:cs="Times New Roman"/>
        </w:rPr>
        <w:t>'multidimensional prognostic index</w:t>
      </w:r>
      <w:proofErr w:type="gramStart"/>
      <w:r w:rsidRPr="00650F7A">
        <w:rPr>
          <w:rFonts w:ascii="Times New Roman" w:eastAsia="等线" w:hAnsi="Times New Roman" w:cs="Times New Roman"/>
        </w:rPr>
        <w:t>':</w:t>
      </w:r>
      <w:proofErr w:type="spellStart"/>
      <w:r w:rsidRPr="00650F7A">
        <w:rPr>
          <w:rFonts w:ascii="Times New Roman" w:eastAsia="等线" w:hAnsi="Times New Roman" w:cs="Times New Roman"/>
        </w:rPr>
        <w:t>ab</w:t>
      </w:r>
      <w:proofErr w:type="gramEnd"/>
      <w:r w:rsidRPr="00650F7A">
        <w:rPr>
          <w:rFonts w:ascii="Times New Roman" w:eastAsia="等线" w:hAnsi="Times New Roman" w:cs="Times New Roman"/>
        </w:rPr>
        <w:t>,ti</w:t>
      </w:r>
      <w:proofErr w:type="spellEnd"/>
      <w:r w:rsidRPr="00650F7A">
        <w:rPr>
          <w:rFonts w:ascii="Times New Roman" w:eastAsia="等线" w:hAnsi="Times New Roman" w:cs="Times New Roman"/>
        </w:rPr>
        <w:t xml:space="preserve"> OR 'multidimensional frailty':</w:t>
      </w:r>
      <w:proofErr w:type="spellStart"/>
      <w:r w:rsidRPr="00650F7A">
        <w:rPr>
          <w:rFonts w:ascii="Times New Roman" w:eastAsia="等线" w:hAnsi="Times New Roman" w:cs="Times New Roman"/>
        </w:rPr>
        <w:t>ab,ti</w:t>
      </w:r>
      <w:proofErr w:type="spellEnd"/>
    </w:p>
    <w:p w14:paraId="5165C7EC" w14:textId="77777777" w:rsidR="00650F7A" w:rsidRPr="00650F7A" w:rsidRDefault="00650F7A" w:rsidP="00650F7A">
      <w:pPr>
        <w:rPr>
          <w:rFonts w:ascii="Times New Roman" w:eastAsia="等线" w:hAnsi="Times New Roman" w:cs="Times New Roman"/>
        </w:rPr>
      </w:pPr>
      <w:r w:rsidRPr="00650F7A">
        <w:rPr>
          <w:rFonts w:ascii="Times New Roman" w:eastAsia="等线" w:hAnsi="Times New Roman" w:cs="Times New Roman"/>
        </w:rPr>
        <w:t xml:space="preserve">#2 </w:t>
      </w:r>
      <w:proofErr w:type="spellStart"/>
      <w:proofErr w:type="gramStart"/>
      <w:r w:rsidRPr="00650F7A">
        <w:rPr>
          <w:rFonts w:ascii="Times New Roman" w:eastAsia="等线" w:hAnsi="Times New Roman" w:cs="Times New Roman"/>
        </w:rPr>
        <w:t>aged:ab</w:t>
      </w:r>
      <w:proofErr w:type="gramEnd"/>
      <w:r w:rsidRPr="00650F7A">
        <w:rPr>
          <w:rFonts w:ascii="Times New Roman" w:eastAsia="等线" w:hAnsi="Times New Roman" w:cs="Times New Roman"/>
        </w:rPr>
        <w:t>,ti</w:t>
      </w:r>
      <w:proofErr w:type="spellEnd"/>
      <w:r w:rsidRPr="00650F7A">
        <w:rPr>
          <w:rFonts w:ascii="Times New Roman" w:eastAsia="等线" w:hAnsi="Times New Roman" w:cs="Times New Roman"/>
        </w:rPr>
        <w:t xml:space="preserve"> OR elder*:</w:t>
      </w:r>
      <w:proofErr w:type="spellStart"/>
      <w:r w:rsidRPr="00650F7A">
        <w:rPr>
          <w:rFonts w:ascii="Times New Roman" w:eastAsia="等线" w:hAnsi="Times New Roman" w:cs="Times New Roman"/>
        </w:rPr>
        <w:t>ab,ti</w:t>
      </w:r>
      <w:proofErr w:type="spellEnd"/>
      <w:r w:rsidRPr="00650F7A">
        <w:rPr>
          <w:rFonts w:ascii="Times New Roman" w:eastAsia="等线" w:hAnsi="Times New Roman" w:cs="Times New Roman"/>
        </w:rPr>
        <w:t xml:space="preserve"> OR older*:</w:t>
      </w:r>
      <w:proofErr w:type="spellStart"/>
      <w:r w:rsidRPr="00650F7A">
        <w:rPr>
          <w:rFonts w:ascii="Times New Roman" w:eastAsia="等线" w:hAnsi="Times New Roman" w:cs="Times New Roman"/>
        </w:rPr>
        <w:t>ab,ti</w:t>
      </w:r>
      <w:proofErr w:type="spellEnd"/>
      <w:r w:rsidRPr="00650F7A">
        <w:rPr>
          <w:rFonts w:ascii="Times New Roman" w:eastAsia="等线" w:hAnsi="Times New Roman" w:cs="Times New Roman"/>
        </w:rPr>
        <w:t xml:space="preserve"> OR senior*:</w:t>
      </w:r>
      <w:proofErr w:type="spellStart"/>
      <w:r w:rsidRPr="00650F7A">
        <w:rPr>
          <w:rFonts w:ascii="Times New Roman" w:eastAsia="等线" w:hAnsi="Times New Roman" w:cs="Times New Roman"/>
        </w:rPr>
        <w:t>ab,ti</w:t>
      </w:r>
      <w:proofErr w:type="spellEnd"/>
      <w:r w:rsidRPr="00650F7A">
        <w:rPr>
          <w:rFonts w:ascii="Times New Roman" w:eastAsia="等线" w:hAnsi="Times New Roman" w:cs="Times New Roman"/>
        </w:rPr>
        <w:t xml:space="preserve"> OR geriatric*:</w:t>
      </w:r>
      <w:proofErr w:type="spellStart"/>
      <w:r w:rsidRPr="00650F7A">
        <w:rPr>
          <w:rFonts w:ascii="Times New Roman" w:eastAsia="等线" w:hAnsi="Times New Roman" w:cs="Times New Roman"/>
        </w:rPr>
        <w:t>ab,ti</w:t>
      </w:r>
      <w:proofErr w:type="spellEnd"/>
    </w:p>
    <w:p w14:paraId="48B38B0A" w14:textId="3F4CC346" w:rsidR="00650F7A" w:rsidRDefault="00650F7A" w:rsidP="00650F7A">
      <w:pPr>
        <w:rPr>
          <w:rFonts w:ascii="Times New Roman" w:eastAsia="等线" w:hAnsi="Times New Roman" w:cs="Times New Roman"/>
        </w:rPr>
      </w:pPr>
      <w:r w:rsidRPr="00650F7A">
        <w:rPr>
          <w:rFonts w:ascii="Times New Roman" w:eastAsia="等线" w:hAnsi="Times New Roman" w:cs="Times New Roman" w:hint="eastAsia"/>
        </w:rPr>
        <w:t>#</w:t>
      </w:r>
      <w:r w:rsidRPr="00650F7A">
        <w:rPr>
          <w:rFonts w:ascii="Times New Roman" w:eastAsia="等线" w:hAnsi="Times New Roman" w:cs="Times New Roman"/>
        </w:rPr>
        <w:t xml:space="preserve">3 #1 AND #2 </w:t>
      </w:r>
    </w:p>
    <w:p w14:paraId="7EEC2E1E" w14:textId="77777777" w:rsidR="00650F7A" w:rsidRPr="00650F7A" w:rsidRDefault="00650F7A" w:rsidP="00650F7A">
      <w:pPr>
        <w:rPr>
          <w:rFonts w:ascii="Times New Roman" w:eastAsia="等线" w:hAnsi="Times New Roman" w:cs="Times New Roman"/>
        </w:rPr>
      </w:pPr>
    </w:p>
    <w:p w14:paraId="077D5387" w14:textId="3BAD3543" w:rsidR="00650F7A" w:rsidRPr="00650F7A" w:rsidRDefault="00650F7A" w:rsidP="00650F7A">
      <w:pPr>
        <w:rPr>
          <w:rFonts w:ascii="Times New Roman" w:eastAsia="等线" w:hAnsi="Times New Roman" w:cs="Times New Roman"/>
        </w:rPr>
      </w:pPr>
      <w:r w:rsidRPr="00650F7A">
        <w:rPr>
          <w:rFonts w:ascii="Times New Roman" w:eastAsia="等线" w:hAnsi="Times New Roman" w:cs="Times New Roman"/>
        </w:rPr>
        <w:t>Cochrane library</w:t>
      </w:r>
      <w:r w:rsidRPr="00650F7A">
        <w:rPr>
          <w:rFonts w:ascii="Times New Roman" w:eastAsia="等线" w:hAnsi="Times New Roman" w:cs="Times New Roman"/>
        </w:rPr>
        <w:t>：</w:t>
      </w:r>
      <w:r w:rsidRPr="00650F7A">
        <w:rPr>
          <w:rFonts w:ascii="Times New Roman" w:eastAsia="等线" w:hAnsi="Times New Roman" w:cs="Times New Roman"/>
        </w:rPr>
        <w:t xml:space="preserve">  </w:t>
      </w:r>
    </w:p>
    <w:p w14:paraId="6DFA0A0D" w14:textId="45B21EFF" w:rsidR="00650F7A" w:rsidRDefault="00650F7A" w:rsidP="00650F7A">
      <w:pPr>
        <w:rPr>
          <w:rFonts w:ascii="Times New Roman" w:eastAsia="等线" w:hAnsi="Times New Roman" w:cs="Times New Roman"/>
        </w:rPr>
      </w:pPr>
      <w:r w:rsidRPr="00650F7A">
        <w:rPr>
          <w:rFonts w:ascii="Times New Roman" w:eastAsia="等线" w:hAnsi="Times New Roman" w:cs="Times New Roman"/>
        </w:rPr>
        <w:t>"</w:t>
      </w:r>
      <w:proofErr w:type="gramStart"/>
      <w:r w:rsidRPr="00650F7A">
        <w:rPr>
          <w:rFonts w:ascii="Times New Roman" w:eastAsia="等线" w:hAnsi="Times New Roman" w:cs="Times New Roman"/>
        </w:rPr>
        <w:t>multidimensional</w:t>
      </w:r>
      <w:proofErr w:type="gramEnd"/>
      <w:r w:rsidRPr="00650F7A">
        <w:rPr>
          <w:rFonts w:ascii="Times New Roman" w:eastAsia="等线" w:hAnsi="Times New Roman" w:cs="Times New Roman"/>
        </w:rPr>
        <w:t xml:space="preserve"> prognostic index" OR "multidimensional frailty" in All Text AND Aged OR elder* OR older* OR senior* OR geriatric* in All Text</w:t>
      </w:r>
    </w:p>
    <w:p w14:paraId="5D5BFE44" w14:textId="77777777" w:rsidR="00650F7A" w:rsidRPr="00650F7A" w:rsidRDefault="00650F7A" w:rsidP="00650F7A">
      <w:pPr>
        <w:rPr>
          <w:rFonts w:ascii="Times New Roman" w:eastAsia="等线" w:hAnsi="Times New Roman" w:cs="Times New Roman"/>
        </w:rPr>
      </w:pPr>
    </w:p>
    <w:p w14:paraId="7943E0A6" w14:textId="7EE11823" w:rsidR="00650F7A" w:rsidRPr="00650F7A" w:rsidRDefault="00650F7A" w:rsidP="00650F7A">
      <w:pPr>
        <w:rPr>
          <w:rFonts w:ascii="Times New Roman" w:eastAsia="等线" w:hAnsi="Times New Roman" w:cs="Times New Roman"/>
        </w:rPr>
      </w:pPr>
      <w:r w:rsidRPr="00650F7A">
        <w:rPr>
          <w:rFonts w:ascii="Times New Roman" w:eastAsia="等线" w:hAnsi="Times New Roman" w:cs="Times New Roman"/>
        </w:rPr>
        <w:t>CINAHL</w:t>
      </w:r>
      <w:r w:rsidRPr="00650F7A">
        <w:rPr>
          <w:rFonts w:ascii="Times New Roman" w:eastAsia="等线" w:hAnsi="Times New Roman" w:cs="Times New Roman"/>
        </w:rPr>
        <w:t>：</w:t>
      </w:r>
    </w:p>
    <w:p w14:paraId="3C0E321F" w14:textId="77777777" w:rsidR="00650F7A" w:rsidRPr="00650F7A" w:rsidRDefault="00650F7A" w:rsidP="00650F7A">
      <w:pPr>
        <w:rPr>
          <w:rFonts w:ascii="Times New Roman" w:eastAsia="等线" w:hAnsi="Times New Roman" w:cs="Times New Roman"/>
        </w:rPr>
      </w:pPr>
      <w:r w:rsidRPr="00650F7A">
        <w:rPr>
          <w:rFonts w:ascii="Times New Roman" w:eastAsia="等线" w:hAnsi="Times New Roman" w:cs="Times New Roman"/>
        </w:rPr>
        <w:t xml:space="preserve">AB </w:t>
      </w:r>
      <w:proofErr w:type="gramStart"/>
      <w:r w:rsidRPr="00650F7A">
        <w:rPr>
          <w:rFonts w:ascii="Times New Roman" w:eastAsia="等线" w:hAnsi="Times New Roman" w:cs="Times New Roman"/>
        </w:rPr>
        <w:t>( "</w:t>
      </w:r>
      <w:proofErr w:type="gramEnd"/>
      <w:r w:rsidRPr="00650F7A">
        <w:rPr>
          <w:rFonts w:ascii="Times New Roman" w:eastAsia="等线" w:hAnsi="Times New Roman" w:cs="Times New Roman"/>
        </w:rPr>
        <w:t>multidimensional prognostic index" OR "multidimensional frailty" ) AND AB ( Aged OR elder* OR older* OR senior* OR geriatric* )</w:t>
      </w:r>
    </w:p>
    <w:p w14:paraId="18FF1221" w14:textId="77777777" w:rsidR="00650F7A" w:rsidRDefault="00650F7A">
      <w:pPr>
        <w:sectPr w:rsidR="00650F7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D9D5983" w14:textId="19A6117E" w:rsidR="00650F7A" w:rsidRDefault="00650F7A" w:rsidP="00650F7A">
      <w:pPr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650F7A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lastRenderedPageBreak/>
        <w:t>Appendix 2. Methodological quality assessment</w:t>
      </w:r>
    </w:p>
    <w:p w14:paraId="257ECDE5" w14:textId="7FBA33CB" w:rsidR="00650F7A" w:rsidRPr="00A15470" w:rsidRDefault="00A15470" w:rsidP="00D1175E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Table </w:t>
      </w:r>
      <w:r w:rsidR="00D1175E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bookmarkStart w:id="0" w:name="_Hlk175295207"/>
      <w:r w:rsidRPr="00A15470">
        <w:rPr>
          <w:rFonts w:ascii="Times New Roman" w:hAnsi="Times New Roman" w:cs="Times New Roman"/>
          <w:bCs/>
          <w:sz w:val="24"/>
          <w:szCs w:val="24"/>
        </w:rPr>
        <w:t>QUIPS</w:t>
      </w:r>
      <w:bookmarkEnd w:id="0"/>
      <w:r w:rsidRPr="00A15470">
        <w:rPr>
          <w:rFonts w:ascii="Times New Roman" w:hAnsi="Times New Roman" w:cs="Times New Roman"/>
          <w:bCs/>
          <w:sz w:val="24"/>
          <w:szCs w:val="24"/>
        </w:rPr>
        <w:t xml:space="preserve"> risk of bias assessments for the included studies (n = 24)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1436"/>
        <w:gridCol w:w="1519"/>
        <w:gridCol w:w="1795"/>
        <w:gridCol w:w="1691"/>
        <w:gridCol w:w="2132"/>
        <w:gridCol w:w="1733"/>
        <w:gridCol w:w="1520"/>
      </w:tblGrid>
      <w:tr w:rsidR="00AE3AD6" w14:paraId="100C8D0A" w14:textId="59E7D5C3" w:rsidTr="00BC3D20">
        <w:tc>
          <w:tcPr>
            <w:tcW w:w="2122" w:type="dxa"/>
            <w:vAlign w:val="center"/>
          </w:tcPr>
          <w:p w14:paraId="785E54E8" w14:textId="699E1CF0" w:rsidR="00AE3AD6" w:rsidRPr="003642C0" w:rsidRDefault="00AE3AD6" w:rsidP="003642C0">
            <w:pPr>
              <w:jc w:val="center"/>
              <w:rPr>
                <w:rFonts w:ascii="Times New Roman" w:eastAsia="等线" w:hAnsi="Times New Roman" w:cs="Times New Roman"/>
                <w:b/>
                <w:sz w:val="18"/>
                <w:szCs w:val="18"/>
              </w:rPr>
            </w:pPr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Study</w:t>
            </w:r>
          </w:p>
        </w:tc>
        <w:tc>
          <w:tcPr>
            <w:tcW w:w="1436" w:type="dxa"/>
            <w:vAlign w:val="center"/>
          </w:tcPr>
          <w:p w14:paraId="55EC3FA4" w14:textId="752844AB" w:rsidR="00AE3AD6" w:rsidRPr="003642C0" w:rsidRDefault="00AE3AD6" w:rsidP="003642C0">
            <w:pPr>
              <w:jc w:val="center"/>
              <w:rPr>
                <w:rFonts w:ascii="Times New Roman" w:eastAsia="等线" w:hAnsi="Times New Roman" w:cs="Times New Roman"/>
                <w:b/>
                <w:sz w:val="18"/>
                <w:szCs w:val="18"/>
              </w:rPr>
            </w:pPr>
            <w:r w:rsidRPr="003642C0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Study Participation</w:t>
            </w:r>
          </w:p>
        </w:tc>
        <w:tc>
          <w:tcPr>
            <w:tcW w:w="1519" w:type="dxa"/>
            <w:vAlign w:val="center"/>
          </w:tcPr>
          <w:p w14:paraId="63525E0D" w14:textId="20A4234D" w:rsidR="00AE3AD6" w:rsidRPr="003642C0" w:rsidRDefault="00AE3AD6" w:rsidP="003642C0">
            <w:pPr>
              <w:jc w:val="center"/>
              <w:rPr>
                <w:rFonts w:ascii="Times New Roman" w:eastAsia="等线" w:hAnsi="Times New Roman" w:cs="Times New Roman"/>
                <w:b/>
                <w:sz w:val="18"/>
                <w:szCs w:val="18"/>
              </w:rPr>
            </w:pPr>
            <w:r w:rsidRPr="003642C0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Study Attrition</w:t>
            </w:r>
          </w:p>
        </w:tc>
        <w:tc>
          <w:tcPr>
            <w:tcW w:w="1795" w:type="dxa"/>
            <w:vAlign w:val="center"/>
          </w:tcPr>
          <w:p w14:paraId="69EF1301" w14:textId="02364276" w:rsidR="00AE3AD6" w:rsidRPr="003642C0" w:rsidRDefault="00AE3AD6" w:rsidP="003642C0">
            <w:pPr>
              <w:jc w:val="center"/>
              <w:rPr>
                <w:rFonts w:ascii="Times New Roman" w:eastAsia="等线" w:hAnsi="Times New Roman" w:cs="Times New Roman"/>
                <w:b/>
                <w:sz w:val="18"/>
                <w:szCs w:val="18"/>
              </w:rPr>
            </w:pPr>
            <w:r w:rsidRPr="003642C0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Prognostic</w:t>
            </w:r>
            <w:r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 xml:space="preserve"> </w:t>
            </w:r>
            <w:r w:rsidRPr="003642C0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Factor Measurement</w:t>
            </w:r>
          </w:p>
        </w:tc>
        <w:tc>
          <w:tcPr>
            <w:tcW w:w="1691" w:type="dxa"/>
            <w:vAlign w:val="center"/>
          </w:tcPr>
          <w:p w14:paraId="13B8F7FD" w14:textId="23DF7734" w:rsidR="00AE3AD6" w:rsidRPr="003642C0" w:rsidRDefault="00AE3AD6" w:rsidP="003642C0">
            <w:pPr>
              <w:jc w:val="center"/>
              <w:rPr>
                <w:rFonts w:ascii="Times New Roman" w:eastAsia="等线" w:hAnsi="Times New Roman" w:cs="Times New Roman"/>
                <w:b/>
                <w:sz w:val="18"/>
                <w:szCs w:val="18"/>
              </w:rPr>
            </w:pPr>
            <w:r w:rsidRPr="003642C0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Outcome Measurement</w:t>
            </w:r>
          </w:p>
        </w:tc>
        <w:tc>
          <w:tcPr>
            <w:tcW w:w="2132" w:type="dxa"/>
            <w:vAlign w:val="center"/>
          </w:tcPr>
          <w:p w14:paraId="3A0E6A98" w14:textId="25810235" w:rsidR="00AE3AD6" w:rsidRPr="003642C0" w:rsidRDefault="00AE3AD6" w:rsidP="003642C0">
            <w:pPr>
              <w:jc w:val="center"/>
              <w:rPr>
                <w:rFonts w:ascii="Times New Roman" w:eastAsia="等线" w:hAnsi="Times New Roman" w:cs="Times New Roman"/>
                <w:b/>
                <w:sz w:val="18"/>
                <w:szCs w:val="18"/>
              </w:rPr>
            </w:pPr>
            <w:r w:rsidRPr="003642C0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Study Confounding</w:t>
            </w:r>
          </w:p>
        </w:tc>
        <w:tc>
          <w:tcPr>
            <w:tcW w:w="1733" w:type="dxa"/>
            <w:vAlign w:val="center"/>
          </w:tcPr>
          <w:p w14:paraId="561C2036" w14:textId="157E3341" w:rsidR="00AE3AD6" w:rsidRPr="003642C0" w:rsidRDefault="00AE3AD6" w:rsidP="003642C0">
            <w:pPr>
              <w:jc w:val="center"/>
              <w:rPr>
                <w:rFonts w:ascii="Times New Roman" w:eastAsia="等线" w:hAnsi="Times New Roman" w:cs="Times New Roman"/>
                <w:b/>
                <w:sz w:val="18"/>
                <w:szCs w:val="18"/>
              </w:rPr>
            </w:pPr>
            <w:r w:rsidRPr="003642C0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Statistical Analysis and Reporting</w:t>
            </w:r>
          </w:p>
        </w:tc>
        <w:tc>
          <w:tcPr>
            <w:tcW w:w="1520" w:type="dxa"/>
            <w:vAlign w:val="center"/>
          </w:tcPr>
          <w:p w14:paraId="2E0075A1" w14:textId="3FC1D03E" w:rsidR="00AE3AD6" w:rsidRPr="003642C0" w:rsidRDefault="00A61EC5" w:rsidP="00BC3D20">
            <w:pPr>
              <w:jc w:val="center"/>
              <w:rPr>
                <w:rFonts w:ascii="Times New Roman" w:eastAsia="等线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b/>
                <w:sz w:val="18"/>
                <w:szCs w:val="18"/>
              </w:rPr>
              <w:t>O</w:t>
            </w:r>
            <w:r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 xml:space="preserve">verall </w:t>
            </w:r>
            <w:proofErr w:type="spellStart"/>
            <w:r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quallity</w:t>
            </w:r>
            <w:proofErr w:type="spellEnd"/>
          </w:p>
        </w:tc>
      </w:tr>
      <w:tr w:rsidR="00AE3AD6" w14:paraId="61CC56C9" w14:textId="62AD6885" w:rsidTr="00AE3AD6">
        <w:tc>
          <w:tcPr>
            <w:tcW w:w="2122" w:type="dxa"/>
          </w:tcPr>
          <w:p w14:paraId="1BBDB2C2" w14:textId="5B8C3D33" w:rsidR="00AE3AD6" w:rsidRDefault="00AE3AD6" w:rsidP="00A15470">
            <w:pPr>
              <w:jc w:val="left"/>
            </w:pPr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Zanetti et al., 2022</w:t>
            </w:r>
          </w:p>
        </w:tc>
        <w:tc>
          <w:tcPr>
            <w:tcW w:w="1436" w:type="dxa"/>
          </w:tcPr>
          <w:p w14:paraId="577F7F76" w14:textId="6597A09E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19" w:type="dxa"/>
          </w:tcPr>
          <w:p w14:paraId="5149BA8B" w14:textId="4406A6FD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95" w:type="dxa"/>
          </w:tcPr>
          <w:p w14:paraId="148636D2" w14:textId="46F41EF4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691" w:type="dxa"/>
          </w:tcPr>
          <w:p w14:paraId="7BF1E556" w14:textId="7C60981E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2132" w:type="dxa"/>
          </w:tcPr>
          <w:p w14:paraId="09F80649" w14:textId="6B116743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33" w:type="dxa"/>
          </w:tcPr>
          <w:p w14:paraId="0B15E3AF" w14:textId="2A75BEB6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20" w:type="dxa"/>
          </w:tcPr>
          <w:p w14:paraId="318F97A6" w14:textId="2C8728AF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ow</w:t>
            </w:r>
          </w:p>
        </w:tc>
      </w:tr>
      <w:tr w:rsidR="00AE3AD6" w14:paraId="674AC662" w14:textId="6CB99345" w:rsidTr="00AE3AD6">
        <w:tc>
          <w:tcPr>
            <w:tcW w:w="2122" w:type="dxa"/>
          </w:tcPr>
          <w:p w14:paraId="772A4F48" w14:textId="2E14BCDF" w:rsidR="00AE3AD6" w:rsidRDefault="00AE3AD6" w:rsidP="00E77FF5">
            <w:pPr>
              <w:jc w:val="left"/>
            </w:pPr>
            <w:proofErr w:type="spellStart"/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Overbeek</w:t>
            </w:r>
            <w:proofErr w:type="spellEnd"/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etal</w:t>
            </w:r>
            <w:proofErr w:type="spellEnd"/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., 2022</w:t>
            </w:r>
          </w:p>
        </w:tc>
        <w:tc>
          <w:tcPr>
            <w:tcW w:w="1436" w:type="dxa"/>
          </w:tcPr>
          <w:p w14:paraId="2D307D6F" w14:textId="3B60FB80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19" w:type="dxa"/>
          </w:tcPr>
          <w:p w14:paraId="3848E3F7" w14:textId="7B0B323D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E77FF5">
              <w:rPr>
                <w:rFonts w:ascii="Times New Roman" w:hAnsi="Times New Roman" w:cs="Times New Roman"/>
              </w:rPr>
              <w:t>oderate</w:t>
            </w:r>
          </w:p>
        </w:tc>
        <w:tc>
          <w:tcPr>
            <w:tcW w:w="1795" w:type="dxa"/>
          </w:tcPr>
          <w:p w14:paraId="5F5E4FFF" w14:textId="33D6DC7C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691" w:type="dxa"/>
          </w:tcPr>
          <w:p w14:paraId="402FDE9A" w14:textId="54D5606E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2132" w:type="dxa"/>
          </w:tcPr>
          <w:p w14:paraId="077B822E" w14:textId="18E13E92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33" w:type="dxa"/>
          </w:tcPr>
          <w:p w14:paraId="283DD616" w14:textId="142A1C04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20" w:type="dxa"/>
          </w:tcPr>
          <w:p w14:paraId="2653A159" w14:textId="4917F778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ow</w:t>
            </w:r>
          </w:p>
        </w:tc>
      </w:tr>
      <w:tr w:rsidR="00AE3AD6" w14:paraId="2DCFFED6" w14:textId="7161A0BB" w:rsidTr="00AE3AD6">
        <w:tc>
          <w:tcPr>
            <w:tcW w:w="2122" w:type="dxa"/>
          </w:tcPr>
          <w:p w14:paraId="3AA986E0" w14:textId="6C9E8DB4" w:rsidR="00AE3AD6" w:rsidRDefault="00AE3AD6" w:rsidP="00E77FF5">
            <w:pPr>
              <w:jc w:val="left"/>
            </w:pPr>
            <w:proofErr w:type="spellStart"/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Lenti</w:t>
            </w:r>
            <w:proofErr w:type="spellEnd"/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 xml:space="preserve"> et al., 2021</w:t>
            </w:r>
          </w:p>
        </w:tc>
        <w:tc>
          <w:tcPr>
            <w:tcW w:w="1436" w:type="dxa"/>
          </w:tcPr>
          <w:p w14:paraId="14A82116" w14:textId="2D882D5B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19" w:type="dxa"/>
          </w:tcPr>
          <w:p w14:paraId="1109F714" w14:textId="6DCAD7A9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95" w:type="dxa"/>
          </w:tcPr>
          <w:p w14:paraId="46586294" w14:textId="3BC867D8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691" w:type="dxa"/>
          </w:tcPr>
          <w:p w14:paraId="47CA96F7" w14:textId="12449380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2132" w:type="dxa"/>
          </w:tcPr>
          <w:p w14:paraId="420E5B58" w14:textId="593DF23F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E77FF5">
              <w:rPr>
                <w:rFonts w:ascii="Times New Roman" w:hAnsi="Times New Roman" w:cs="Times New Roman"/>
              </w:rPr>
              <w:t>oderate</w:t>
            </w:r>
          </w:p>
        </w:tc>
        <w:tc>
          <w:tcPr>
            <w:tcW w:w="1733" w:type="dxa"/>
          </w:tcPr>
          <w:p w14:paraId="3BD32219" w14:textId="5931D1F8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20" w:type="dxa"/>
          </w:tcPr>
          <w:p w14:paraId="49601820" w14:textId="50398BE2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ow</w:t>
            </w:r>
          </w:p>
        </w:tc>
      </w:tr>
      <w:tr w:rsidR="00AE3AD6" w14:paraId="5C8864B3" w14:textId="068A5693" w:rsidTr="00AE3AD6">
        <w:tc>
          <w:tcPr>
            <w:tcW w:w="2122" w:type="dxa"/>
          </w:tcPr>
          <w:p w14:paraId="1F7024D9" w14:textId="19AF124D" w:rsidR="00AE3AD6" w:rsidRDefault="00AE3AD6" w:rsidP="00644B9A">
            <w:pPr>
              <w:jc w:val="left"/>
            </w:pPr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Veronese et al., 2021</w:t>
            </w:r>
          </w:p>
        </w:tc>
        <w:tc>
          <w:tcPr>
            <w:tcW w:w="1436" w:type="dxa"/>
          </w:tcPr>
          <w:p w14:paraId="2C4248CA" w14:textId="05CC30F1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E77FF5">
              <w:rPr>
                <w:rFonts w:ascii="Times New Roman" w:hAnsi="Times New Roman" w:cs="Times New Roman"/>
              </w:rPr>
              <w:t>oderate</w:t>
            </w:r>
          </w:p>
        </w:tc>
        <w:tc>
          <w:tcPr>
            <w:tcW w:w="1519" w:type="dxa"/>
          </w:tcPr>
          <w:p w14:paraId="05EF2A74" w14:textId="3C88A826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95" w:type="dxa"/>
          </w:tcPr>
          <w:p w14:paraId="433C590A" w14:textId="68BA0BAB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691" w:type="dxa"/>
          </w:tcPr>
          <w:p w14:paraId="7D30B79C" w14:textId="445E7D75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2132" w:type="dxa"/>
          </w:tcPr>
          <w:p w14:paraId="5100D9DA" w14:textId="54EAFBE6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E77FF5">
              <w:rPr>
                <w:rFonts w:ascii="Times New Roman" w:hAnsi="Times New Roman" w:cs="Times New Roman"/>
              </w:rPr>
              <w:t>oderate</w:t>
            </w:r>
          </w:p>
        </w:tc>
        <w:tc>
          <w:tcPr>
            <w:tcW w:w="1733" w:type="dxa"/>
          </w:tcPr>
          <w:p w14:paraId="28B2558A" w14:textId="2959F577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20" w:type="dxa"/>
          </w:tcPr>
          <w:p w14:paraId="0427FBCE" w14:textId="4AB8390A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ow</w:t>
            </w:r>
          </w:p>
        </w:tc>
      </w:tr>
      <w:tr w:rsidR="00AE3AD6" w14:paraId="7148B68B" w14:textId="0CF3BC5F" w:rsidTr="00AE3AD6">
        <w:tc>
          <w:tcPr>
            <w:tcW w:w="2122" w:type="dxa"/>
          </w:tcPr>
          <w:p w14:paraId="778C117F" w14:textId="6C5DDAA1" w:rsidR="00AE3AD6" w:rsidRDefault="00AE3AD6" w:rsidP="00644B9A">
            <w:pPr>
              <w:jc w:val="left"/>
            </w:pPr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Veronese et al., 2021</w:t>
            </w:r>
          </w:p>
        </w:tc>
        <w:tc>
          <w:tcPr>
            <w:tcW w:w="1436" w:type="dxa"/>
          </w:tcPr>
          <w:p w14:paraId="5388399C" w14:textId="793685E9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E77FF5">
              <w:rPr>
                <w:rFonts w:ascii="Times New Roman" w:hAnsi="Times New Roman" w:cs="Times New Roman"/>
              </w:rPr>
              <w:t>oderate</w:t>
            </w:r>
          </w:p>
        </w:tc>
        <w:tc>
          <w:tcPr>
            <w:tcW w:w="1519" w:type="dxa"/>
          </w:tcPr>
          <w:p w14:paraId="2C16F4E8" w14:textId="3C9D5BA2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95" w:type="dxa"/>
          </w:tcPr>
          <w:p w14:paraId="07BE3CF4" w14:textId="18D2BDBF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691" w:type="dxa"/>
          </w:tcPr>
          <w:p w14:paraId="283519DC" w14:textId="258A547D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2132" w:type="dxa"/>
          </w:tcPr>
          <w:p w14:paraId="182DCFC3" w14:textId="2C291F1E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33" w:type="dxa"/>
          </w:tcPr>
          <w:p w14:paraId="30882037" w14:textId="46B2835E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20" w:type="dxa"/>
          </w:tcPr>
          <w:p w14:paraId="7D8E3444" w14:textId="1871099B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ow</w:t>
            </w:r>
          </w:p>
        </w:tc>
      </w:tr>
      <w:tr w:rsidR="00AE3AD6" w14:paraId="2C5DC72E" w14:textId="537817E7" w:rsidTr="00AE3AD6">
        <w:tc>
          <w:tcPr>
            <w:tcW w:w="2122" w:type="dxa"/>
          </w:tcPr>
          <w:p w14:paraId="0D8FE72A" w14:textId="67993757" w:rsidR="00AE3AD6" w:rsidRDefault="00AE3AD6" w:rsidP="00BF34FE">
            <w:pPr>
              <w:jc w:val="left"/>
            </w:pPr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Schäfer et al., 2021</w:t>
            </w:r>
          </w:p>
        </w:tc>
        <w:tc>
          <w:tcPr>
            <w:tcW w:w="1436" w:type="dxa"/>
          </w:tcPr>
          <w:p w14:paraId="64A3E2B0" w14:textId="1A424472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19" w:type="dxa"/>
          </w:tcPr>
          <w:p w14:paraId="7E3C6F1F" w14:textId="65BE8209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E77FF5">
              <w:rPr>
                <w:rFonts w:ascii="Times New Roman" w:hAnsi="Times New Roman" w:cs="Times New Roman"/>
              </w:rPr>
              <w:t>oderate</w:t>
            </w:r>
          </w:p>
        </w:tc>
        <w:tc>
          <w:tcPr>
            <w:tcW w:w="1795" w:type="dxa"/>
          </w:tcPr>
          <w:p w14:paraId="6F7FFBC2" w14:textId="67C60993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691" w:type="dxa"/>
          </w:tcPr>
          <w:p w14:paraId="1BEA394A" w14:textId="116A6EEF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E77FF5">
              <w:rPr>
                <w:rFonts w:ascii="Times New Roman" w:hAnsi="Times New Roman" w:cs="Times New Roman"/>
              </w:rPr>
              <w:t>oderate</w:t>
            </w:r>
          </w:p>
        </w:tc>
        <w:tc>
          <w:tcPr>
            <w:tcW w:w="2132" w:type="dxa"/>
          </w:tcPr>
          <w:p w14:paraId="03A49072" w14:textId="55CE86C3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E77FF5">
              <w:rPr>
                <w:rFonts w:ascii="Times New Roman" w:hAnsi="Times New Roman" w:cs="Times New Roman"/>
              </w:rPr>
              <w:t>oderate</w:t>
            </w:r>
          </w:p>
        </w:tc>
        <w:tc>
          <w:tcPr>
            <w:tcW w:w="1733" w:type="dxa"/>
          </w:tcPr>
          <w:p w14:paraId="5B46209B" w14:textId="496698F8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20" w:type="dxa"/>
          </w:tcPr>
          <w:p w14:paraId="4139D4DB" w14:textId="463D1F80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igh</w:t>
            </w:r>
          </w:p>
        </w:tc>
      </w:tr>
      <w:tr w:rsidR="00AE3AD6" w14:paraId="3D8E6DBE" w14:textId="62A7AA87" w:rsidTr="00AE3AD6">
        <w:tc>
          <w:tcPr>
            <w:tcW w:w="2122" w:type="dxa"/>
          </w:tcPr>
          <w:p w14:paraId="64DCD702" w14:textId="7BECF153" w:rsidR="00AE3AD6" w:rsidRDefault="00AE3AD6" w:rsidP="00FB1A1B">
            <w:pPr>
              <w:jc w:val="left"/>
            </w:pPr>
            <w:r w:rsidRPr="00CB4713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Rizza et al., 2021</w:t>
            </w:r>
          </w:p>
        </w:tc>
        <w:tc>
          <w:tcPr>
            <w:tcW w:w="1436" w:type="dxa"/>
          </w:tcPr>
          <w:p w14:paraId="0731580C" w14:textId="4864BAE9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19" w:type="dxa"/>
          </w:tcPr>
          <w:p w14:paraId="0B0B828E" w14:textId="48184678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95" w:type="dxa"/>
          </w:tcPr>
          <w:p w14:paraId="539C2BEB" w14:textId="0F77C803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691" w:type="dxa"/>
          </w:tcPr>
          <w:p w14:paraId="294DC844" w14:textId="037BD5C9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2132" w:type="dxa"/>
          </w:tcPr>
          <w:p w14:paraId="28088FC7" w14:textId="2F10590A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E77FF5">
              <w:rPr>
                <w:rFonts w:ascii="Times New Roman" w:hAnsi="Times New Roman" w:cs="Times New Roman"/>
              </w:rPr>
              <w:t>oderate</w:t>
            </w:r>
          </w:p>
        </w:tc>
        <w:tc>
          <w:tcPr>
            <w:tcW w:w="1733" w:type="dxa"/>
          </w:tcPr>
          <w:p w14:paraId="6B808C2C" w14:textId="5196FCD6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E77FF5">
              <w:rPr>
                <w:rFonts w:ascii="Times New Roman" w:hAnsi="Times New Roman" w:cs="Times New Roman"/>
              </w:rPr>
              <w:t>oderate</w:t>
            </w:r>
          </w:p>
        </w:tc>
        <w:tc>
          <w:tcPr>
            <w:tcW w:w="1520" w:type="dxa"/>
          </w:tcPr>
          <w:p w14:paraId="5545D622" w14:textId="31EE3A1B" w:rsidR="00AE3AD6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ow</w:t>
            </w:r>
          </w:p>
        </w:tc>
      </w:tr>
      <w:tr w:rsidR="00AE3AD6" w14:paraId="68288729" w14:textId="7334AF10" w:rsidTr="00AE3AD6">
        <w:tc>
          <w:tcPr>
            <w:tcW w:w="2122" w:type="dxa"/>
          </w:tcPr>
          <w:p w14:paraId="2734D100" w14:textId="4BF2EC7F" w:rsidR="00AE3AD6" w:rsidRDefault="00AE3AD6" w:rsidP="00385643">
            <w:pPr>
              <w:jc w:val="left"/>
            </w:pPr>
            <w:proofErr w:type="spellStart"/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Pilotto</w:t>
            </w:r>
            <w:proofErr w:type="spellEnd"/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 xml:space="preserve"> et al., 2021</w:t>
            </w:r>
          </w:p>
        </w:tc>
        <w:tc>
          <w:tcPr>
            <w:tcW w:w="1436" w:type="dxa"/>
          </w:tcPr>
          <w:p w14:paraId="3042A4E6" w14:textId="3932BD59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19" w:type="dxa"/>
          </w:tcPr>
          <w:p w14:paraId="07BCD25E" w14:textId="6A96CD68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95" w:type="dxa"/>
          </w:tcPr>
          <w:p w14:paraId="71DF0636" w14:textId="3652F2F6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691" w:type="dxa"/>
          </w:tcPr>
          <w:p w14:paraId="13FE29F3" w14:textId="273F9B97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2132" w:type="dxa"/>
          </w:tcPr>
          <w:p w14:paraId="189C0B26" w14:textId="4E40A9A0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33" w:type="dxa"/>
          </w:tcPr>
          <w:p w14:paraId="3564694D" w14:textId="21B83AB1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20" w:type="dxa"/>
          </w:tcPr>
          <w:p w14:paraId="472CFB6A" w14:textId="1B37F806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ow</w:t>
            </w:r>
          </w:p>
        </w:tc>
      </w:tr>
      <w:tr w:rsidR="00AE3AD6" w14:paraId="271674CC" w14:textId="23B5DC10" w:rsidTr="00AE3AD6">
        <w:tc>
          <w:tcPr>
            <w:tcW w:w="2122" w:type="dxa"/>
          </w:tcPr>
          <w:p w14:paraId="13B2D298" w14:textId="41679AFB" w:rsidR="00AE3AD6" w:rsidRDefault="00AE3AD6" w:rsidP="00E76403">
            <w:pPr>
              <w:jc w:val="left"/>
            </w:pPr>
            <w:proofErr w:type="spellStart"/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Verholt</w:t>
            </w:r>
            <w:proofErr w:type="spellEnd"/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 xml:space="preserve"> et al., 2021</w:t>
            </w:r>
          </w:p>
        </w:tc>
        <w:tc>
          <w:tcPr>
            <w:tcW w:w="1436" w:type="dxa"/>
          </w:tcPr>
          <w:p w14:paraId="4E45CFEF" w14:textId="0FD6CBFE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E77FF5">
              <w:rPr>
                <w:rFonts w:ascii="Times New Roman" w:hAnsi="Times New Roman" w:cs="Times New Roman"/>
              </w:rPr>
              <w:t>oderate</w:t>
            </w:r>
          </w:p>
        </w:tc>
        <w:tc>
          <w:tcPr>
            <w:tcW w:w="1519" w:type="dxa"/>
          </w:tcPr>
          <w:p w14:paraId="6746DEEF" w14:textId="316663B4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95" w:type="dxa"/>
          </w:tcPr>
          <w:p w14:paraId="24E3723C" w14:textId="400BB4E0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691" w:type="dxa"/>
          </w:tcPr>
          <w:p w14:paraId="44A2217E" w14:textId="1C26CFF7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2132" w:type="dxa"/>
          </w:tcPr>
          <w:p w14:paraId="1AEBB35F" w14:textId="1805015D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33" w:type="dxa"/>
          </w:tcPr>
          <w:p w14:paraId="5F4CF9C2" w14:textId="1311FCF8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20" w:type="dxa"/>
          </w:tcPr>
          <w:p w14:paraId="12C82164" w14:textId="4D32CC54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ow</w:t>
            </w:r>
          </w:p>
        </w:tc>
      </w:tr>
      <w:tr w:rsidR="00AE3AD6" w14:paraId="5E8BF186" w14:textId="22B5A90F" w:rsidTr="00AE3AD6">
        <w:tc>
          <w:tcPr>
            <w:tcW w:w="2122" w:type="dxa"/>
          </w:tcPr>
          <w:p w14:paraId="4B090401" w14:textId="3EB156AA" w:rsidR="00AE3AD6" w:rsidRDefault="00AE3AD6" w:rsidP="004B1CC9">
            <w:pPr>
              <w:jc w:val="left"/>
            </w:pPr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Hansen et al., 2021</w:t>
            </w:r>
          </w:p>
        </w:tc>
        <w:tc>
          <w:tcPr>
            <w:tcW w:w="1436" w:type="dxa"/>
          </w:tcPr>
          <w:p w14:paraId="33EB7434" w14:textId="46CEDCD7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19" w:type="dxa"/>
          </w:tcPr>
          <w:p w14:paraId="6AD5C08F" w14:textId="08FAEDB0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95" w:type="dxa"/>
          </w:tcPr>
          <w:p w14:paraId="25492DB4" w14:textId="1D7D3AA7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691" w:type="dxa"/>
          </w:tcPr>
          <w:p w14:paraId="036B20B2" w14:textId="683FD79B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2132" w:type="dxa"/>
          </w:tcPr>
          <w:p w14:paraId="3FD1F906" w14:textId="1C00ABD8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E77FF5">
              <w:rPr>
                <w:rFonts w:ascii="Times New Roman" w:hAnsi="Times New Roman" w:cs="Times New Roman"/>
              </w:rPr>
              <w:t>oderate</w:t>
            </w:r>
          </w:p>
        </w:tc>
        <w:tc>
          <w:tcPr>
            <w:tcW w:w="1733" w:type="dxa"/>
          </w:tcPr>
          <w:p w14:paraId="754B2308" w14:textId="3A537032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20" w:type="dxa"/>
          </w:tcPr>
          <w:p w14:paraId="2E2372FA" w14:textId="30D59DAA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ow</w:t>
            </w:r>
          </w:p>
        </w:tc>
      </w:tr>
      <w:tr w:rsidR="00AE3AD6" w14:paraId="02D49B37" w14:textId="20FEA216" w:rsidTr="00AE3AD6">
        <w:tc>
          <w:tcPr>
            <w:tcW w:w="2122" w:type="dxa"/>
          </w:tcPr>
          <w:p w14:paraId="3B5E979B" w14:textId="34569C8A" w:rsidR="00AE3AD6" w:rsidRDefault="00AE3AD6" w:rsidP="00153434">
            <w:pPr>
              <w:jc w:val="left"/>
            </w:pPr>
            <w:proofErr w:type="spellStart"/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Goudzwaard</w:t>
            </w:r>
            <w:proofErr w:type="spellEnd"/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 xml:space="preserve"> et al., 2021</w:t>
            </w:r>
          </w:p>
        </w:tc>
        <w:tc>
          <w:tcPr>
            <w:tcW w:w="1436" w:type="dxa"/>
          </w:tcPr>
          <w:p w14:paraId="36EAF6CB" w14:textId="1CEB852E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E77FF5">
              <w:rPr>
                <w:rFonts w:ascii="Times New Roman" w:hAnsi="Times New Roman" w:cs="Times New Roman"/>
              </w:rPr>
              <w:t>oderate</w:t>
            </w:r>
          </w:p>
        </w:tc>
        <w:tc>
          <w:tcPr>
            <w:tcW w:w="1519" w:type="dxa"/>
          </w:tcPr>
          <w:p w14:paraId="6F0A8948" w14:textId="1B1F925E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E77FF5">
              <w:rPr>
                <w:rFonts w:ascii="Times New Roman" w:hAnsi="Times New Roman" w:cs="Times New Roman"/>
              </w:rPr>
              <w:t>oderate</w:t>
            </w:r>
          </w:p>
        </w:tc>
        <w:tc>
          <w:tcPr>
            <w:tcW w:w="1795" w:type="dxa"/>
          </w:tcPr>
          <w:p w14:paraId="02419090" w14:textId="0271C745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691" w:type="dxa"/>
          </w:tcPr>
          <w:p w14:paraId="28538C1A" w14:textId="61F6608E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2132" w:type="dxa"/>
          </w:tcPr>
          <w:p w14:paraId="2832863C" w14:textId="287F5A88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33" w:type="dxa"/>
          </w:tcPr>
          <w:p w14:paraId="35546C89" w14:textId="38C0D232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20" w:type="dxa"/>
          </w:tcPr>
          <w:p w14:paraId="639CE17C" w14:textId="0E0E52DC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ow</w:t>
            </w:r>
          </w:p>
        </w:tc>
      </w:tr>
      <w:tr w:rsidR="00AE3AD6" w14:paraId="5A19D6B3" w14:textId="1483346E" w:rsidTr="00AE3AD6">
        <w:tc>
          <w:tcPr>
            <w:tcW w:w="2122" w:type="dxa"/>
          </w:tcPr>
          <w:p w14:paraId="10FF065C" w14:textId="79C0195E" w:rsidR="00AE3AD6" w:rsidRDefault="00AE3AD6" w:rsidP="00153434">
            <w:pPr>
              <w:jc w:val="left"/>
            </w:pPr>
            <w:proofErr w:type="spellStart"/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Cella</w:t>
            </w:r>
            <w:proofErr w:type="spellEnd"/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 xml:space="preserve"> et al., 2021</w:t>
            </w:r>
          </w:p>
        </w:tc>
        <w:tc>
          <w:tcPr>
            <w:tcW w:w="1436" w:type="dxa"/>
          </w:tcPr>
          <w:p w14:paraId="22A3A9ED" w14:textId="6F63F866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19" w:type="dxa"/>
          </w:tcPr>
          <w:p w14:paraId="7BBAACE8" w14:textId="693D5A83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95" w:type="dxa"/>
          </w:tcPr>
          <w:p w14:paraId="438828E2" w14:textId="71C63E5C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691" w:type="dxa"/>
          </w:tcPr>
          <w:p w14:paraId="59952F75" w14:textId="5D534967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2132" w:type="dxa"/>
          </w:tcPr>
          <w:p w14:paraId="4B4A6EAD" w14:textId="5F33E988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33" w:type="dxa"/>
          </w:tcPr>
          <w:p w14:paraId="0184AE28" w14:textId="6592DC92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20" w:type="dxa"/>
          </w:tcPr>
          <w:p w14:paraId="087F2666" w14:textId="568D7C11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ow</w:t>
            </w:r>
          </w:p>
        </w:tc>
      </w:tr>
      <w:tr w:rsidR="00AE3AD6" w14:paraId="320DB37A" w14:textId="10F0C0A5" w:rsidTr="00AE3AD6">
        <w:tc>
          <w:tcPr>
            <w:tcW w:w="2122" w:type="dxa"/>
          </w:tcPr>
          <w:p w14:paraId="6E5CDA03" w14:textId="599A370A" w:rsidR="00AE3AD6" w:rsidRDefault="00AE3AD6" w:rsidP="00012033">
            <w:pPr>
              <w:jc w:val="left"/>
            </w:pPr>
            <w:proofErr w:type="spellStart"/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Liuu</w:t>
            </w:r>
            <w:proofErr w:type="spellEnd"/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 xml:space="preserve"> et al., 2020</w:t>
            </w:r>
          </w:p>
        </w:tc>
        <w:tc>
          <w:tcPr>
            <w:tcW w:w="1436" w:type="dxa"/>
          </w:tcPr>
          <w:p w14:paraId="7B24A510" w14:textId="7FC805FF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E77FF5">
              <w:rPr>
                <w:rFonts w:ascii="Times New Roman" w:hAnsi="Times New Roman" w:cs="Times New Roman"/>
              </w:rPr>
              <w:t>oderate</w:t>
            </w:r>
          </w:p>
        </w:tc>
        <w:tc>
          <w:tcPr>
            <w:tcW w:w="1519" w:type="dxa"/>
          </w:tcPr>
          <w:p w14:paraId="47DD604E" w14:textId="2C470B31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95" w:type="dxa"/>
          </w:tcPr>
          <w:p w14:paraId="12C4762B" w14:textId="3C85107F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691" w:type="dxa"/>
          </w:tcPr>
          <w:p w14:paraId="15F5FD55" w14:textId="57D6ACBB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2132" w:type="dxa"/>
          </w:tcPr>
          <w:p w14:paraId="190451B7" w14:textId="61AD5E8B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33" w:type="dxa"/>
          </w:tcPr>
          <w:p w14:paraId="55BF96EC" w14:textId="5310E7D1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20" w:type="dxa"/>
          </w:tcPr>
          <w:p w14:paraId="7F1B2625" w14:textId="0CDD7038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ow</w:t>
            </w:r>
          </w:p>
        </w:tc>
      </w:tr>
      <w:tr w:rsidR="00AE3AD6" w14:paraId="035A7277" w14:textId="4F936016" w:rsidTr="00AE3AD6">
        <w:tc>
          <w:tcPr>
            <w:tcW w:w="2122" w:type="dxa"/>
          </w:tcPr>
          <w:p w14:paraId="3CCFDB89" w14:textId="0C3E5945" w:rsidR="00AE3AD6" w:rsidRDefault="00AE3AD6" w:rsidP="00E22579">
            <w:pPr>
              <w:jc w:val="left"/>
            </w:pPr>
            <w:proofErr w:type="spellStart"/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Mourik</w:t>
            </w:r>
            <w:proofErr w:type="spellEnd"/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 xml:space="preserve"> et al., 2019</w:t>
            </w:r>
          </w:p>
        </w:tc>
        <w:tc>
          <w:tcPr>
            <w:tcW w:w="1436" w:type="dxa"/>
          </w:tcPr>
          <w:p w14:paraId="0D25E825" w14:textId="54AFEB6A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19" w:type="dxa"/>
          </w:tcPr>
          <w:p w14:paraId="024790F6" w14:textId="7BE71A12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95" w:type="dxa"/>
          </w:tcPr>
          <w:p w14:paraId="0E90E5B7" w14:textId="6BE01933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691" w:type="dxa"/>
          </w:tcPr>
          <w:p w14:paraId="67C967BC" w14:textId="0F33B2B1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2132" w:type="dxa"/>
          </w:tcPr>
          <w:p w14:paraId="349D885D" w14:textId="4D5AD8D6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33" w:type="dxa"/>
          </w:tcPr>
          <w:p w14:paraId="1A85354C" w14:textId="313D6DD9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20" w:type="dxa"/>
          </w:tcPr>
          <w:p w14:paraId="63DA1590" w14:textId="2626D83B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ow</w:t>
            </w:r>
          </w:p>
        </w:tc>
      </w:tr>
      <w:tr w:rsidR="00AE3AD6" w14:paraId="57B075B8" w14:textId="407A32E5" w:rsidTr="00AE3AD6">
        <w:tc>
          <w:tcPr>
            <w:tcW w:w="2122" w:type="dxa"/>
          </w:tcPr>
          <w:p w14:paraId="6A1D8706" w14:textId="4EF36F5A" w:rsidR="00AE3AD6" w:rsidRDefault="00AE3AD6" w:rsidP="002E4644">
            <w:pPr>
              <w:jc w:val="left"/>
            </w:pPr>
            <w:proofErr w:type="spellStart"/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Pilotto</w:t>
            </w:r>
            <w:proofErr w:type="spellEnd"/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 xml:space="preserve"> et al., 2019</w:t>
            </w:r>
          </w:p>
        </w:tc>
        <w:tc>
          <w:tcPr>
            <w:tcW w:w="1436" w:type="dxa"/>
          </w:tcPr>
          <w:p w14:paraId="09D1EEEA" w14:textId="78C55E8B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19" w:type="dxa"/>
          </w:tcPr>
          <w:p w14:paraId="55C7328A" w14:textId="46C902DE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95" w:type="dxa"/>
          </w:tcPr>
          <w:p w14:paraId="55EAC66D" w14:textId="287FC89B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691" w:type="dxa"/>
          </w:tcPr>
          <w:p w14:paraId="2ACB2BD3" w14:textId="493FA080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2132" w:type="dxa"/>
          </w:tcPr>
          <w:p w14:paraId="4F5D0A87" w14:textId="28FD1F33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33" w:type="dxa"/>
          </w:tcPr>
          <w:p w14:paraId="3F69C4D2" w14:textId="11A2B30F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20" w:type="dxa"/>
          </w:tcPr>
          <w:p w14:paraId="2AFF3F27" w14:textId="3B4218A4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ow</w:t>
            </w:r>
          </w:p>
        </w:tc>
      </w:tr>
      <w:tr w:rsidR="00AE3AD6" w14:paraId="6A030ADC" w14:textId="1D268B58" w:rsidTr="00AE3AD6">
        <w:tc>
          <w:tcPr>
            <w:tcW w:w="2122" w:type="dxa"/>
          </w:tcPr>
          <w:p w14:paraId="3C81CB58" w14:textId="6C03ADE1" w:rsidR="00AE3AD6" w:rsidRDefault="00AE3AD6" w:rsidP="00D44E19">
            <w:pPr>
              <w:jc w:val="left"/>
            </w:pPr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Bryant et al., 2019</w:t>
            </w:r>
          </w:p>
        </w:tc>
        <w:tc>
          <w:tcPr>
            <w:tcW w:w="1436" w:type="dxa"/>
          </w:tcPr>
          <w:p w14:paraId="5A62CEE0" w14:textId="032B845B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19" w:type="dxa"/>
          </w:tcPr>
          <w:p w14:paraId="1BA75466" w14:textId="37814058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95" w:type="dxa"/>
          </w:tcPr>
          <w:p w14:paraId="7D5D8B8B" w14:textId="748E4D07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691" w:type="dxa"/>
          </w:tcPr>
          <w:p w14:paraId="08BF4012" w14:textId="122E0D51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2132" w:type="dxa"/>
          </w:tcPr>
          <w:p w14:paraId="2C09ADA9" w14:textId="0BC19500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33" w:type="dxa"/>
          </w:tcPr>
          <w:p w14:paraId="0A57EBF0" w14:textId="1C7DD9CC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20" w:type="dxa"/>
          </w:tcPr>
          <w:p w14:paraId="6ABC7014" w14:textId="377D9DFF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ow</w:t>
            </w:r>
          </w:p>
        </w:tc>
      </w:tr>
      <w:tr w:rsidR="00AE3AD6" w14:paraId="19971D38" w14:textId="5A24A98C" w:rsidTr="00AE3AD6">
        <w:tc>
          <w:tcPr>
            <w:tcW w:w="2122" w:type="dxa"/>
          </w:tcPr>
          <w:p w14:paraId="2555B50D" w14:textId="643276F0" w:rsidR="00AE3AD6" w:rsidRDefault="00AE3AD6" w:rsidP="00C65F98">
            <w:pPr>
              <w:jc w:val="left"/>
            </w:pPr>
            <w:proofErr w:type="spellStart"/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Pilotto</w:t>
            </w:r>
            <w:proofErr w:type="spellEnd"/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 xml:space="preserve"> et al., 2018</w:t>
            </w:r>
          </w:p>
        </w:tc>
        <w:tc>
          <w:tcPr>
            <w:tcW w:w="1436" w:type="dxa"/>
          </w:tcPr>
          <w:p w14:paraId="640F6F70" w14:textId="5AD54199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19" w:type="dxa"/>
          </w:tcPr>
          <w:p w14:paraId="3F3312F9" w14:textId="42425FC7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95" w:type="dxa"/>
          </w:tcPr>
          <w:p w14:paraId="256BBAE4" w14:textId="07611CEE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691" w:type="dxa"/>
          </w:tcPr>
          <w:p w14:paraId="30ED8DE7" w14:textId="339F7C73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2132" w:type="dxa"/>
          </w:tcPr>
          <w:p w14:paraId="24699EED" w14:textId="1A93DD09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E77FF5">
              <w:rPr>
                <w:rFonts w:ascii="Times New Roman" w:hAnsi="Times New Roman" w:cs="Times New Roman"/>
              </w:rPr>
              <w:t>oderate</w:t>
            </w:r>
          </w:p>
        </w:tc>
        <w:tc>
          <w:tcPr>
            <w:tcW w:w="1733" w:type="dxa"/>
          </w:tcPr>
          <w:p w14:paraId="0302B2EF" w14:textId="377B95FE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20" w:type="dxa"/>
          </w:tcPr>
          <w:p w14:paraId="4B894A7B" w14:textId="69230C96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ow</w:t>
            </w:r>
          </w:p>
        </w:tc>
      </w:tr>
      <w:tr w:rsidR="00AE3AD6" w14:paraId="2ABD3C24" w14:textId="6CFB3CBA" w:rsidTr="00AE3AD6">
        <w:tc>
          <w:tcPr>
            <w:tcW w:w="2122" w:type="dxa"/>
          </w:tcPr>
          <w:p w14:paraId="681AA05D" w14:textId="7F09CC18" w:rsidR="00AE3AD6" w:rsidRDefault="00AE3AD6" w:rsidP="00AC7A52">
            <w:pPr>
              <w:jc w:val="left"/>
            </w:pPr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Bureau et al., 2017</w:t>
            </w:r>
          </w:p>
        </w:tc>
        <w:tc>
          <w:tcPr>
            <w:tcW w:w="1436" w:type="dxa"/>
          </w:tcPr>
          <w:p w14:paraId="6086EB45" w14:textId="7F1BA856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E77FF5">
              <w:rPr>
                <w:rFonts w:ascii="Times New Roman" w:hAnsi="Times New Roman" w:cs="Times New Roman"/>
              </w:rPr>
              <w:t>oderate</w:t>
            </w:r>
          </w:p>
        </w:tc>
        <w:tc>
          <w:tcPr>
            <w:tcW w:w="1519" w:type="dxa"/>
          </w:tcPr>
          <w:p w14:paraId="32FCADF4" w14:textId="05B193FB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95" w:type="dxa"/>
          </w:tcPr>
          <w:p w14:paraId="22AA3518" w14:textId="0886C779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691" w:type="dxa"/>
          </w:tcPr>
          <w:p w14:paraId="76C3B02F" w14:textId="359F24C8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2132" w:type="dxa"/>
          </w:tcPr>
          <w:p w14:paraId="4C4AEC71" w14:textId="3552CC7F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E77FF5">
              <w:rPr>
                <w:rFonts w:ascii="Times New Roman" w:hAnsi="Times New Roman" w:cs="Times New Roman"/>
              </w:rPr>
              <w:t>oderate</w:t>
            </w:r>
          </w:p>
        </w:tc>
        <w:tc>
          <w:tcPr>
            <w:tcW w:w="1733" w:type="dxa"/>
          </w:tcPr>
          <w:p w14:paraId="715D7E25" w14:textId="447BF4AF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20" w:type="dxa"/>
          </w:tcPr>
          <w:p w14:paraId="7D55A8EC" w14:textId="00A6C53E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ow</w:t>
            </w:r>
          </w:p>
        </w:tc>
      </w:tr>
      <w:tr w:rsidR="00AE3AD6" w14:paraId="6F4C0000" w14:textId="5A3E6197" w:rsidTr="00AE3AD6">
        <w:tc>
          <w:tcPr>
            <w:tcW w:w="2122" w:type="dxa"/>
          </w:tcPr>
          <w:p w14:paraId="1935B538" w14:textId="35E7BF0A" w:rsidR="00AE3AD6" w:rsidRDefault="00AE3AD6" w:rsidP="002D3A9D">
            <w:pPr>
              <w:jc w:val="left"/>
            </w:pPr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Volpato et al., 2015</w:t>
            </w:r>
          </w:p>
        </w:tc>
        <w:tc>
          <w:tcPr>
            <w:tcW w:w="1436" w:type="dxa"/>
          </w:tcPr>
          <w:p w14:paraId="3C75EDCD" w14:textId="0DE04CEB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E77FF5">
              <w:rPr>
                <w:rFonts w:ascii="Times New Roman" w:hAnsi="Times New Roman" w:cs="Times New Roman"/>
              </w:rPr>
              <w:t>oderate</w:t>
            </w:r>
          </w:p>
        </w:tc>
        <w:tc>
          <w:tcPr>
            <w:tcW w:w="1519" w:type="dxa"/>
          </w:tcPr>
          <w:p w14:paraId="13309DC1" w14:textId="0031740E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95" w:type="dxa"/>
          </w:tcPr>
          <w:p w14:paraId="4B20A524" w14:textId="043DED1E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691" w:type="dxa"/>
          </w:tcPr>
          <w:p w14:paraId="3E6C407A" w14:textId="56BE5BEF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2132" w:type="dxa"/>
          </w:tcPr>
          <w:p w14:paraId="59F25F76" w14:textId="35803B30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33" w:type="dxa"/>
          </w:tcPr>
          <w:p w14:paraId="42451539" w14:textId="40746250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20" w:type="dxa"/>
          </w:tcPr>
          <w:p w14:paraId="2632C170" w14:textId="18E97A79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ow</w:t>
            </w:r>
          </w:p>
        </w:tc>
      </w:tr>
      <w:tr w:rsidR="00AE3AD6" w14:paraId="7D70A8D2" w14:textId="0433A887" w:rsidTr="00AE3AD6">
        <w:tc>
          <w:tcPr>
            <w:tcW w:w="2122" w:type="dxa"/>
          </w:tcPr>
          <w:p w14:paraId="6859F46E" w14:textId="1698A21A" w:rsidR="00AE3AD6" w:rsidRDefault="00AE3AD6" w:rsidP="00217C38">
            <w:pPr>
              <w:jc w:val="left"/>
            </w:pPr>
            <w:proofErr w:type="spellStart"/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Pilotto</w:t>
            </w:r>
            <w:proofErr w:type="spellEnd"/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 xml:space="preserve"> et al., 2013</w:t>
            </w:r>
          </w:p>
        </w:tc>
        <w:tc>
          <w:tcPr>
            <w:tcW w:w="1436" w:type="dxa"/>
          </w:tcPr>
          <w:p w14:paraId="5E030EEE" w14:textId="1580F76F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19" w:type="dxa"/>
          </w:tcPr>
          <w:p w14:paraId="36609AAD" w14:textId="0FA11214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95" w:type="dxa"/>
          </w:tcPr>
          <w:p w14:paraId="331AAD00" w14:textId="313F37F2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691" w:type="dxa"/>
          </w:tcPr>
          <w:p w14:paraId="216B9DC9" w14:textId="61521EF8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2132" w:type="dxa"/>
          </w:tcPr>
          <w:p w14:paraId="3890F81E" w14:textId="2C382E3F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E77FF5">
              <w:rPr>
                <w:rFonts w:ascii="Times New Roman" w:hAnsi="Times New Roman" w:cs="Times New Roman"/>
              </w:rPr>
              <w:t>oderate</w:t>
            </w:r>
          </w:p>
        </w:tc>
        <w:tc>
          <w:tcPr>
            <w:tcW w:w="1733" w:type="dxa"/>
          </w:tcPr>
          <w:p w14:paraId="2C8B7768" w14:textId="5963CE55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20" w:type="dxa"/>
          </w:tcPr>
          <w:p w14:paraId="4CD4F76B" w14:textId="500C281C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ow</w:t>
            </w:r>
          </w:p>
        </w:tc>
      </w:tr>
      <w:tr w:rsidR="00AE3AD6" w14:paraId="6E16EBCF" w14:textId="21249C70" w:rsidTr="00AE3AD6">
        <w:tc>
          <w:tcPr>
            <w:tcW w:w="2122" w:type="dxa"/>
          </w:tcPr>
          <w:p w14:paraId="21972F95" w14:textId="788F6D26" w:rsidR="00AE3AD6" w:rsidRDefault="00AE3AD6" w:rsidP="00A304B5">
            <w:pPr>
              <w:jc w:val="left"/>
            </w:pPr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Giantin et al., 2013</w:t>
            </w:r>
          </w:p>
        </w:tc>
        <w:tc>
          <w:tcPr>
            <w:tcW w:w="1436" w:type="dxa"/>
          </w:tcPr>
          <w:p w14:paraId="40093AC0" w14:textId="4C03DA1C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19" w:type="dxa"/>
          </w:tcPr>
          <w:p w14:paraId="3D1FA680" w14:textId="4AD353D1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95" w:type="dxa"/>
          </w:tcPr>
          <w:p w14:paraId="024352AC" w14:textId="28434521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691" w:type="dxa"/>
          </w:tcPr>
          <w:p w14:paraId="6BC73F9D" w14:textId="37BFD26A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2132" w:type="dxa"/>
          </w:tcPr>
          <w:p w14:paraId="55E04D8B" w14:textId="7CB8C146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33" w:type="dxa"/>
          </w:tcPr>
          <w:p w14:paraId="190BA072" w14:textId="4771F486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BA55EC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20" w:type="dxa"/>
          </w:tcPr>
          <w:p w14:paraId="149242FE" w14:textId="7D6B8955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ow</w:t>
            </w:r>
          </w:p>
        </w:tc>
      </w:tr>
      <w:tr w:rsidR="00AE3AD6" w14:paraId="4712A37B" w14:textId="4A20B6A1" w:rsidTr="00AE3AD6">
        <w:tc>
          <w:tcPr>
            <w:tcW w:w="2122" w:type="dxa"/>
          </w:tcPr>
          <w:p w14:paraId="3C14E4EF" w14:textId="315B435E" w:rsidR="00AE3AD6" w:rsidRDefault="00AE3AD6" w:rsidP="00805BE1">
            <w:pPr>
              <w:jc w:val="left"/>
            </w:pPr>
            <w:bookmarkStart w:id="1" w:name="_Hlk174463104"/>
            <w:proofErr w:type="spellStart"/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lastRenderedPageBreak/>
              <w:t>Sancarlo</w:t>
            </w:r>
            <w:proofErr w:type="spellEnd"/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 xml:space="preserve"> et al., 2012</w:t>
            </w:r>
          </w:p>
        </w:tc>
        <w:tc>
          <w:tcPr>
            <w:tcW w:w="1436" w:type="dxa"/>
          </w:tcPr>
          <w:p w14:paraId="089F6D82" w14:textId="5D23B225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805BE1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19" w:type="dxa"/>
          </w:tcPr>
          <w:p w14:paraId="6738CF0B" w14:textId="3D76138D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805BE1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95" w:type="dxa"/>
          </w:tcPr>
          <w:p w14:paraId="096BC964" w14:textId="75D8E774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805BE1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691" w:type="dxa"/>
          </w:tcPr>
          <w:p w14:paraId="0719C67E" w14:textId="1D34482D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805BE1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2132" w:type="dxa"/>
          </w:tcPr>
          <w:p w14:paraId="02E075FE" w14:textId="79C1A3B6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805BE1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33" w:type="dxa"/>
          </w:tcPr>
          <w:p w14:paraId="781B36CF" w14:textId="14B27442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805BE1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20" w:type="dxa"/>
          </w:tcPr>
          <w:p w14:paraId="640B2CB5" w14:textId="21806B3B" w:rsidR="00AE3AD6" w:rsidRPr="00805BE1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ow</w:t>
            </w:r>
          </w:p>
        </w:tc>
      </w:tr>
      <w:bookmarkEnd w:id="1"/>
      <w:tr w:rsidR="00AE3AD6" w14:paraId="529BBA55" w14:textId="1BBEFD03" w:rsidTr="00AE3AD6">
        <w:tc>
          <w:tcPr>
            <w:tcW w:w="2122" w:type="dxa"/>
          </w:tcPr>
          <w:p w14:paraId="77F0CC34" w14:textId="15342AAB" w:rsidR="00AE3AD6" w:rsidRDefault="00AE3AD6" w:rsidP="00805BE1">
            <w:pPr>
              <w:jc w:val="left"/>
            </w:pPr>
            <w:proofErr w:type="spellStart"/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Pilotto</w:t>
            </w:r>
            <w:proofErr w:type="spellEnd"/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 xml:space="preserve"> et al., 2012</w:t>
            </w:r>
          </w:p>
        </w:tc>
        <w:tc>
          <w:tcPr>
            <w:tcW w:w="1436" w:type="dxa"/>
          </w:tcPr>
          <w:p w14:paraId="6BD6DC61" w14:textId="00F2AEBD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805BE1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19" w:type="dxa"/>
          </w:tcPr>
          <w:p w14:paraId="2CD1536D" w14:textId="792629DA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805BE1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95" w:type="dxa"/>
          </w:tcPr>
          <w:p w14:paraId="757A3C82" w14:textId="48207BF1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805BE1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691" w:type="dxa"/>
          </w:tcPr>
          <w:p w14:paraId="6D70451B" w14:textId="213FB993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805BE1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2132" w:type="dxa"/>
          </w:tcPr>
          <w:p w14:paraId="0717FCA5" w14:textId="5107BD8D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E77FF5">
              <w:rPr>
                <w:rFonts w:ascii="Times New Roman" w:hAnsi="Times New Roman" w:cs="Times New Roman"/>
              </w:rPr>
              <w:t>oderate</w:t>
            </w:r>
          </w:p>
        </w:tc>
        <w:tc>
          <w:tcPr>
            <w:tcW w:w="1733" w:type="dxa"/>
          </w:tcPr>
          <w:p w14:paraId="3E4405B5" w14:textId="4DABE966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805BE1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20" w:type="dxa"/>
          </w:tcPr>
          <w:p w14:paraId="08FD2D17" w14:textId="569E78E5" w:rsidR="00AE3AD6" w:rsidRPr="00805BE1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ow</w:t>
            </w:r>
          </w:p>
        </w:tc>
      </w:tr>
      <w:tr w:rsidR="00AE3AD6" w14:paraId="091E6188" w14:textId="73B78C64" w:rsidTr="00AE3AD6">
        <w:tc>
          <w:tcPr>
            <w:tcW w:w="2122" w:type="dxa"/>
          </w:tcPr>
          <w:p w14:paraId="0D60807C" w14:textId="0D559A78" w:rsidR="00AE3AD6" w:rsidRDefault="00AE3AD6" w:rsidP="00805BE1">
            <w:pPr>
              <w:jc w:val="left"/>
            </w:pPr>
            <w:proofErr w:type="spellStart"/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Pilotto</w:t>
            </w:r>
            <w:proofErr w:type="spellEnd"/>
            <w:r w:rsidRPr="001D6B48"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 xml:space="preserve"> et al., 2012</w:t>
            </w:r>
          </w:p>
        </w:tc>
        <w:tc>
          <w:tcPr>
            <w:tcW w:w="1436" w:type="dxa"/>
          </w:tcPr>
          <w:p w14:paraId="4A2DCA9F" w14:textId="4CD2D68C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805BE1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19" w:type="dxa"/>
          </w:tcPr>
          <w:p w14:paraId="59C30ABB" w14:textId="4F7D952C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805BE1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795" w:type="dxa"/>
          </w:tcPr>
          <w:p w14:paraId="2A7F8106" w14:textId="1FD08A6F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805BE1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691" w:type="dxa"/>
          </w:tcPr>
          <w:p w14:paraId="78859BE4" w14:textId="1E5B88D0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805BE1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2132" w:type="dxa"/>
          </w:tcPr>
          <w:p w14:paraId="38BA7C6E" w14:textId="5BCF99C4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E77FF5">
              <w:rPr>
                <w:rFonts w:ascii="Times New Roman" w:hAnsi="Times New Roman" w:cs="Times New Roman"/>
              </w:rPr>
              <w:t>oderate</w:t>
            </w:r>
          </w:p>
        </w:tc>
        <w:tc>
          <w:tcPr>
            <w:tcW w:w="1733" w:type="dxa"/>
          </w:tcPr>
          <w:p w14:paraId="65445283" w14:textId="5E7ADB03" w:rsidR="00AE3AD6" w:rsidRPr="00BA55EC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 w:rsidRPr="00805BE1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1520" w:type="dxa"/>
          </w:tcPr>
          <w:p w14:paraId="6391CBA4" w14:textId="1890C774" w:rsidR="00AE3AD6" w:rsidRPr="00805BE1" w:rsidRDefault="00AE3AD6" w:rsidP="00AE3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ow</w:t>
            </w:r>
          </w:p>
        </w:tc>
      </w:tr>
    </w:tbl>
    <w:p w14:paraId="5DA20D07" w14:textId="22E22FF6" w:rsidR="00A221E2" w:rsidRPr="001D6B48" w:rsidRDefault="00A221E2" w:rsidP="00A221E2">
      <w:pPr>
        <w:widowControl/>
        <w:textAlignment w:val="center"/>
        <w:rPr>
          <w:rFonts w:ascii="Times New Roman" w:eastAsia="宋体" w:hAnsi="Times New Roman" w:cs="Times New Roman"/>
          <w:color w:val="000000"/>
          <w:kern w:val="0"/>
          <w:sz w:val="15"/>
          <w:szCs w:val="15"/>
          <w:lang w:bidi="ar"/>
        </w:rPr>
      </w:pPr>
      <w:r w:rsidRPr="001D6B48">
        <w:rPr>
          <w:rFonts w:ascii="Times New Roman" w:eastAsia="宋体" w:hAnsi="Times New Roman" w:cs="Times New Roman"/>
          <w:color w:val="000000"/>
          <w:kern w:val="0"/>
          <w:sz w:val="15"/>
          <w:szCs w:val="15"/>
          <w:lang w:bidi="ar"/>
        </w:rPr>
        <w:t>Note:</w:t>
      </w:r>
      <w:r w:rsidRPr="00A221E2">
        <w:rPr>
          <w:rFonts w:ascii="Times New Roman" w:eastAsia="宋体" w:hAnsi="Times New Roman" w:cs="Times New Roman" w:hint="eastAsia"/>
          <w:color w:val="000000"/>
          <w:kern w:val="0"/>
          <w:sz w:val="15"/>
          <w:szCs w:val="15"/>
          <w:lang w:bidi="ar"/>
        </w:rPr>
        <w:t xml:space="preserve"> </w:t>
      </w:r>
      <w:r w:rsidRPr="00A221E2">
        <w:rPr>
          <w:rFonts w:ascii="Times New Roman" w:eastAsia="宋体" w:hAnsi="Times New Roman" w:cs="Times New Roman"/>
          <w:color w:val="000000"/>
          <w:kern w:val="0"/>
          <w:sz w:val="15"/>
          <w:szCs w:val="15"/>
          <w:lang w:bidi="ar"/>
        </w:rPr>
        <w:t>QUIPS</w:t>
      </w:r>
      <w:r>
        <w:rPr>
          <w:rFonts w:ascii="Times New Roman" w:eastAsia="宋体" w:hAnsi="Times New Roman" w:cs="Times New Roman"/>
          <w:color w:val="000000"/>
          <w:kern w:val="0"/>
          <w:sz w:val="15"/>
          <w:szCs w:val="15"/>
          <w:lang w:bidi="ar"/>
        </w:rPr>
        <w:t xml:space="preserve">, </w:t>
      </w:r>
      <w:r w:rsidRPr="00A221E2">
        <w:rPr>
          <w:rFonts w:ascii="Times New Roman" w:eastAsia="宋体" w:hAnsi="Times New Roman" w:cs="Times New Roman"/>
          <w:color w:val="000000"/>
          <w:kern w:val="0"/>
          <w:sz w:val="15"/>
          <w:szCs w:val="15"/>
          <w:lang w:bidi="ar"/>
        </w:rPr>
        <w:t>the Quality in Prognosis Studies tool</w:t>
      </w:r>
      <w:r>
        <w:rPr>
          <w:rFonts w:ascii="Times New Roman" w:eastAsia="宋体" w:hAnsi="Times New Roman" w:cs="Times New Roman"/>
          <w:color w:val="000000"/>
          <w:kern w:val="0"/>
          <w:sz w:val="15"/>
          <w:szCs w:val="15"/>
          <w:lang w:bidi="ar"/>
        </w:rPr>
        <w:t>.</w:t>
      </w:r>
    </w:p>
    <w:p w14:paraId="2CDA9F02" w14:textId="77777777" w:rsidR="00A221E2" w:rsidRDefault="00A221E2" w:rsidP="00A221E2"/>
    <w:p w14:paraId="50D4D6C4" w14:textId="21D5A0E8" w:rsidR="003642C0" w:rsidRPr="00A221E2" w:rsidRDefault="003642C0" w:rsidP="003642C0">
      <w:pPr>
        <w:sectPr w:rsidR="003642C0" w:rsidRPr="00A221E2" w:rsidSect="00650F7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11106F2" w14:textId="77777777" w:rsidR="008105F3" w:rsidRPr="008105F3" w:rsidRDefault="008105F3" w:rsidP="008105F3">
      <w:pPr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65446CF2" w14:textId="4D5743F0" w:rsidR="008105F3" w:rsidRPr="008105F3" w:rsidRDefault="008105F3" w:rsidP="008105F3">
      <w:pPr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Appendix 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3</w:t>
      </w: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. Forest plot of the association between 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m</w:t>
      </w: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ultidimensional frailty and mortality in different 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setting</w:t>
      </w: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s. </w:t>
      </w:r>
    </w:p>
    <w:p w14:paraId="0D14637F" w14:textId="77777777" w:rsidR="008105F3" w:rsidRPr="008105F3" w:rsidRDefault="008105F3" w:rsidP="008105F3">
      <w:pPr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6239C1F9" w14:textId="0D0380F2" w:rsidR="008105F3" w:rsidRPr="008105F3" w:rsidRDefault="00E902A3" w:rsidP="008105F3">
      <w:pPr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noProof/>
          <w:sz w:val="24"/>
          <w:szCs w:val="24"/>
          <w:lang w:eastAsia="ja-JP"/>
        </w:rPr>
        <w:drawing>
          <wp:inline distT="0" distB="0" distL="0" distR="0" wp14:anchorId="5A7689AC" wp14:editId="74E2495F">
            <wp:extent cx="5274310" cy="468947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8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34832" w14:textId="77777777" w:rsidR="008105F3" w:rsidRPr="008105F3" w:rsidRDefault="008105F3" w:rsidP="008105F3">
      <w:pPr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7C250F88" w14:textId="5628B955" w:rsidR="008105F3" w:rsidRDefault="008105F3" w:rsidP="008105F3">
      <w:pPr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105F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Appendix 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3</w:t>
      </w:r>
      <w:r w:rsidRPr="008105F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: Forest plot of the association between multidimensional frailty and mortality in different settings </w:t>
      </w:r>
    </w:p>
    <w:p w14:paraId="0B7C42FC" w14:textId="1AE0CC15" w:rsidR="008105F3" w:rsidRDefault="008105F3">
      <w:pPr>
        <w:sectPr w:rsidR="008105F3" w:rsidSect="00650F7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105F3">
        <w:rPr>
          <w:rFonts w:ascii="Times New Roman" w:eastAsia="MS Mincho" w:hAnsi="Times New Roman" w:cs="Times New Roman"/>
          <w:sz w:val="24"/>
          <w:szCs w:val="24"/>
          <w:lang w:eastAsia="ja-JP"/>
        </w:rPr>
        <w:t>Note: HR:</w:t>
      </w:r>
      <w:r w:rsidRPr="008105F3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Pr="008105F3">
        <w:rPr>
          <w:rFonts w:ascii="Times New Roman" w:eastAsia="MS Mincho" w:hAnsi="Times New Roman" w:cs="Times New Roman"/>
          <w:sz w:val="24"/>
          <w:szCs w:val="24"/>
          <w:lang w:eastAsia="ja-JP"/>
        </w:rPr>
        <w:t>hazard ratio; 95% CI: 95% confidence</w:t>
      </w:r>
      <w:r w:rsidRPr="008105F3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Pr="008105F3">
        <w:rPr>
          <w:rFonts w:ascii="Times New Roman" w:eastAsia="MS Mincho" w:hAnsi="Times New Roman" w:cs="Times New Roman"/>
          <w:sz w:val="24"/>
          <w:szCs w:val="24"/>
          <w:lang w:eastAsia="ja-JP"/>
        </w:rPr>
        <w:t>interval; a: development cohort; b: validation cohort.</w:t>
      </w:r>
    </w:p>
    <w:p w14:paraId="392276F1" w14:textId="18A10213" w:rsidR="008105F3" w:rsidRPr="008105F3" w:rsidRDefault="008105F3" w:rsidP="008105F3">
      <w:pPr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lastRenderedPageBreak/>
        <w:t xml:space="preserve">Appendix 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4</w:t>
      </w: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. Forest plot of the association between 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m</w:t>
      </w: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ultidimensional frailty and mortality 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about</w:t>
      </w: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different </w:t>
      </w:r>
      <w:bookmarkStart w:id="2" w:name="_Hlk147567409"/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follow-up durations</w:t>
      </w:r>
      <w:bookmarkEnd w:id="2"/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. </w:t>
      </w:r>
    </w:p>
    <w:p w14:paraId="2E9025FA" w14:textId="3113B206" w:rsidR="00654FFE" w:rsidRDefault="00A85021">
      <w:pPr>
        <w:rPr>
          <w:noProof/>
        </w:rPr>
      </w:pPr>
      <w:r>
        <w:rPr>
          <w:noProof/>
        </w:rPr>
        <w:drawing>
          <wp:inline distT="0" distB="0" distL="0" distR="0" wp14:anchorId="5BA1696B" wp14:editId="66DD24D3">
            <wp:extent cx="5274310" cy="5274310"/>
            <wp:effectExtent l="0" t="0" r="254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7F7C4" w14:textId="0268EAFB" w:rsidR="008105F3" w:rsidRDefault="008105F3" w:rsidP="008105F3">
      <w:pPr>
        <w:rPr>
          <w:noProof/>
        </w:rPr>
      </w:pPr>
    </w:p>
    <w:p w14:paraId="62553BBE" w14:textId="0B579681" w:rsidR="008105F3" w:rsidRDefault="008105F3" w:rsidP="008105F3">
      <w:pPr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105F3">
        <w:rPr>
          <w:rFonts w:ascii="Times New Roman" w:eastAsia="MS Mincho" w:hAnsi="Times New Roman" w:cs="Times New Roman"/>
          <w:sz w:val="24"/>
          <w:szCs w:val="24"/>
          <w:lang w:eastAsia="ja-JP"/>
        </w:rPr>
        <w:t>Appendix 4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</w:t>
      </w:r>
      <w:r w:rsidRPr="008105F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Forest plot of the association between multidimensional frailty and mortality about different follow-up durations.  </w:t>
      </w:r>
    </w:p>
    <w:p w14:paraId="09E9DB83" w14:textId="77777777" w:rsidR="00817980" w:rsidRDefault="008105F3" w:rsidP="008105F3">
      <w:pPr>
        <w:rPr>
          <w:rFonts w:ascii="Times New Roman" w:eastAsia="MS Mincho" w:hAnsi="Times New Roman" w:cs="Times New Roman"/>
          <w:sz w:val="24"/>
          <w:szCs w:val="24"/>
          <w:lang w:eastAsia="ja-JP"/>
        </w:rPr>
        <w:sectPr w:rsidR="00817980" w:rsidSect="00650F7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105F3">
        <w:rPr>
          <w:rFonts w:ascii="Times New Roman" w:eastAsia="MS Mincho" w:hAnsi="Times New Roman" w:cs="Times New Roman"/>
          <w:sz w:val="24"/>
          <w:szCs w:val="24"/>
          <w:lang w:eastAsia="ja-JP"/>
        </w:rPr>
        <w:t>Note: HR:</w:t>
      </w:r>
      <w:r w:rsidRPr="008105F3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Pr="008105F3">
        <w:rPr>
          <w:rFonts w:ascii="Times New Roman" w:eastAsia="MS Mincho" w:hAnsi="Times New Roman" w:cs="Times New Roman"/>
          <w:sz w:val="24"/>
          <w:szCs w:val="24"/>
          <w:lang w:eastAsia="ja-JP"/>
        </w:rPr>
        <w:t>hazard ratio; 95% CI: 95% confidence</w:t>
      </w:r>
      <w:r w:rsidRPr="008105F3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Pr="008105F3">
        <w:rPr>
          <w:rFonts w:ascii="Times New Roman" w:eastAsia="MS Mincho" w:hAnsi="Times New Roman" w:cs="Times New Roman"/>
          <w:sz w:val="24"/>
          <w:szCs w:val="24"/>
          <w:lang w:eastAsia="ja-JP"/>
        </w:rPr>
        <w:t>interval; a: development cohort; b: validation cohort.</w:t>
      </w:r>
    </w:p>
    <w:p w14:paraId="3254342A" w14:textId="77777777" w:rsidR="008105F3" w:rsidRDefault="008105F3" w:rsidP="008105F3"/>
    <w:p w14:paraId="6319751D" w14:textId="375B1D3C" w:rsidR="00817980" w:rsidRPr="008105F3" w:rsidRDefault="00817980" w:rsidP="00817980">
      <w:pPr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Appendix 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5</w:t>
      </w: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. Forest plot of the association between 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m</w:t>
      </w: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ultidimensional frailty and mortality 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about</w:t>
      </w: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different </w:t>
      </w:r>
      <w:r w:rsidRPr="0081798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system disease</w:t>
      </w: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s. </w:t>
      </w:r>
    </w:p>
    <w:p w14:paraId="4120EB7B" w14:textId="4FA94718" w:rsidR="00817980" w:rsidRPr="00817980" w:rsidRDefault="001E2D24" w:rsidP="00817980">
      <w:r>
        <w:rPr>
          <w:noProof/>
        </w:rPr>
        <w:drawing>
          <wp:inline distT="0" distB="0" distL="0" distR="0" wp14:anchorId="2C1938B0" wp14:editId="7B3D6A75">
            <wp:extent cx="5274310" cy="6029960"/>
            <wp:effectExtent l="0" t="0" r="254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2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8C479" w14:textId="61895314" w:rsidR="00817980" w:rsidRPr="00817980" w:rsidRDefault="00817980" w:rsidP="00817980">
      <w:pPr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 w:rsidRPr="00817980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Appendix 5. Forest plot of the association between multidimensional frailty and mortality about different system diseases.</w:t>
      </w:r>
    </w:p>
    <w:p w14:paraId="5FB94F06" w14:textId="2BF60C0F" w:rsidR="00817980" w:rsidRPr="00817980" w:rsidRDefault="00817980" w:rsidP="00817980">
      <w:pPr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 w:rsidRPr="00817980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Note: HR: hazard ratio; 95% CI: 95% confidence interval; a: development cohort; b: validation cohort.</w:t>
      </w:r>
    </w:p>
    <w:p w14:paraId="7AE1C648" w14:textId="26F6A8E0" w:rsidR="00817980" w:rsidRPr="00817980" w:rsidRDefault="00817980" w:rsidP="00817980">
      <w:pPr>
        <w:sectPr w:rsidR="00817980" w:rsidRPr="00817980" w:rsidSect="00650F7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0BB3C1B" w14:textId="4524376D" w:rsidR="008105F3" w:rsidRPr="008105F3" w:rsidRDefault="008105F3" w:rsidP="008105F3">
      <w:pPr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lastRenderedPageBreak/>
        <w:t xml:space="preserve">Appendix </w:t>
      </w:r>
      <w:r w:rsidR="001E2D24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6</w:t>
      </w: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. Forest plot of the association between 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m</w:t>
      </w: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ultidimensional 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pre</w:t>
      </w: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frailty and mortality in different 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setting</w:t>
      </w: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s. </w:t>
      </w:r>
    </w:p>
    <w:p w14:paraId="0E0B4B52" w14:textId="340A29DA" w:rsidR="008105F3" w:rsidRDefault="00426023" w:rsidP="008105F3">
      <w:pPr>
        <w:rPr>
          <w:noProof/>
        </w:rPr>
      </w:pPr>
      <w:r>
        <w:rPr>
          <w:noProof/>
        </w:rPr>
        <w:drawing>
          <wp:inline distT="0" distB="0" distL="0" distR="0" wp14:anchorId="04F45821" wp14:editId="6FFF6DDB">
            <wp:extent cx="5274310" cy="468947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8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A463B" w14:textId="7CEA9EAC" w:rsidR="008105F3" w:rsidRDefault="008105F3" w:rsidP="008105F3">
      <w:pPr>
        <w:rPr>
          <w:noProof/>
        </w:rPr>
      </w:pPr>
    </w:p>
    <w:p w14:paraId="4FD63A2C" w14:textId="58B05CE0" w:rsidR="008105F3" w:rsidRDefault="008105F3" w:rsidP="008105F3">
      <w:pPr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 w:rsidRPr="008105F3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Appendix </w:t>
      </w:r>
      <w:r w:rsidR="001E2D24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6</w:t>
      </w:r>
      <w:r w:rsidRPr="008105F3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. Forest plot of the association between multidimensional prefrailty and mortality in different settings.</w:t>
      </w:r>
    </w:p>
    <w:p w14:paraId="6B9B067A" w14:textId="77777777" w:rsidR="008105F3" w:rsidRDefault="008105F3" w:rsidP="008105F3">
      <w:pPr>
        <w:sectPr w:rsidR="008105F3" w:rsidSect="00650F7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105F3">
        <w:rPr>
          <w:rFonts w:ascii="Times New Roman" w:eastAsia="MS Mincho" w:hAnsi="Times New Roman" w:cs="Times New Roman"/>
          <w:sz w:val="24"/>
          <w:szCs w:val="24"/>
          <w:lang w:eastAsia="ja-JP"/>
        </w:rPr>
        <w:t>Note: HR:</w:t>
      </w:r>
      <w:r w:rsidRPr="008105F3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Pr="008105F3">
        <w:rPr>
          <w:rFonts w:ascii="Times New Roman" w:eastAsia="MS Mincho" w:hAnsi="Times New Roman" w:cs="Times New Roman"/>
          <w:sz w:val="24"/>
          <w:szCs w:val="24"/>
          <w:lang w:eastAsia="ja-JP"/>
        </w:rPr>
        <w:t>hazard ratio; 95% CI: 95% confidence</w:t>
      </w:r>
      <w:r w:rsidRPr="008105F3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Pr="008105F3">
        <w:rPr>
          <w:rFonts w:ascii="Times New Roman" w:eastAsia="MS Mincho" w:hAnsi="Times New Roman" w:cs="Times New Roman"/>
          <w:sz w:val="24"/>
          <w:szCs w:val="24"/>
          <w:lang w:eastAsia="ja-JP"/>
        </w:rPr>
        <w:t>interval; a: development cohort; b: validation cohort.</w:t>
      </w:r>
    </w:p>
    <w:p w14:paraId="7F407EE1" w14:textId="5B9F4EFA" w:rsidR="008105F3" w:rsidRDefault="008105F3" w:rsidP="008105F3">
      <w:pPr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lastRenderedPageBreak/>
        <w:t xml:space="preserve">Appendix </w:t>
      </w:r>
      <w:r w:rsidR="001E2D24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7</w:t>
      </w: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. Forest plot of the association between 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m</w:t>
      </w: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ultidimensional 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pre</w:t>
      </w: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frailty and mortality 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about</w:t>
      </w: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different follow-up durations. </w:t>
      </w:r>
    </w:p>
    <w:p w14:paraId="092F7539" w14:textId="31319E92" w:rsidR="008105F3" w:rsidRPr="008105F3" w:rsidRDefault="00A85021" w:rsidP="008105F3">
      <w:pPr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noProof/>
          <w:sz w:val="24"/>
          <w:szCs w:val="24"/>
          <w:lang w:eastAsia="ja-JP"/>
        </w:rPr>
        <w:drawing>
          <wp:inline distT="0" distB="0" distL="0" distR="0" wp14:anchorId="579D01DB" wp14:editId="4C5A62A0">
            <wp:extent cx="5274310" cy="468947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8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4696E" w14:textId="32F77E88" w:rsidR="008105F3" w:rsidRPr="008105F3" w:rsidRDefault="008105F3" w:rsidP="008105F3">
      <w:pPr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 w:rsidRPr="008105F3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Appendix </w:t>
      </w:r>
      <w:r w:rsidR="001E2D24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7</w:t>
      </w:r>
      <w:r w:rsidRPr="008105F3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. Forest plot of the association between multidimensional prefrailty and mortality about different follow-up durations.</w:t>
      </w:r>
    </w:p>
    <w:p w14:paraId="68F3950D" w14:textId="4F7DD931" w:rsidR="008105F3" w:rsidRDefault="008105F3" w:rsidP="008105F3">
      <w:pPr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 w:rsidRPr="008105F3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Note: HR: hazard ratio; 95% CI: 95% confidence interval; a: development cohort; b: validation cohort.</w:t>
      </w:r>
    </w:p>
    <w:p w14:paraId="33CE8060" w14:textId="77777777" w:rsidR="008105F3" w:rsidRDefault="008105F3" w:rsidP="008105F3">
      <w:pPr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sectPr w:rsidR="008105F3" w:rsidSect="00650F7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A43AC56" w14:textId="2ADB573D" w:rsidR="001E2D24" w:rsidRDefault="001E2D24" w:rsidP="001E2D24">
      <w:pPr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lastRenderedPageBreak/>
        <w:t xml:space="preserve">Appendix 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8</w:t>
      </w: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. Forest plot of the association between 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m</w:t>
      </w: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ultidimensional 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pre</w:t>
      </w: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frailty and mortality 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about</w:t>
      </w: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different follow-up durations. </w:t>
      </w:r>
    </w:p>
    <w:p w14:paraId="21FDCE2D" w14:textId="3230BDB1" w:rsidR="001E2D24" w:rsidRPr="001E2D24" w:rsidRDefault="001E2D24" w:rsidP="008105F3">
      <w:pPr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noProof/>
          <w:sz w:val="24"/>
          <w:szCs w:val="24"/>
          <w:lang w:eastAsia="ja-JP"/>
        </w:rPr>
        <w:drawing>
          <wp:inline distT="0" distB="0" distL="0" distR="0" wp14:anchorId="12EA0D57" wp14:editId="44C25DC1">
            <wp:extent cx="5274310" cy="5274310"/>
            <wp:effectExtent l="0" t="0" r="2540" b="25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7D5BD" w14:textId="4D6A4096" w:rsidR="001E2D24" w:rsidRPr="00817980" w:rsidRDefault="001E2D24" w:rsidP="001E2D24">
      <w:pPr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 w:rsidRPr="00817980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Appendix </w:t>
      </w:r>
      <w:r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8</w:t>
      </w:r>
      <w:r w:rsidRPr="00817980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. Forest plot of the association between multidimensional </w:t>
      </w:r>
      <w:r w:rsidRPr="001E2D24">
        <w:rPr>
          <w:rFonts w:ascii="Times New Roman" w:eastAsia="MS Mincho" w:hAnsi="Times New Roman" w:cs="Times New Roman" w:hint="eastAsia"/>
          <w:bCs/>
          <w:sz w:val="24"/>
          <w:szCs w:val="24"/>
          <w:lang w:eastAsia="ja-JP"/>
        </w:rPr>
        <w:t>pre</w:t>
      </w:r>
      <w:r w:rsidRPr="00817980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frailty and mortality about different system diseases.</w:t>
      </w:r>
    </w:p>
    <w:p w14:paraId="2D0F7A8B" w14:textId="77777777" w:rsidR="001E2D24" w:rsidRPr="00817980" w:rsidRDefault="001E2D24" w:rsidP="001E2D24">
      <w:pPr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 w:rsidRPr="00817980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Note: HR: hazard ratio; 95% CI: 95% confidence interval; a: development cohort; b: validation cohort.</w:t>
      </w:r>
    </w:p>
    <w:p w14:paraId="181A12EC" w14:textId="77777777" w:rsidR="001E2D24" w:rsidRPr="001E2D24" w:rsidRDefault="001E2D24" w:rsidP="008105F3">
      <w:pPr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6D8A636B" w14:textId="7114DFDA" w:rsidR="001E2D24" w:rsidRDefault="001E2D24" w:rsidP="008105F3">
      <w:pPr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48DCA242" w14:textId="5349A5C0" w:rsidR="001E2D24" w:rsidRDefault="001E2D24" w:rsidP="008105F3">
      <w:pPr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4B68A68B" w14:textId="08C9FCA3" w:rsidR="001E2D24" w:rsidRDefault="001E2D24" w:rsidP="008105F3">
      <w:pPr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47EDC066" w14:textId="06FAD1F7" w:rsidR="001E2D24" w:rsidRDefault="001E2D24" w:rsidP="008105F3">
      <w:pPr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5F559A17" w14:textId="72054862" w:rsidR="001E2D24" w:rsidRDefault="001E2D24" w:rsidP="008105F3">
      <w:pPr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4FB6C43F" w14:textId="31938D6A" w:rsidR="001E2D24" w:rsidRDefault="001E2D24" w:rsidP="008105F3">
      <w:pPr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04A4DDE6" w14:textId="43E1717C" w:rsidR="001E2D24" w:rsidRDefault="001E2D24" w:rsidP="008105F3">
      <w:pPr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3ACB6CFA" w14:textId="29207EE0" w:rsidR="001E2D24" w:rsidRDefault="001E2D24" w:rsidP="008105F3">
      <w:pPr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5EB018DC" w14:textId="24B6A6AF" w:rsidR="001E2D24" w:rsidRDefault="001E2D24" w:rsidP="008105F3">
      <w:pPr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0E255D98" w14:textId="4A8457C6" w:rsidR="001E2D24" w:rsidRDefault="001E2D24" w:rsidP="008105F3">
      <w:pPr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522832AD" w14:textId="6B2CF854" w:rsidR="001E2D24" w:rsidRDefault="001E2D24" w:rsidP="008105F3">
      <w:pPr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1D72AE5E" w14:textId="2D58A678" w:rsidR="008105F3" w:rsidRDefault="008105F3" w:rsidP="008105F3">
      <w:pPr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Appendix </w:t>
      </w:r>
      <w:r w:rsidR="001E2D24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9</w:t>
      </w: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. Forest plot of the association between mortality and 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d</w:t>
      </w: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ifferent models of multidimensional frailty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</w:t>
      </w: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measure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d</w:t>
      </w: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by odds ratio (OR).</w:t>
      </w:r>
    </w:p>
    <w:p w14:paraId="36F42829" w14:textId="77777777" w:rsidR="008105F3" w:rsidRDefault="008105F3" w:rsidP="008105F3">
      <w:pPr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2A0204C5" w14:textId="1D1FA8B3" w:rsidR="008105F3" w:rsidRDefault="00A85021" w:rsidP="008105F3">
      <w:pPr>
        <w:rPr>
          <w:rFonts w:ascii="Times New Roman" w:eastAsia="MS Mincho" w:hAnsi="Times New Roman" w:cs="Times New Roman"/>
          <w:bCs/>
          <w:noProof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Cs/>
          <w:noProof/>
          <w:sz w:val="24"/>
          <w:szCs w:val="24"/>
          <w:lang w:eastAsia="ja-JP"/>
        </w:rPr>
        <w:drawing>
          <wp:inline distT="0" distB="0" distL="0" distR="0" wp14:anchorId="6297A9A0" wp14:editId="2078F877">
            <wp:extent cx="5274310" cy="4219575"/>
            <wp:effectExtent l="0" t="0" r="254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787BF" w14:textId="65A6E717" w:rsidR="008105F3" w:rsidRDefault="008105F3" w:rsidP="008105F3">
      <w:pPr>
        <w:rPr>
          <w:rFonts w:ascii="Times New Roman" w:eastAsia="MS Mincho" w:hAnsi="Times New Roman" w:cs="Times New Roman"/>
          <w:bCs/>
          <w:noProof/>
          <w:sz w:val="24"/>
          <w:szCs w:val="24"/>
          <w:lang w:eastAsia="ja-JP"/>
        </w:rPr>
      </w:pPr>
    </w:p>
    <w:p w14:paraId="3F81CC72" w14:textId="6D65586B" w:rsidR="008105F3" w:rsidRPr="008105F3" w:rsidRDefault="008105F3" w:rsidP="008105F3">
      <w:pPr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8105F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Appendix </w:t>
      </w:r>
      <w:r w:rsidR="001E2D24">
        <w:rPr>
          <w:rFonts w:ascii="Times New Roman" w:eastAsia="MS Mincho" w:hAnsi="Times New Roman" w:cs="Times New Roman"/>
          <w:sz w:val="24"/>
          <w:szCs w:val="24"/>
          <w:lang w:eastAsia="ja-JP"/>
        </w:rPr>
        <w:t>9</w:t>
      </w:r>
      <w:r w:rsidRPr="008105F3">
        <w:rPr>
          <w:rFonts w:ascii="Times New Roman" w:eastAsia="MS Mincho" w:hAnsi="Times New Roman" w:cs="Times New Roman"/>
          <w:sz w:val="24"/>
          <w:szCs w:val="24"/>
          <w:lang w:eastAsia="ja-JP"/>
        </w:rPr>
        <w:t>. Forest plot of the association between mortality and different models of multidimensional frailty measured by odds ratio (OR).</w:t>
      </w:r>
    </w:p>
    <w:p w14:paraId="497CFF3A" w14:textId="6611C3EC" w:rsidR="008105F3" w:rsidRPr="00770D6B" w:rsidRDefault="008105F3" w:rsidP="008105F3">
      <w:pPr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70D6B">
        <w:rPr>
          <w:rFonts w:ascii="Times New Roman" w:eastAsia="MS Mincho" w:hAnsi="Times New Roman" w:cs="Times New Roman"/>
          <w:sz w:val="24"/>
          <w:szCs w:val="24"/>
          <w:lang w:eastAsia="ja-JP"/>
        </w:rPr>
        <w:t>Note: 95% CI: 95% confidence</w:t>
      </w:r>
      <w:r w:rsidRPr="00770D6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70D6B">
        <w:rPr>
          <w:rFonts w:ascii="Times New Roman" w:eastAsia="MS Mincho" w:hAnsi="Times New Roman" w:cs="Times New Roman"/>
          <w:sz w:val="24"/>
          <w:szCs w:val="24"/>
          <w:lang w:eastAsia="ja-JP"/>
        </w:rPr>
        <w:t>interval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; a:</w:t>
      </w:r>
      <w:r w:rsidRPr="00770D6B">
        <w:rPr>
          <w:rFonts w:ascii="Times New Roman" w:eastAsia="MS Mincho" w:hAnsi="Times New Roman" w:cs="Times New Roman" w:hint="eastAsia"/>
          <w:sz w:val="24"/>
          <w:szCs w:val="24"/>
          <w:lang w:eastAsia="ja-JP"/>
        </w:rPr>
        <w:t xml:space="preserve"> </w:t>
      </w:r>
      <w:r>
        <w:rPr>
          <w:rFonts w:ascii="Times New Roman" w:hAnsi="Times New Roman" w:cs="Times New Roman" w:hint="eastAsia"/>
          <w:szCs w:val="21"/>
          <w:lang w:bidi="ar"/>
        </w:rPr>
        <w:t>m</w:t>
      </w:r>
      <w:r w:rsidRPr="00770D6B">
        <w:rPr>
          <w:rFonts w:ascii="Times New Roman" w:hAnsi="Times New Roman" w:cs="Times New Roman"/>
          <w:szCs w:val="21"/>
          <w:lang w:bidi="ar"/>
        </w:rPr>
        <w:t>ultidimensional frailty</w:t>
      </w:r>
      <w:r>
        <w:rPr>
          <w:rFonts w:ascii="Times New Roman" w:hAnsi="Times New Roman" w:cs="Times New Roman"/>
          <w:szCs w:val="21"/>
          <w:lang w:bidi="ar"/>
        </w:rPr>
        <w:t xml:space="preserve">; b: </w:t>
      </w:r>
      <w:r>
        <w:rPr>
          <w:rFonts w:ascii="Times New Roman" w:hAnsi="Times New Roman" w:cs="Times New Roman" w:hint="eastAsia"/>
          <w:szCs w:val="21"/>
          <w:lang w:bidi="ar"/>
        </w:rPr>
        <w:t>m</w:t>
      </w:r>
      <w:r w:rsidRPr="00770D6B">
        <w:rPr>
          <w:rFonts w:ascii="Times New Roman" w:hAnsi="Times New Roman" w:cs="Times New Roman"/>
          <w:szCs w:val="21"/>
          <w:lang w:bidi="ar"/>
        </w:rPr>
        <w:t xml:space="preserve">ultidimensional </w:t>
      </w:r>
      <w:r>
        <w:rPr>
          <w:rFonts w:ascii="Times New Roman" w:hAnsi="Times New Roman" w:cs="Times New Roman"/>
          <w:szCs w:val="21"/>
          <w:lang w:bidi="ar"/>
        </w:rPr>
        <w:t>pre</w:t>
      </w:r>
      <w:r w:rsidRPr="00770D6B">
        <w:rPr>
          <w:rFonts w:ascii="Times New Roman" w:hAnsi="Times New Roman" w:cs="Times New Roman"/>
          <w:szCs w:val="21"/>
          <w:lang w:bidi="ar"/>
        </w:rPr>
        <w:t>frailty</w:t>
      </w:r>
    </w:p>
    <w:p w14:paraId="4FF1687B" w14:textId="77777777" w:rsidR="00E63F4B" w:rsidRDefault="00E63F4B" w:rsidP="008105F3">
      <w:pPr>
        <w:rPr>
          <w:rFonts w:ascii="Times New Roman" w:eastAsia="MS Mincho" w:hAnsi="Times New Roman" w:cs="Times New Roman"/>
          <w:sz w:val="24"/>
          <w:szCs w:val="24"/>
          <w:lang w:eastAsia="ja-JP"/>
        </w:rPr>
        <w:sectPr w:rsidR="00E63F4B" w:rsidSect="00650F7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EFC48CD" w14:textId="567A4DC9" w:rsidR="008105F3" w:rsidRPr="00E63F4B" w:rsidRDefault="00E63F4B" w:rsidP="00E63F4B">
      <w:pPr>
        <w:jc w:val="center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lastRenderedPageBreak/>
        <w:t xml:space="preserve">Appendix 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10</w:t>
      </w:r>
      <w:r w:rsidRPr="008105F3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.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T</w:t>
      </w:r>
      <w:r w:rsidRPr="00E63F4B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he reference list for the excluded forty-two report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5"/>
        <w:gridCol w:w="9155"/>
        <w:gridCol w:w="3888"/>
      </w:tblGrid>
      <w:tr w:rsidR="00E63F4B" w14:paraId="4653E464" w14:textId="77777777" w:rsidTr="006E292E">
        <w:tc>
          <w:tcPr>
            <w:tcW w:w="905" w:type="dxa"/>
          </w:tcPr>
          <w:p w14:paraId="1B697547" w14:textId="77777777" w:rsidR="00E63F4B" w:rsidRPr="002E5699" w:rsidRDefault="00E63F4B" w:rsidP="004228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FE6DED">
              <w:rPr>
                <w:rFonts w:ascii="Times New Roman" w:hAnsi="Times New Roman" w:cs="Times New Roman"/>
              </w:rPr>
              <w:t>umber</w:t>
            </w:r>
          </w:p>
        </w:tc>
        <w:tc>
          <w:tcPr>
            <w:tcW w:w="9155" w:type="dxa"/>
          </w:tcPr>
          <w:p w14:paraId="37C4F4D1" w14:textId="77777777" w:rsidR="00E63F4B" w:rsidRPr="002E5699" w:rsidRDefault="00E63F4B" w:rsidP="004228AD">
            <w:pPr>
              <w:jc w:val="center"/>
              <w:rPr>
                <w:rFonts w:ascii="Times New Roman" w:hAnsi="Times New Roman" w:cs="Times New Roman"/>
              </w:rPr>
            </w:pPr>
            <w:r w:rsidRPr="002E5699">
              <w:rPr>
                <w:rFonts w:ascii="Times New Roman" w:hAnsi="Times New Roman" w:cs="Times New Roman"/>
              </w:rPr>
              <w:t>Study</w:t>
            </w:r>
          </w:p>
        </w:tc>
        <w:tc>
          <w:tcPr>
            <w:tcW w:w="3888" w:type="dxa"/>
          </w:tcPr>
          <w:p w14:paraId="19F0CF78" w14:textId="3D3AE3C3" w:rsidR="00E63F4B" w:rsidRPr="002E5699" w:rsidRDefault="00E63F4B" w:rsidP="004228AD">
            <w:pPr>
              <w:jc w:val="center"/>
              <w:rPr>
                <w:rFonts w:ascii="Times New Roman" w:hAnsi="Times New Roman" w:cs="Times New Roman"/>
              </w:rPr>
            </w:pPr>
            <w:r w:rsidRPr="002E5699">
              <w:rPr>
                <w:rFonts w:ascii="Times New Roman" w:hAnsi="Times New Roman" w:cs="Times New Roman"/>
              </w:rPr>
              <w:t xml:space="preserve">Reason for </w:t>
            </w:r>
            <w:r w:rsidRPr="00E63F4B">
              <w:rPr>
                <w:rFonts w:ascii="Times New Roman" w:hAnsi="Times New Roman" w:cs="Times New Roman"/>
              </w:rPr>
              <w:t>exclusion</w:t>
            </w:r>
          </w:p>
        </w:tc>
      </w:tr>
      <w:tr w:rsidR="00E63F4B" w14:paraId="137F31D6" w14:textId="77777777" w:rsidTr="006E292E">
        <w:tc>
          <w:tcPr>
            <w:tcW w:w="905" w:type="dxa"/>
            <w:vAlign w:val="center"/>
          </w:tcPr>
          <w:p w14:paraId="1B6DBA34" w14:textId="77777777" w:rsidR="00E63F4B" w:rsidRPr="00CD70BC" w:rsidRDefault="00E63F4B" w:rsidP="004228AD">
            <w:pPr>
              <w:pStyle w:val="EndNoteBibliography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9155" w:type="dxa"/>
          </w:tcPr>
          <w:p w14:paraId="5B8D299E" w14:textId="40D46AA1" w:rsidR="00E63F4B" w:rsidRPr="00CD70BC" w:rsidRDefault="00E63F4B" w:rsidP="004228AD">
            <w:pPr>
              <w:pStyle w:val="EndNoteBibliography"/>
              <w:rPr>
                <w:rFonts w:ascii="Times New Roman" w:hAnsi="Times New Roman" w:cs="Times New Roman"/>
              </w:rPr>
            </w:pPr>
            <w:r w:rsidRPr="00E63F4B">
              <w:rPr>
                <w:rFonts w:ascii="Times New Roman" w:hAnsi="Times New Roman" w:cs="Times New Roman"/>
              </w:rPr>
              <w:t>Pilotto A</w:t>
            </w:r>
            <w:r w:rsidR="00697AA6" w:rsidRPr="008C478A">
              <w:rPr>
                <w:rFonts w:ascii="Times New Roman" w:hAnsi="Times New Roman" w:cs="Times New Roman"/>
              </w:rPr>
              <w:t>., et al.,</w:t>
            </w:r>
            <w:r w:rsidR="00697AA6">
              <w:rPr>
                <w:rFonts w:ascii="Times New Roman" w:hAnsi="Times New Roman" w:cs="Times New Roman"/>
              </w:rPr>
              <w:t xml:space="preserve"> </w:t>
            </w:r>
            <w:r w:rsidRPr="00E63F4B">
              <w:rPr>
                <w:rFonts w:ascii="Times New Roman" w:hAnsi="Times New Roman" w:cs="Times New Roman"/>
              </w:rPr>
              <w:t>Association Between the Multidimensional Prognostic Index and Mortality During 15 Years of Follow-up in the InCHIANTI Study. J Gerontol A Biol Sci Med Sci. 2021 Aug 13;76(9):1678-1685. doi: 10.1093/gerona/glaa237. PMID: 32941606; PMCID: PMC8361337.</w:t>
            </w:r>
          </w:p>
        </w:tc>
        <w:tc>
          <w:tcPr>
            <w:tcW w:w="3888" w:type="dxa"/>
          </w:tcPr>
          <w:p w14:paraId="51826C3D" w14:textId="58D5E8B1" w:rsidR="00E63F4B" w:rsidRPr="00513F89" w:rsidRDefault="00E63F4B" w:rsidP="004228AD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</w:rPr>
              <w:t>The</w:t>
            </w:r>
            <w:r w:rsidR="0031142E">
              <w:rPr>
                <w:rFonts w:ascii="Times New Roman" w:eastAsia="等线" w:hAnsi="Times New Roman" w:cs="Times New Roman"/>
                <w:noProof/>
                <w:sz w:val="20"/>
              </w:rPr>
              <w:t xml:space="preserve"> lowest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 xml:space="preserve"> age of Participants </w:t>
            </w:r>
            <w:r>
              <w:rPr>
                <w:rFonts w:ascii="等线" w:eastAsia="等线" w:hAnsi="等线" w:cs="Times New Roman" w:hint="eastAsia"/>
                <w:noProof/>
                <w:sz w:val="20"/>
              </w:rPr>
              <w:t>&lt;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 xml:space="preserve"> 60 years old</w:t>
            </w:r>
          </w:p>
        </w:tc>
      </w:tr>
      <w:tr w:rsidR="00E63F4B" w14:paraId="290CF57B" w14:textId="77777777" w:rsidTr="006E292E">
        <w:tc>
          <w:tcPr>
            <w:tcW w:w="905" w:type="dxa"/>
            <w:vAlign w:val="center"/>
          </w:tcPr>
          <w:p w14:paraId="11A791C6" w14:textId="77777777" w:rsidR="00E63F4B" w:rsidRPr="00581BA2" w:rsidRDefault="00E63F4B" w:rsidP="004228AD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2</w:t>
            </w:r>
          </w:p>
        </w:tc>
        <w:tc>
          <w:tcPr>
            <w:tcW w:w="9155" w:type="dxa"/>
          </w:tcPr>
          <w:p w14:paraId="649000CA" w14:textId="13FADDB7" w:rsidR="00E63F4B" w:rsidRPr="00581BA2" w:rsidRDefault="00E63F4B" w:rsidP="004228AD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E63F4B">
              <w:rPr>
                <w:rFonts w:ascii="Times New Roman" w:eastAsia="等线" w:hAnsi="Times New Roman" w:cs="Times New Roman"/>
                <w:noProof/>
                <w:sz w:val="20"/>
              </w:rPr>
              <w:t>Veronese N</w:t>
            </w:r>
            <w:r w:rsidR="00697AA6" w:rsidRPr="008C478A">
              <w:rPr>
                <w:rFonts w:ascii="Times New Roman" w:eastAsia="等线" w:hAnsi="Times New Roman" w:cs="Times New Roman"/>
                <w:noProof/>
                <w:sz w:val="20"/>
              </w:rPr>
              <w:t>., et al.</w:t>
            </w:r>
            <w:r w:rsidR="00697AA6">
              <w:rPr>
                <w:rFonts w:ascii="Times New Roman" w:eastAsia="等线" w:hAnsi="Times New Roman" w:cs="Times New Roman" w:hint="eastAsia"/>
                <w:noProof/>
                <w:sz w:val="20"/>
              </w:rPr>
              <w:t>;</w:t>
            </w:r>
            <w:r w:rsidRPr="00E63F4B">
              <w:rPr>
                <w:rFonts w:ascii="Times New Roman" w:eastAsia="等线" w:hAnsi="Times New Roman" w:cs="Times New Roman"/>
                <w:noProof/>
                <w:sz w:val="20"/>
              </w:rPr>
              <w:t xml:space="preserve"> MPI AGE Investigators. Older women are frailer, but less often die then men: a prospective study of older hospitalized people. Maturitas. 2019 Oct;128:81-86. doi: 10.1016/j.maturitas.2019.07.025. Epub 2019 Aug 3. PMID: 31561828; PMCID: PMC7461698.</w:t>
            </w:r>
          </w:p>
        </w:tc>
        <w:tc>
          <w:tcPr>
            <w:tcW w:w="3888" w:type="dxa"/>
          </w:tcPr>
          <w:p w14:paraId="037B3781" w14:textId="4087F7D9" w:rsidR="00E63F4B" w:rsidRDefault="00E63F4B" w:rsidP="004228AD">
            <w:r w:rsidRPr="00513F89">
              <w:rPr>
                <w:rFonts w:ascii="Times New Roman" w:eastAsia="等线" w:hAnsi="Times New Roman" w:cs="Times New Roman"/>
                <w:noProof/>
                <w:sz w:val="20"/>
              </w:rPr>
              <w:t xml:space="preserve">The </w:t>
            </w:r>
            <w:r w:rsidR="00FD0A05">
              <w:rPr>
                <w:rFonts w:ascii="Times New Roman" w:eastAsia="等线" w:hAnsi="Times New Roman" w:cs="Times New Roman"/>
                <w:noProof/>
                <w:sz w:val="20"/>
              </w:rPr>
              <w:t>study did not provide m</w:t>
            </w:r>
            <w:r w:rsidR="00FD0A05" w:rsidRPr="00FD0A05">
              <w:rPr>
                <w:rFonts w:ascii="Times New Roman" w:eastAsia="等线" w:hAnsi="Times New Roman" w:cs="Times New Roman"/>
                <w:noProof/>
                <w:sz w:val="20"/>
              </w:rPr>
              <w:t>ortality risk data for multidimensional frailty (MPI-3) or prefrailty (MPI-2)</w:t>
            </w:r>
            <w:r w:rsidR="00FD0A05">
              <w:rPr>
                <w:rFonts w:ascii="Times New Roman" w:eastAsia="等线" w:hAnsi="Times New Roman" w:cs="Times New Roman"/>
                <w:noProof/>
                <w:sz w:val="20"/>
              </w:rPr>
              <w:t>.</w:t>
            </w:r>
          </w:p>
        </w:tc>
      </w:tr>
      <w:tr w:rsidR="00E63F4B" w14:paraId="54706676" w14:textId="77777777" w:rsidTr="006E292E">
        <w:tc>
          <w:tcPr>
            <w:tcW w:w="905" w:type="dxa"/>
            <w:vAlign w:val="center"/>
          </w:tcPr>
          <w:p w14:paraId="71322A33" w14:textId="77777777" w:rsidR="00E63F4B" w:rsidRPr="00581BA2" w:rsidRDefault="00E63F4B" w:rsidP="004228AD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3</w:t>
            </w:r>
          </w:p>
        </w:tc>
        <w:tc>
          <w:tcPr>
            <w:tcW w:w="9155" w:type="dxa"/>
          </w:tcPr>
          <w:p w14:paraId="2C89E169" w14:textId="39874240" w:rsidR="00E63F4B" w:rsidRDefault="00FD0A05" w:rsidP="004228AD">
            <w:r w:rsidRPr="00FD0A05">
              <w:rPr>
                <w:rFonts w:ascii="Times New Roman" w:eastAsia="等线" w:hAnsi="Times New Roman" w:cs="Times New Roman"/>
                <w:noProof/>
                <w:sz w:val="20"/>
              </w:rPr>
              <w:t>Pilotto A</w:t>
            </w:r>
            <w:r w:rsidR="00697AA6" w:rsidRPr="008C478A">
              <w:rPr>
                <w:rFonts w:ascii="Times New Roman" w:eastAsia="等线" w:hAnsi="Times New Roman" w:cs="Times New Roman"/>
                <w:noProof/>
                <w:sz w:val="20"/>
              </w:rPr>
              <w:t>., et al.,</w:t>
            </w:r>
            <w:r w:rsidRPr="00FD0A05">
              <w:rPr>
                <w:rFonts w:ascii="Times New Roman" w:eastAsia="等线" w:hAnsi="Times New Roman" w:cs="Times New Roman"/>
                <w:noProof/>
                <w:sz w:val="20"/>
              </w:rPr>
              <w:t xml:space="preserve"> Multidimensional Prognostic Index and pro-adrenomedullin plasma levels as mortality risk predictors in older patients hospitalized with community-acquired pneumonia: a prospective study. Panminerva Med. 2018 Sep;60(3):80-85. doi: 10.23736/S0031-0808.18.03408-0. Epub 2018 Mar 15. PMID: 29546738.</w:t>
            </w:r>
          </w:p>
        </w:tc>
        <w:tc>
          <w:tcPr>
            <w:tcW w:w="3888" w:type="dxa"/>
          </w:tcPr>
          <w:p w14:paraId="40994ECA" w14:textId="75297B3F" w:rsidR="00E63F4B" w:rsidRDefault="00E81AE4" w:rsidP="004228AD">
            <w:r w:rsidRPr="00E81AE4">
              <w:rPr>
                <w:rFonts w:ascii="Times New Roman" w:eastAsia="等线" w:hAnsi="Times New Roman" w:cs="Times New Roman"/>
                <w:noProof/>
                <w:sz w:val="20"/>
              </w:rPr>
              <w:t>The study did not provide mortality risk data for multidimensional frailty (MPI-3) or prefrailty (MPI-2).</w:t>
            </w:r>
          </w:p>
        </w:tc>
      </w:tr>
      <w:tr w:rsidR="00E63F4B" w14:paraId="5128358A" w14:textId="77777777" w:rsidTr="006E292E">
        <w:tc>
          <w:tcPr>
            <w:tcW w:w="905" w:type="dxa"/>
            <w:vAlign w:val="center"/>
          </w:tcPr>
          <w:p w14:paraId="771796DA" w14:textId="77777777" w:rsidR="00E63F4B" w:rsidRPr="00EA25AD" w:rsidRDefault="00E63F4B" w:rsidP="004228AD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4</w:t>
            </w:r>
          </w:p>
        </w:tc>
        <w:tc>
          <w:tcPr>
            <w:tcW w:w="9155" w:type="dxa"/>
          </w:tcPr>
          <w:p w14:paraId="5F032F2A" w14:textId="1D2A9730" w:rsidR="00E63F4B" w:rsidRPr="00581BA2" w:rsidRDefault="00E81AE4" w:rsidP="004228AD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E81AE4">
              <w:rPr>
                <w:rFonts w:ascii="Times New Roman" w:eastAsia="等线" w:hAnsi="Times New Roman" w:cs="Times New Roman"/>
                <w:noProof/>
                <w:sz w:val="20"/>
              </w:rPr>
              <w:t>Pilotto A,</w:t>
            </w:r>
            <w:r w:rsidR="00697AA6" w:rsidRPr="008C478A">
              <w:rPr>
                <w:rFonts w:ascii="Times New Roman" w:eastAsia="等线" w:hAnsi="Times New Roman" w:cs="Times New Roman"/>
                <w:noProof/>
                <w:sz w:val="20"/>
              </w:rPr>
              <w:t xml:space="preserve"> ., et al.,</w:t>
            </w:r>
            <w:r w:rsidRPr="00E81AE4">
              <w:rPr>
                <w:rFonts w:ascii="Times New Roman" w:eastAsia="等线" w:hAnsi="Times New Roman" w:cs="Times New Roman"/>
                <w:noProof/>
                <w:sz w:val="20"/>
              </w:rPr>
              <w:t xml:space="preserve"> Combined use of the multidimensional prognostic index (MPI) and procalcitonin serum levels in predicting 1-month mortality risk in older patients hospitalized with community-acquired pneumonia (CAP): a prospective study. Aging Clin Exp Res. 2018 Feb;30(2):193-197. doi: 10.1007/s40520-017-0759-y. Epub 2017 Apr 17. PMID: 28417242.</w:t>
            </w:r>
          </w:p>
        </w:tc>
        <w:tc>
          <w:tcPr>
            <w:tcW w:w="3888" w:type="dxa"/>
          </w:tcPr>
          <w:p w14:paraId="183555C5" w14:textId="36752798" w:rsidR="00E63F4B" w:rsidRPr="00513F89" w:rsidRDefault="00E81AE4" w:rsidP="004228AD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E81AE4">
              <w:rPr>
                <w:rFonts w:ascii="Times New Roman" w:eastAsia="等线" w:hAnsi="Times New Roman" w:cs="Times New Roman"/>
                <w:noProof/>
                <w:sz w:val="20"/>
              </w:rPr>
              <w:t>The study did not provide mortality risk data for multidimensional frailty (MPI-3) or prefrailty (MPI-2).</w:t>
            </w:r>
          </w:p>
        </w:tc>
      </w:tr>
      <w:tr w:rsidR="00E63F4B" w14:paraId="5400BF19" w14:textId="77777777" w:rsidTr="006E292E">
        <w:tc>
          <w:tcPr>
            <w:tcW w:w="905" w:type="dxa"/>
            <w:vAlign w:val="center"/>
          </w:tcPr>
          <w:p w14:paraId="0E9ADA35" w14:textId="77777777" w:rsidR="00E63F4B" w:rsidRPr="001C4CFD" w:rsidRDefault="00E63F4B" w:rsidP="004228AD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5</w:t>
            </w:r>
          </w:p>
        </w:tc>
        <w:tc>
          <w:tcPr>
            <w:tcW w:w="9155" w:type="dxa"/>
          </w:tcPr>
          <w:p w14:paraId="65B1EC62" w14:textId="6ADECF9F" w:rsidR="00E63F4B" w:rsidRPr="00581BA2" w:rsidRDefault="00943431" w:rsidP="004228AD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943431">
              <w:rPr>
                <w:rFonts w:ascii="Times New Roman" w:eastAsia="等线" w:hAnsi="Times New Roman" w:cs="Times New Roman"/>
                <w:noProof/>
                <w:sz w:val="20"/>
              </w:rPr>
              <w:t>Giantin V</w:t>
            </w:r>
            <w:r w:rsidR="00697AA6" w:rsidRPr="008C478A">
              <w:rPr>
                <w:rFonts w:ascii="Times New Roman" w:eastAsia="等线" w:hAnsi="Times New Roman" w:cs="Times New Roman"/>
                <w:noProof/>
                <w:sz w:val="20"/>
              </w:rPr>
              <w:t>., et al.,</w:t>
            </w:r>
            <w:r w:rsidRPr="00943431">
              <w:rPr>
                <w:rFonts w:ascii="Times New Roman" w:eastAsia="等线" w:hAnsi="Times New Roman" w:cs="Times New Roman"/>
                <w:noProof/>
                <w:sz w:val="20"/>
              </w:rPr>
              <w:t xml:space="preserve"> Performance of the Multidimensional Geriatric Assessment and Multidimensional Prognostic Index in predicting negative outcomes in older adults with cancer. Eur J Cancer Care (Engl). 2018 Jan;27(1). doi: 10.1111/ecc.12585. Epub 2016 Oct 10. PMID: 27726223.</w:t>
            </w:r>
          </w:p>
        </w:tc>
        <w:tc>
          <w:tcPr>
            <w:tcW w:w="3888" w:type="dxa"/>
          </w:tcPr>
          <w:p w14:paraId="75C6503A" w14:textId="69A9DB1E" w:rsidR="00E63F4B" w:rsidRPr="00513F89" w:rsidRDefault="00943431" w:rsidP="004228AD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</w:rPr>
              <w:t>Th</w:t>
            </w:r>
            <w:r w:rsidR="00D55711">
              <w:rPr>
                <w:rFonts w:ascii="Times New Roman" w:eastAsia="等线" w:hAnsi="Times New Roman" w:cs="Times New Roman"/>
                <w:noProof/>
                <w:sz w:val="20"/>
              </w:rPr>
              <w:t xml:space="preserve">e 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 xml:space="preserve">study </w:t>
            </w:r>
            <w:r w:rsidR="00D55711" w:rsidRPr="00D55711">
              <w:rPr>
                <w:rFonts w:ascii="Times New Roman" w:eastAsia="等线" w:hAnsi="Times New Roman" w:cs="Times New Roman"/>
                <w:noProof/>
                <w:sz w:val="20"/>
              </w:rPr>
              <w:t xml:space="preserve">and the </w:t>
            </w:r>
            <w:r w:rsidR="00D55711">
              <w:rPr>
                <w:rFonts w:ascii="Times New Roman" w:eastAsia="等线" w:hAnsi="Times New Roman" w:cs="Times New Roman"/>
                <w:noProof/>
                <w:sz w:val="20"/>
              </w:rPr>
              <w:t>other</w:t>
            </w:r>
            <w:r w:rsidR="00D55711" w:rsidRPr="00D55711">
              <w:rPr>
                <w:rFonts w:ascii="Times New Roman" w:eastAsia="等线" w:hAnsi="Times New Roman" w:cs="Times New Roman"/>
                <w:noProof/>
                <w:sz w:val="20"/>
              </w:rPr>
              <w:t xml:space="preserve"> study</w:t>
            </w:r>
            <w:r w:rsidR="00D55711">
              <w:rPr>
                <w:rFonts w:ascii="Times New Roman" w:eastAsia="等线" w:hAnsi="Times New Roman" w:cs="Times New Roman"/>
                <w:noProof/>
                <w:sz w:val="20"/>
              </w:rPr>
              <w:t xml:space="preserve"> </w:t>
            </w:r>
            <w:r w:rsidR="00D55711" w:rsidRPr="00D55711">
              <w:rPr>
                <w:rFonts w:ascii="Times New Roman" w:eastAsia="等线" w:hAnsi="Times New Roman" w:cs="Times New Roman"/>
                <w:noProof/>
                <w:sz w:val="20"/>
              </w:rPr>
              <w:t>included</w:t>
            </w:r>
            <w:r w:rsidR="00D55711">
              <w:rPr>
                <w:rFonts w:ascii="Times New Roman" w:eastAsia="等线" w:hAnsi="Times New Roman" w:cs="Times New Roman"/>
                <w:noProof/>
                <w:sz w:val="20"/>
              </w:rPr>
              <w:t xml:space="preserve"> in this review</w:t>
            </w:r>
            <w:r w:rsidR="00D55711" w:rsidRPr="00D55711">
              <w:rPr>
                <w:rFonts w:ascii="Times New Roman" w:eastAsia="等线" w:hAnsi="Times New Roman" w:cs="Times New Roman"/>
                <w:noProof/>
                <w:sz w:val="20"/>
              </w:rPr>
              <w:t xml:space="preserve"> were from the same cohort</w:t>
            </w:r>
            <w:r w:rsidR="00D55711">
              <w:rPr>
                <w:rFonts w:ascii="Times New Roman" w:eastAsia="等线" w:hAnsi="Times New Roman" w:cs="Times New Roman"/>
                <w:noProof/>
                <w:sz w:val="20"/>
              </w:rPr>
              <w:t>.</w:t>
            </w:r>
            <w:r w:rsidR="00D55711" w:rsidRPr="00D55711">
              <w:rPr>
                <w:rFonts w:ascii="Times New Roman" w:eastAsia="等线" w:hAnsi="Times New Roman" w:cs="Times New Roman"/>
                <w:noProof/>
                <w:sz w:val="20"/>
              </w:rPr>
              <w:t xml:space="preserve"> </w:t>
            </w:r>
          </w:p>
        </w:tc>
      </w:tr>
      <w:tr w:rsidR="00E63F4B" w14:paraId="24D57DA1" w14:textId="77777777" w:rsidTr="006E292E">
        <w:tc>
          <w:tcPr>
            <w:tcW w:w="905" w:type="dxa"/>
            <w:vAlign w:val="center"/>
          </w:tcPr>
          <w:p w14:paraId="3BB01001" w14:textId="77777777" w:rsidR="00E63F4B" w:rsidRPr="00B07984" w:rsidRDefault="00E63F4B" w:rsidP="004228AD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6</w:t>
            </w:r>
          </w:p>
        </w:tc>
        <w:tc>
          <w:tcPr>
            <w:tcW w:w="9155" w:type="dxa"/>
          </w:tcPr>
          <w:p w14:paraId="6C62BBBF" w14:textId="4266C000" w:rsidR="00E63F4B" w:rsidRPr="00B07984" w:rsidRDefault="00D55711" w:rsidP="004228AD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D55711">
              <w:rPr>
                <w:rFonts w:ascii="Times New Roman" w:eastAsia="等线" w:hAnsi="Times New Roman" w:cs="Times New Roman"/>
                <w:noProof/>
                <w:sz w:val="20"/>
              </w:rPr>
              <w:t xml:space="preserve">Drudi LM, </w:t>
            </w:r>
            <w:r w:rsidR="00697AA6" w:rsidRPr="008C478A">
              <w:rPr>
                <w:rFonts w:ascii="Times New Roman" w:eastAsia="等线" w:hAnsi="Times New Roman" w:cs="Times New Roman"/>
                <w:noProof/>
                <w:sz w:val="20"/>
              </w:rPr>
              <w:t>., et al.,</w:t>
            </w:r>
            <w:r w:rsidRPr="00D55711">
              <w:rPr>
                <w:rFonts w:ascii="Times New Roman" w:eastAsia="等线" w:hAnsi="Times New Roman" w:cs="Times New Roman"/>
                <w:noProof/>
                <w:sz w:val="20"/>
              </w:rPr>
              <w:t xml:space="preserve"> Frailty assessment in older adults undergoing interventions for peripheral arterial disease. J Vasc Surg. 2019 Nov;70(5):1594-1602.e1. doi: 10.1016/j.jvs.2018.12.052. Epub 2019 May 18. PMID: 31113723.</w:t>
            </w:r>
          </w:p>
        </w:tc>
        <w:tc>
          <w:tcPr>
            <w:tcW w:w="3888" w:type="dxa"/>
          </w:tcPr>
          <w:p w14:paraId="22C96FDF" w14:textId="53695911" w:rsidR="00E63F4B" w:rsidRPr="001C4CFD" w:rsidRDefault="00D55711" w:rsidP="004228AD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</w:rPr>
              <w:t>The outcome was the mortailty combined disability.</w:t>
            </w:r>
          </w:p>
        </w:tc>
      </w:tr>
      <w:tr w:rsidR="00D55711" w14:paraId="3B06CEBF" w14:textId="77777777" w:rsidTr="006E292E">
        <w:tc>
          <w:tcPr>
            <w:tcW w:w="905" w:type="dxa"/>
            <w:vAlign w:val="center"/>
          </w:tcPr>
          <w:p w14:paraId="5D822470" w14:textId="43ECA7FA" w:rsidR="00D55711" w:rsidRDefault="006E292E" w:rsidP="00D55711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55" w:type="dxa"/>
          </w:tcPr>
          <w:p w14:paraId="64BCD6D2" w14:textId="25363E6F" w:rsidR="00D55711" w:rsidRPr="00D55711" w:rsidRDefault="006E292E" w:rsidP="00D55711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6E292E">
              <w:rPr>
                <w:rFonts w:ascii="Times New Roman" w:hAnsi="Times New Roman" w:cs="Times New Roman"/>
              </w:rPr>
              <w:t>Carriere C</w:t>
            </w:r>
            <w:r w:rsidR="00697AA6" w:rsidRPr="008C478A">
              <w:rPr>
                <w:rFonts w:ascii="Times New Roman" w:eastAsia="等线" w:hAnsi="Times New Roman" w:cs="Times New Roman"/>
                <w:noProof/>
                <w:sz w:val="20"/>
              </w:rPr>
              <w:t>., et al.,</w:t>
            </w:r>
            <w:r w:rsidR="00700F2F">
              <w:rPr>
                <w:rFonts w:ascii="Times New Roman" w:eastAsia="等线" w:hAnsi="Times New Roman" w:cs="Times New Roman"/>
                <w:noProof/>
                <w:sz w:val="20"/>
              </w:rPr>
              <w:t xml:space="preserve"> </w:t>
            </w:r>
            <w:r w:rsidRPr="006E292E">
              <w:rPr>
                <w:rFonts w:ascii="Times New Roman" w:hAnsi="Times New Roman" w:cs="Times New Roman"/>
              </w:rPr>
              <w:t xml:space="preserve">Outcome of the multidimensional prognostic index in ultra-octogenarian patients hospitalized for cardiovascular diseases. J Cardiovasc Med (Hagerstown). 2018 Oct;19(10):536-545. </w:t>
            </w:r>
            <w:proofErr w:type="spellStart"/>
            <w:r w:rsidRPr="006E292E">
              <w:rPr>
                <w:rFonts w:ascii="Times New Roman" w:hAnsi="Times New Roman" w:cs="Times New Roman"/>
              </w:rPr>
              <w:t>doi</w:t>
            </w:r>
            <w:proofErr w:type="spellEnd"/>
            <w:r w:rsidRPr="006E292E">
              <w:rPr>
                <w:rFonts w:ascii="Times New Roman" w:hAnsi="Times New Roman" w:cs="Times New Roman"/>
              </w:rPr>
              <w:t>: 10.2459/JCM.0000000000000699. PMID: 30119097.</w:t>
            </w:r>
          </w:p>
        </w:tc>
        <w:tc>
          <w:tcPr>
            <w:tcW w:w="3888" w:type="dxa"/>
          </w:tcPr>
          <w:p w14:paraId="3B8A12FA" w14:textId="7EDBAEE9" w:rsidR="00D55711" w:rsidRPr="001C4CFD" w:rsidRDefault="006E292E" w:rsidP="00D55711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6E292E">
              <w:rPr>
                <w:rFonts w:ascii="Times New Roman" w:eastAsia="等线" w:hAnsi="Times New Roman" w:cs="Times New Roman"/>
                <w:noProof/>
                <w:sz w:val="20"/>
              </w:rPr>
              <w:t>The study did not provide mortality risk data for multidimensional frailty (MPI-3) or prefrailty (MPI-2).</w:t>
            </w:r>
          </w:p>
        </w:tc>
      </w:tr>
      <w:tr w:rsidR="00D55711" w14:paraId="155A9BBA" w14:textId="77777777" w:rsidTr="006E292E">
        <w:tc>
          <w:tcPr>
            <w:tcW w:w="905" w:type="dxa"/>
            <w:vAlign w:val="center"/>
          </w:tcPr>
          <w:p w14:paraId="20684F2D" w14:textId="1B27BFE5" w:rsidR="00D55711" w:rsidRDefault="006E292E" w:rsidP="00D55711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</w:rPr>
              <w:t>8</w:t>
            </w:r>
          </w:p>
        </w:tc>
        <w:tc>
          <w:tcPr>
            <w:tcW w:w="9155" w:type="dxa"/>
          </w:tcPr>
          <w:p w14:paraId="5CB23AA0" w14:textId="23CCE697" w:rsidR="00D55711" w:rsidRPr="00E94722" w:rsidRDefault="00536960" w:rsidP="00D55711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536960">
              <w:rPr>
                <w:rFonts w:ascii="Times New Roman" w:eastAsia="等线" w:hAnsi="Times New Roman" w:cs="Times New Roman"/>
                <w:noProof/>
                <w:sz w:val="20"/>
              </w:rPr>
              <w:t>Choi JY</w:t>
            </w:r>
            <w:r w:rsidR="00700F2F" w:rsidRPr="008C478A">
              <w:rPr>
                <w:rFonts w:ascii="Times New Roman" w:eastAsia="等线" w:hAnsi="Times New Roman" w:cs="Times New Roman"/>
                <w:noProof/>
                <w:sz w:val="20"/>
              </w:rPr>
              <w:t>., et al.,</w:t>
            </w:r>
            <w:r w:rsidRPr="00536960">
              <w:rPr>
                <w:rFonts w:ascii="Times New Roman" w:eastAsia="等线" w:hAnsi="Times New Roman" w:cs="Times New Roman"/>
                <w:noProof/>
                <w:sz w:val="20"/>
              </w:rPr>
              <w:t xml:space="preserve"> Prediction of Mortality and Postoperative Complications using the Hip-Multidimensional Frailty Score in Elderly Patients with Hip Fracture. Sci Rep. 2017 Feb 24;7:42966. doi: 10.1038/srep42966. PMID: </w:t>
            </w:r>
            <w:r w:rsidRPr="00536960">
              <w:rPr>
                <w:rFonts w:ascii="Times New Roman" w:eastAsia="等线" w:hAnsi="Times New Roman" w:cs="Times New Roman"/>
                <w:noProof/>
                <w:sz w:val="20"/>
              </w:rPr>
              <w:lastRenderedPageBreak/>
              <w:t>28233870; PMCID: PMC5324046.</w:t>
            </w:r>
          </w:p>
        </w:tc>
        <w:tc>
          <w:tcPr>
            <w:tcW w:w="3888" w:type="dxa"/>
          </w:tcPr>
          <w:p w14:paraId="3C7FFEB1" w14:textId="695AF8B4" w:rsidR="00D55711" w:rsidRPr="00A21FC9" w:rsidRDefault="00536960" w:rsidP="00D55711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536960">
              <w:rPr>
                <w:rFonts w:ascii="Times New Roman" w:eastAsia="等线" w:hAnsi="Times New Roman" w:cs="Times New Roman"/>
                <w:noProof/>
                <w:sz w:val="20"/>
              </w:rPr>
              <w:lastRenderedPageBreak/>
              <w:t xml:space="preserve">The study did not provide mortality risk data for multidimensional frailty (MPI-3) or </w:t>
            </w:r>
            <w:r w:rsidRPr="00536960">
              <w:rPr>
                <w:rFonts w:ascii="Times New Roman" w:eastAsia="等线" w:hAnsi="Times New Roman" w:cs="Times New Roman"/>
                <w:noProof/>
                <w:sz w:val="20"/>
              </w:rPr>
              <w:lastRenderedPageBreak/>
              <w:t>prefrailty (MPI-2).</w:t>
            </w:r>
          </w:p>
        </w:tc>
      </w:tr>
      <w:tr w:rsidR="00D55711" w:rsidRPr="00A21FC9" w14:paraId="499CE827" w14:textId="77777777" w:rsidTr="006E292E">
        <w:tc>
          <w:tcPr>
            <w:tcW w:w="905" w:type="dxa"/>
            <w:vAlign w:val="center"/>
          </w:tcPr>
          <w:p w14:paraId="28220633" w14:textId="225E0D89" w:rsidR="00D55711" w:rsidRDefault="006E292E" w:rsidP="00D55711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</w:rPr>
              <w:t>9</w:t>
            </w:r>
          </w:p>
        </w:tc>
        <w:tc>
          <w:tcPr>
            <w:tcW w:w="9155" w:type="dxa"/>
          </w:tcPr>
          <w:p w14:paraId="3C549AE9" w14:textId="315AA573" w:rsidR="00D55711" w:rsidRPr="00E5365F" w:rsidRDefault="00B13538" w:rsidP="00D55711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B13538">
              <w:rPr>
                <w:rFonts w:ascii="Times New Roman" w:eastAsia="等线" w:hAnsi="Times New Roman" w:cs="Times New Roman"/>
                <w:noProof/>
                <w:sz w:val="20"/>
              </w:rPr>
              <w:t>Pilotto A</w:t>
            </w:r>
            <w:r w:rsidR="00700F2F" w:rsidRPr="008C478A">
              <w:rPr>
                <w:rFonts w:ascii="Times New Roman" w:eastAsia="等线" w:hAnsi="Times New Roman" w:cs="Times New Roman"/>
                <w:noProof/>
                <w:sz w:val="20"/>
              </w:rPr>
              <w:t>., et al.,</w:t>
            </w:r>
            <w:r w:rsidRPr="00B13538">
              <w:rPr>
                <w:rFonts w:ascii="Times New Roman" w:eastAsia="等线" w:hAnsi="Times New Roman" w:cs="Times New Roman"/>
                <w:noProof/>
                <w:sz w:val="20"/>
              </w:rPr>
              <w:t xml:space="preserve"> Multidimensional Prognostic Index_Age Project Investigators. Warfarin Treatment and All-Cause Mortality in Community-Dwelling Older Adults with Atrial Fibrillation: A Retrospective Observational Study. J Am Geriatr Soc. 2016 Jul;64(7):1416-24. doi: 10.1111/jgs.14221. Epub 2016 Jun 13. PMID: 27295351; PMCID: PMC6125774.</w:t>
            </w:r>
          </w:p>
        </w:tc>
        <w:tc>
          <w:tcPr>
            <w:tcW w:w="3888" w:type="dxa"/>
          </w:tcPr>
          <w:p w14:paraId="14C7A1F5" w14:textId="67AF0102" w:rsidR="00D55711" w:rsidRPr="00A21FC9" w:rsidRDefault="00B13538" w:rsidP="00D55711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B13538">
              <w:rPr>
                <w:rFonts w:ascii="Times New Roman" w:eastAsia="等线" w:hAnsi="Times New Roman" w:cs="Times New Roman"/>
                <w:noProof/>
                <w:sz w:val="20"/>
              </w:rPr>
              <w:t>The study did not provide mortality risk data for multidimensional frailty (MPI-3) or prefrailty (MPI-2).</w:t>
            </w:r>
          </w:p>
        </w:tc>
      </w:tr>
      <w:tr w:rsidR="00D55711" w:rsidRPr="00A21FC9" w14:paraId="37A2DE7F" w14:textId="77777777" w:rsidTr="006E292E">
        <w:tc>
          <w:tcPr>
            <w:tcW w:w="905" w:type="dxa"/>
            <w:vAlign w:val="center"/>
          </w:tcPr>
          <w:p w14:paraId="66978401" w14:textId="63AB03D8" w:rsidR="00D55711" w:rsidRDefault="006E292E" w:rsidP="00D55711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</w:rPr>
              <w:t>10</w:t>
            </w:r>
          </w:p>
        </w:tc>
        <w:tc>
          <w:tcPr>
            <w:tcW w:w="9155" w:type="dxa"/>
          </w:tcPr>
          <w:p w14:paraId="5DB00C54" w14:textId="27C12F89" w:rsidR="00D55711" w:rsidRPr="001360E2" w:rsidRDefault="00B13538" w:rsidP="00D55711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B13538">
              <w:rPr>
                <w:rFonts w:ascii="Times New Roman" w:eastAsia="等线" w:hAnsi="Times New Roman" w:cs="Times New Roman"/>
                <w:noProof/>
                <w:sz w:val="20"/>
              </w:rPr>
              <w:t>De Luca E</w:t>
            </w:r>
            <w:r w:rsidR="00E7173E" w:rsidRPr="008C478A">
              <w:rPr>
                <w:rFonts w:ascii="Times New Roman" w:eastAsia="等线" w:hAnsi="Times New Roman" w:cs="Times New Roman"/>
                <w:noProof/>
                <w:sz w:val="20"/>
              </w:rPr>
              <w:t>., et al.,</w:t>
            </w:r>
            <w:r w:rsidRPr="00B13538">
              <w:rPr>
                <w:rFonts w:ascii="Times New Roman" w:eastAsia="等线" w:hAnsi="Times New Roman" w:cs="Times New Roman"/>
                <w:noProof/>
                <w:sz w:val="20"/>
              </w:rPr>
              <w:t xml:space="preserve"> Short- and longer-term predictive capacity of the Multidimensional Prognostic Index: The timing of the assessment is of no consequence. Arch Gerontol Geriatr. 2015 Nov-Dec;61(3):458-63. doi: 10.1016/j.archger.2015.07.004. Epub 2015 Aug 7. PMID: 26306454.</w:t>
            </w:r>
          </w:p>
        </w:tc>
        <w:tc>
          <w:tcPr>
            <w:tcW w:w="3888" w:type="dxa"/>
          </w:tcPr>
          <w:p w14:paraId="45D5D6EB" w14:textId="634F11C5" w:rsidR="00D55711" w:rsidRPr="00A21FC9" w:rsidRDefault="000764A1" w:rsidP="00D55711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0764A1">
              <w:rPr>
                <w:rFonts w:ascii="Times New Roman" w:eastAsia="等线" w:hAnsi="Times New Roman" w:cs="Times New Roman"/>
                <w:noProof/>
                <w:sz w:val="20"/>
              </w:rPr>
              <w:t>The study did not provide mortality risk data for multidimensional frailty (MPI-3) or prefrailty (MPI-2).</w:t>
            </w:r>
          </w:p>
        </w:tc>
      </w:tr>
      <w:tr w:rsidR="00D55711" w14:paraId="63252429" w14:textId="77777777" w:rsidTr="006E292E">
        <w:tc>
          <w:tcPr>
            <w:tcW w:w="905" w:type="dxa"/>
            <w:vAlign w:val="center"/>
          </w:tcPr>
          <w:p w14:paraId="405B7A85" w14:textId="6D1D285B" w:rsidR="00D55711" w:rsidRDefault="006E292E" w:rsidP="00D55711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</w:rPr>
              <w:t>11</w:t>
            </w:r>
          </w:p>
        </w:tc>
        <w:tc>
          <w:tcPr>
            <w:tcW w:w="9155" w:type="dxa"/>
          </w:tcPr>
          <w:p w14:paraId="1078070D" w14:textId="4ECF7B97" w:rsidR="00D55711" w:rsidRPr="0082306F" w:rsidRDefault="000340F2" w:rsidP="00D55711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0340F2">
              <w:rPr>
                <w:rFonts w:ascii="Times New Roman" w:eastAsia="等线" w:hAnsi="Times New Roman" w:cs="Times New Roman"/>
                <w:noProof/>
                <w:sz w:val="20"/>
              </w:rPr>
              <w:t>Vitale E</w:t>
            </w:r>
            <w:r w:rsidR="00E7173E" w:rsidRPr="008C478A">
              <w:rPr>
                <w:rFonts w:ascii="Times New Roman" w:eastAsia="等线" w:hAnsi="Times New Roman" w:cs="Times New Roman"/>
                <w:noProof/>
                <w:sz w:val="20"/>
              </w:rPr>
              <w:t>., et al.,</w:t>
            </w:r>
            <w:r w:rsidRPr="000340F2">
              <w:rPr>
                <w:rFonts w:ascii="Times New Roman" w:eastAsia="等线" w:hAnsi="Times New Roman" w:cs="Times New Roman"/>
                <w:noProof/>
                <w:sz w:val="20"/>
              </w:rPr>
              <w:t xml:space="preserve"> Orthopedic Multidimensional Prognostic Index (Ortho-MPI) in the elderly with hip or neck femur fracture: a pilot study. Arch Gerontol Geriatr. 2014 Jan-Feb;58(1):101-4. doi: 10.1016/j.archger.2013.08.006. Epub 2013 Aug 23. PMID: 24054308.</w:t>
            </w:r>
          </w:p>
        </w:tc>
        <w:tc>
          <w:tcPr>
            <w:tcW w:w="3888" w:type="dxa"/>
          </w:tcPr>
          <w:p w14:paraId="67B3432E" w14:textId="0B797EE8" w:rsidR="00D55711" w:rsidRPr="00A21FC9" w:rsidRDefault="000340F2" w:rsidP="00D55711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0340F2">
              <w:rPr>
                <w:rFonts w:ascii="Times New Roman" w:eastAsia="等线" w:hAnsi="Times New Roman" w:cs="Times New Roman"/>
                <w:noProof/>
                <w:sz w:val="20"/>
              </w:rPr>
              <w:t>The study did not provide mortality risk data for multidimensional frailty (MPI-3) or prefrailty (MPI-2).</w:t>
            </w:r>
          </w:p>
        </w:tc>
      </w:tr>
      <w:tr w:rsidR="00D55711" w:rsidRPr="00A21FC9" w14:paraId="2D28849C" w14:textId="77777777" w:rsidTr="006E292E">
        <w:tc>
          <w:tcPr>
            <w:tcW w:w="905" w:type="dxa"/>
            <w:vAlign w:val="center"/>
          </w:tcPr>
          <w:p w14:paraId="76122CF9" w14:textId="4718DB5A" w:rsidR="00D55711" w:rsidRDefault="006E292E" w:rsidP="00D55711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</w:rPr>
              <w:t>12</w:t>
            </w:r>
          </w:p>
        </w:tc>
        <w:tc>
          <w:tcPr>
            <w:tcW w:w="9155" w:type="dxa"/>
          </w:tcPr>
          <w:p w14:paraId="325454AE" w14:textId="7FC4FBC8" w:rsidR="00D55711" w:rsidRPr="00BE6A52" w:rsidRDefault="00725230" w:rsidP="00D55711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725230">
              <w:rPr>
                <w:rFonts w:ascii="Times New Roman" w:eastAsia="等线" w:hAnsi="Times New Roman" w:cs="Times New Roman"/>
                <w:noProof/>
                <w:sz w:val="20"/>
              </w:rPr>
              <w:t>Gallucci M</w:t>
            </w:r>
            <w:r w:rsidR="00E7173E" w:rsidRPr="008C478A">
              <w:rPr>
                <w:rFonts w:ascii="Times New Roman" w:eastAsia="等线" w:hAnsi="Times New Roman" w:cs="Times New Roman"/>
                <w:noProof/>
                <w:sz w:val="20"/>
              </w:rPr>
              <w:t>., et al.,</w:t>
            </w:r>
            <w:r w:rsidR="00E7173E">
              <w:rPr>
                <w:rFonts w:ascii="Times New Roman" w:eastAsia="等线" w:hAnsi="Times New Roman" w:cs="Times New Roman"/>
                <w:noProof/>
                <w:sz w:val="20"/>
              </w:rPr>
              <w:t xml:space="preserve"> </w:t>
            </w:r>
            <w:r w:rsidRPr="00725230">
              <w:rPr>
                <w:rFonts w:ascii="Times New Roman" w:eastAsia="等线" w:hAnsi="Times New Roman" w:cs="Times New Roman"/>
                <w:noProof/>
                <w:sz w:val="20"/>
              </w:rPr>
              <w:t>Multidimensional prognostic index in a cognitive impairment outpatient setting: mortality and hospitalizations. The Treviso Dementia (TREDEM) study. J Alzheimers Dis. 2014;42(4):1461-8. doi: 10.3233/JAD-140516. PMID: 25024343.</w:t>
            </w:r>
          </w:p>
        </w:tc>
        <w:tc>
          <w:tcPr>
            <w:tcW w:w="3888" w:type="dxa"/>
          </w:tcPr>
          <w:p w14:paraId="68415360" w14:textId="46595501" w:rsidR="00D55711" w:rsidRPr="00A21FC9" w:rsidRDefault="0031142E" w:rsidP="00D55711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</w:rPr>
              <w:t xml:space="preserve">The lowest age of Participants </w:t>
            </w:r>
            <w:r>
              <w:rPr>
                <w:rFonts w:ascii="等线" w:eastAsia="等线" w:hAnsi="等线" w:cs="Times New Roman" w:hint="eastAsia"/>
                <w:noProof/>
                <w:sz w:val="20"/>
              </w:rPr>
              <w:t>&lt;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 xml:space="preserve"> 60 years old</w:t>
            </w:r>
          </w:p>
        </w:tc>
      </w:tr>
      <w:tr w:rsidR="00D55711" w:rsidRPr="00513F89" w14:paraId="77908797" w14:textId="77777777" w:rsidTr="006E292E">
        <w:tc>
          <w:tcPr>
            <w:tcW w:w="905" w:type="dxa"/>
            <w:vAlign w:val="center"/>
          </w:tcPr>
          <w:p w14:paraId="67675DA8" w14:textId="02FAE130" w:rsidR="00D55711" w:rsidRDefault="006E292E" w:rsidP="00D55711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</w:rPr>
              <w:t>13</w:t>
            </w:r>
          </w:p>
        </w:tc>
        <w:tc>
          <w:tcPr>
            <w:tcW w:w="9155" w:type="dxa"/>
          </w:tcPr>
          <w:p w14:paraId="0380F3C4" w14:textId="10561818" w:rsidR="00D55711" w:rsidRPr="007F2A17" w:rsidRDefault="0031142E" w:rsidP="00D55711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31142E">
              <w:rPr>
                <w:rFonts w:ascii="Times New Roman" w:eastAsia="等线" w:hAnsi="Times New Roman" w:cs="Times New Roman"/>
                <w:noProof/>
                <w:sz w:val="20"/>
              </w:rPr>
              <w:t>Sancarlo D</w:t>
            </w:r>
            <w:r w:rsidR="00E7173E" w:rsidRPr="008C478A">
              <w:rPr>
                <w:rFonts w:ascii="Times New Roman" w:eastAsia="等线" w:hAnsi="Times New Roman" w:cs="Times New Roman"/>
                <w:noProof/>
                <w:sz w:val="20"/>
              </w:rPr>
              <w:t>., et al.,</w:t>
            </w:r>
            <w:r w:rsidRPr="0031142E">
              <w:rPr>
                <w:rFonts w:ascii="Times New Roman" w:eastAsia="等线" w:hAnsi="Times New Roman" w:cs="Times New Roman"/>
                <w:noProof/>
                <w:sz w:val="20"/>
              </w:rPr>
              <w:t xml:space="preserve"> Validation of a Modified-Multidimensional Prognostic Index (m-MPI) including the Mini Nutritional Assessment Short-Form (MNA-SF) for the prediction of one-year mortality in hospitalized elderly patients. J Nutr Health Aging. 2011 Mar;15(3):169-73. doi: 10.1007/s12603-010-0293-5. PMID: 21369662; PMCID: PMC5003400.</w:t>
            </w:r>
          </w:p>
        </w:tc>
        <w:tc>
          <w:tcPr>
            <w:tcW w:w="3888" w:type="dxa"/>
          </w:tcPr>
          <w:p w14:paraId="051451BE" w14:textId="786E1791" w:rsidR="00D55711" w:rsidRPr="00A21FC9" w:rsidRDefault="001226D1" w:rsidP="00D55711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1226D1">
              <w:rPr>
                <w:rFonts w:ascii="Times New Roman" w:eastAsia="等线" w:hAnsi="Times New Roman" w:cs="Times New Roman"/>
                <w:noProof/>
                <w:sz w:val="20"/>
              </w:rPr>
              <w:t>The study did not provide mortality risk data for multidimensional frailty (MPI-3) or prefrailty (MPI-2).</w:t>
            </w:r>
          </w:p>
        </w:tc>
      </w:tr>
      <w:tr w:rsidR="00D55711" w:rsidRPr="00513F89" w14:paraId="17233A98" w14:textId="77777777" w:rsidTr="006E292E">
        <w:tc>
          <w:tcPr>
            <w:tcW w:w="905" w:type="dxa"/>
            <w:vAlign w:val="center"/>
          </w:tcPr>
          <w:p w14:paraId="438FEE8F" w14:textId="6BF63543" w:rsidR="00D55711" w:rsidRDefault="006E292E" w:rsidP="00D55711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</w:rPr>
              <w:t>14</w:t>
            </w:r>
          </w:p>
        </w:tc>
        <w:tc>
          <w:tcPr>
            <w:tcW w:w="9155" w:type="dxa"/>
          </w:tcPr>
          <w:p w14:paraId="03BFC74F" w14:textId="273F7C56" w:rsidR="00D55711" w:rsidRPr="00F25342" w:rsidRDefault="00FC2790" w:rsidP="00D55711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FC2790">
              <w:rPr>
                <w:rFonts w:ascii="Times New Roman" w:eastAsia="等线" w:hAnsi="Times New Roman" w:cs="Times New Roman"/>
                <w:noProof/>
                <w:sz w:val="20"/>
              </w:rPr>
              <w:t>Pilotto A</w:t>
            </w:r>
            <w:r w:rsidR="00E7173E" w:rsidRPr="008C478A">
              <w:rPr>
                <w:rFonts w:ascii="Times New Roman" w:eastAsia="等线" w:hAnsi="Times New Roman" w:cs="Times New Roman"/>
                <w:noProof/>
                <w:sz w:val="20"/>
              </w:rPr>
              <w:t>., et al.,</w:t>
            </w:r>
            <w:r w:rsidRPr="00FC2790">
              <w:rPr>
                <w:rFonts w:ascii="Times New Roman" w:eastAsia="等线" w:hAnsi="Times New Roman" w:cs="Times New Roman"/>
                <w:noProof/>
                <w:sz w:val="20"/>
              </w:rPr>
              <w:t xml:space="preserve"> The Multidimensional Prognostic Index (MPI), based on a comprehensive geriatric assessment predicts short- and long-term mortality in hospitalized older patients with dementia. J Alzheimers Dis. 2009;18(1):191-9. doi: 10.3233/JAD-2009-1139. PMID: 19584441; PMCID: PMC2864495.</w:t>
            </w:r>
          </w:p>
        </w:tc>
        <w:tc>
          <w:tcPr>
            <w:tcW w:w="3888" w:type="dxa"/>
          </w:tcPr>
          <w:p w14:paraId="6F4DCFA1" w14:textId="15324DAB" w:rsidR="00D55711" w:rsidRPr="00A21FC9" w:rsidRDefault="00FC2790" w:rsidP="00D55711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FC2790">
              <w:rPr>
                <w:rFonts w:ascii="Times New Roman" w:eastAsia="等线" w:hAnsi="Times New Roman" w:cs="Times New Roman"/>
                <w:noProof/>
                <w:sz w:val="20"/>
              </w:rPr>
              <w:t>The study did not provide mortality risk data for multidimensional frailty (MPI-3) or prefrailty (MPI-2).</w:t>
            </w:r>
          </w:p>
        </w:tc>
      </w:tr>
      <w:tr w:rsidR="00D55711" w:rsidRPr="001C4CFD" w14:paraId="5518FFBF" w14:textId="77777777" w:rsidTr="006E292E">
        <w:tc>
          <w:tcPr>
            <w:tcW w:w="905" w:type="dxa"/>
            <w:vAlign w:val="center"/>
          </w:tcPr>
          <w:p w14:paraId="1EA9408F" w14:textId="762C82BC" w:rsidR="00D55711" w:rsidRDefault="006E292E" w:rsidP="00D55711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/>
                <w:noProof/>
                <w:sz w:val="20"/>
              </w:rPr>
              <w:t>15</w:t>
            </w:r>
          </w:p>
        </w:tc>
        <w:tc>
          <w:tcPr>
            <w:tcW w:w="9155" w:type="dxa"/>
          </w:tcPr>
          <w:p w14:paraId="5E1E725B" w14:textId="404FA4EC" w:rsidR="00D55711" w:rsidRPr="00F25342" w:rsidRDefault="00AF36B6" w:rsidP="00D55711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AF36B6">
              <w:rPr>
                <w:rFonts w:ascii="Times New Roman" w:eastAsia="等线" w:hAnsi="Times New Roman" w:cs="Times New Roman"/>
                <w:noProof/>
                <w:sz w:val="20"/>
              </w:rPr>
              <w:t>Pilotto A</w:t>
            </w:r>
            <w:r w:rsidR="00E7173E" w:rsidRPr="008C478A">
              <w:rPr>
                <w:rFonts w:ascii="Times New Roman" w:eastAsia="等线" w:hAnsi="Times New Roman" w:cs="Times New Roman"/>
                <w:noProof/>
                <w:sz w:val="20"/>
              </w:rPr>
              <w:t>., et al.,</w:t>
            </w:r>
            <w:r w:rsidR="00E7173E">
              <w:rPr>
                <w:rFonts w:ascii="Times New Roman" w:eastAsia="等线" w:hAnsi="Times New Roman" w:cs="Times New Roman"/>
                <w:noProof/>
                <w:sz w:val="20"/>
              </w:rPr>
              <w:t xml:space="preserve"> </w:t>
            </w:r>
            <w:r w:rsidRPr="00AF36B6">
              <w:rPr>
                <w:rFonts w:ascii="Times New Roman" w:eastAsia="等线" w:hAnsi="Times New Roman" w:cs="Times New Roman"/>
                <w:noProof/>
                <w:sz w:val="20"/>
              </w:rPr>
              <w:t>The multidimensional prognostic index predicts short- and long-term mortality in hospitalized geriatric patients with pneumonia. J Gerontol A Biol Sci Med Sci. 2009 Aug;64(8):880-7. doi: 10.1093/gerona/glp031. Epub 2009 Apr 6. PMID: 19349589; PMCID: PMC2981465.</w:t>
            </w:r>
          </w:p>
        </w:tc>
        <w:tc>
          <w:tcPr>
            <w:tcW w:w="3888" w:type="dxa"/>
          </w:tcPr>
          <w:p w14:paraId="5116070B" w14:textId="0F10EED7" w:rsidR="00D55711" w:rsidRPr="00A21FC9" w:rsidRDefault="00AF36B6" w:rsidP="00D55711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AF36B6">
              <w:rPr>
                <w:rFonts w:ascii="Times New Roman" w:eastAsia="等线" w:hAnsi="Times New Roman" w:cs="Times New Roman"/>
                <w:noProof/>
                <w:sz w:val="20"/>
              </w:rPr>
              <w:t>The study did not provide mortality risk data for multidimensional frailty (MPI-3) or prefrailty (MPI-2).</w:t>
            </w:r>
          </w:p>
        </w:tc>
      </w:tr>
      <w:tr w:rsidR="005B1D5D" w:rsidRPr="001C4CFD" w14:paraId="6A388A86" w14:textId="77777777" w:rsidTr="006E292E">
        <w:tc>
          <w:tcPr>
            <w:tcW w:w="905" w:type="dxa"/>
            <w:vAlign w:val="center"/>
          </w:tcPr>
          <w:p w14:paraId="1D018965" w14:textId="4D6A289A" w:rsidR="005B1D5D" w:rsidRDefault="005B1D5D" w:rsidP="00D55711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1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>6</w:t>
            </w:r>
          </w:p>
        </w:tc>
        <w:tc>
          <w:tcPr>
            <w:tcW w:w="9155" w:type="dxa"/>
          </w:tcPr>
          <w:p w14:paraId="5F009B3E" w14:textId="477B79F5" w:rsidR="005B1D5D" w:rsidRPr="00AF36B6" w:rsidRDefault="005B1D5D" w:rsidP="00D55711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5B1D5D">
              <w:rPr>
                <w:rFonts w:ascii="Times New Roman" w:eastAsia="等线" w:hAnsi="Times New Roman" w:cs="Times New Roman"/>
                <w:noProof/>
                <w:sz w:val="20"/>
              </w:rPr>
              <w:t>Pilotto A</w:t>
            </w:r>
            <w:r w:rsidR="00E7173E" w:rsidRPr="008C478A">
              <w:rPr>
                <w:rFonts w:ascii="Times New Roman" w:eastAsia="等线" w:hAnsi="Times New Roman" w:cs="Times New Roman"/>
                <w:noProof/>
                <w:sz w:val="20"/>
              </w:rPr>
              <w:t>., et al.,</w:t>
            </w:r>
            <w:r w:rsidRPr="005B1D5D">
              <w:rPr>
                <w:rFonts w:ascii="Times New Roman" w:eastAsia="等线" w:hAnsi="Times New Roman" w:cs="Times New Roman"/>
                <w:noProof/>
                <w:sz w:val="20"/>
              </w:rPr>
              <w:t xml:space="preserve"> The Comprehensive Geriatric Assessment and the multidimensional approach. A new look at the older patient with gastroenterological disorders. Best Pract Res Clin Gastroenterol. 2009;23(6):829-37. doi: </w:t>
            </w:r>
            <w:r w:rsidRPr="005B1D5D">
              <w:rPr>
                <w:rFonts w:ascii="Times New Roman" w:eastAsia="等线" w:hAnsi="Times New Roman" w:cs="Times New Roman"/>
                <w:noProof/>
                <w:sz w:val="20"/>
              </w:rPr>
              <w:lastRenderedPageBreak/>
              <w:t>10.1016/j.bpg.2009.10.001. PMID: 19942161; PMCID: PMC4986608.</w:t>
            </w:r>
          </w:p>
        </w:tc>
        <w:tc>
          <w:tcPr>
            <w:tcW w:w="3888" w:type="dxa"/>
          </w:tcPr>
          <w:p w14:paraId="3550722A" w14:textId="0460E09A" w:rsidR="005B1D5D" w:rsidRPr="00AF36B6" w:rsidRDefault="005B1D5D" w:rsidP="00D55711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AF36B6">
              <w:rPr>
                <w:rFonts w:ascii="Times New Roman" w:eastAsia="等线" w:hAnsi="Times New Roman" w:cs="Times New Roman"/>
                <w:noProof/>
                <w:sz w:val="20"/>
              </w:rPr>
              <w:lastRenderedPageBreak/>
              <w:t xml:space="preserve">The study did not provide mortality risk data for multidimensional frailty (MPI-3) or </w:t>
            </w:r>
            <w:r w:rsidRPr="00AF36B6">
              <w:rPr>
                <w:rFonts w:ascii="Times New Roman" w:eastAsia="等线" w:hAnsi="Times New Roman" w:cs="Times New Roman"/>
                <w:noProof/>
                <w:sz w:val="20"/>
              </w:rPr>
              <w:lastRenderedPageBreak/>
              <w:t>prefrailty (MPI-2).</w:t>
            </w:r>
          </w:p>
        </w:tc>
      </w:tr>
      <w:tr w:rsidR="005B1D5D" w:rsidRPr="001C4CFD" w14:paraId="2113273E" w14:textId="77777777" w:rsidTr="006E292E">
        <w:tc>
          <w:tcPr>
            <w:tcW w:w="905" w:type="dxa"/>
            <w:vAlign w:val="center"/>
          </w:tcPr>
          <w:p w14:paraId="4D60DFAC" w14:textId="4E3B9B30" w:rsidR="005B1D5D" w:rsidRDefault="005B1D5D" w:rsidP="00D55711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1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>7</w:t>
            </w:r>
          </w:p>
        </w:tc>
        <w:tc>
          <w:tcPr>
            <w:tcW w:w="9155" w:type="dxa"/>
          </w:tcPr>
          <w:p w14:paraId="1871B9CE" w14:textId="6798F858" w:rsidR="005B1D5D" w:rsidRPr="00AF36B6" w:rsidRDefault="005B1D5D" w:rsidP="00D55711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5B1D5D">
              <w:rPr>
                <w:rFonts w:ascii="Times New Roman" w:eastAsia="等线" w:hAnsi="Times New Roman" w:cs="Times New Roman"/>
                <w:noProof/>
                <w:sz w:val="20"/>
              </w:rPr>
              <w:t>Pilotto A</w:t>
            </w:r>
            <w:r w:rsidR="00E7173E" w:rsidRPr="008C478A">
              <w:rPr>
                <w:rFonts w:ascii="Times New Roman" w:eastAsia="等线" w:hAnsi="Times New Roman" w:cs="Times New Roman"/>
                <w:noProof/>
                <w:sz w:val="20"/>
              </w:rPr>
              <w:t>., et al.,</w:t>
            </w:r>
            <w:r w:rsidRPr="005B1D5D">
              <w:rPr>
                <w:rFonts w:ascii="Times New Roman" w:eastAsia="等线" w:hAnsi="Times New Roman" w:cs="Times New Roman"/>
                <w:noProof/>
                <w:sz w:val="20"/>
              </w:rPr>
              <w:t xml:space="preserve"> Development and validation of a multidimensional prognostic index for one-year mortality from comprehensive geriatric assessment in hospitalized older patients. Rejuvenation Res. 2008 Feb;11(1):151-61. doi: 10.1089/rej.2007.0569. PMID: 18173367; PMCID: PMC2668166.</w:t>
            </w:r>
          </w:p>
        </w:tc>
        <w:tc>
          <w:tcPr>
            <w:tcW w:w="3888" w:type="dxa"/>
          </w:tcPr>
          <w:p w14:paraId="5DF1D206" w14:textId="17B75268" w:rsidR="005B1D5D" w:rsidRPr="00AF36B6" w:rsidRDefault="005B1D5D" w:rsidP="00D55711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5B1D5D">
              <w:rPr>
                <w:rFonts w:ascii="Times New Roman" w:eastAsia="等线" w:hAnsi="Times New Roman" w:cs="Times New Roman"/>
                <w:noProof/>
                <w:sz w:val="20"/>
              </w:rPr>
              <w:t>The study did not provide mortality risk data for multidimensional frailty (MPI-3) or prefrailty (MPI-2).</w:t>
            </w:r>
          </w:p>
        </w:tc>
      </w:tr>
      <w:tr w:rsidR="001C1417" w:rsidRPr="001C4CFD" w14:paraId="114A57E5" w14:textId="77777777" w:rsidTr="006E292E">
        <w:tc>
          <w:tcPr>
            <w:tcW w:w="905" w:type="dxa"/>
            <w:vAlign w:val="center"/>
          </w:tcPr>
          <w:p w14:paraId="038221D1" w14:textId="7D20C2A8" w:rsidR="001C1417" w:rsidRDefault="000F68ED" w:rsidP="00D55711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1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>8</w:t>
            </w:r>
          </w:p>
        </w:tc>
        <w:tc>
          <w:tcPr>
            <w:tcW w:w="9155" w:type="dxa"/>
          </w:tcPr>
          <w:p w14:paraId="3257F12B" w14:textId="7B1BEE6E" w:rsidR="001C1417" w:rsidRPr="005B1D5D" w:rsidRDefault="000F68ED" w:rsidP="00D55711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0F68ED">
              <w:rPr>
                <w:rFonts w:ascii="Times New Roman" w:eastAsia="等线" w:hAnsi="Times New Roman" w:cs="Times New Roman"/>
                <w:noProof/>
                <w:sz w:val="20"/>
              </w:rPr>
              <w:t>Gandolfo, F., et al., Multidimensional Prognostic Index (MPI) predicts non-invasivemechanical-ventilation (NIV) success and mortality in older people with acute hypoxemic respiratory failure (AHRF). European Geriatric Medicine, 2018. 9: p. S227.</w:t>
            </w:r>
          </w:p>
        </w:tc>
        <w:tc>
          <w:tcPr>
            <w:tcW w:w="3888" w:type="dxa"/>
          </w:tcPr>
          <w:p w14:paraId="72CBD8D5" w14:textId="2F845F0B" w:rsidR="001C1417" w:rsidRPr="005B1D5D" w:rsidRDefault="000F68ED" w:rsidP="00D55711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5B1D5D">
              <w:rPr>
                <w:rFonts w:ascii="Times New Roman" w:eastAsia="等线" w:hAnsi="Times New Roman" w:cs="Times New Roman"/>
                <w:noProof/>
                <w:sz w:val="20"/>
              </w:rPr>
              <w:t>The study did not provide mortality risk data for multidimensional frailty (MPI-3) or prefrailty (MPI-2).</w:t>
            </w:r>
          </w:p>
        </w:tc>
      </w:tr>
      <w:tr w:rsidR="005B1D5D" w:rsidRPr="001C4CFD" w14:paraId="23E62266" w14:textId="77777777" w:rsidTr="006E292E">
        <w:tc>
          <w:tcPr>
            <w:tcW w:w="905" w:type="dxa"/>
            <w:vAlign w:val="center"/>
          </w:tcPr>
          <w:p w14:paraId="1E1279A3" w14:textId="4E273F75" w:rsidR="005B1D5D" w:rsidRDefault="001C1417" w:rsidP="00D55711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1</w:t>
            </w:r>
            <w:r w:rsidR="000F68ED">
              <w:rPr>
                <w:rFonts w:ascii="Times New Roman" w:eastAsia="等线" w:hAnsi="Times New Roman" w:cs="Times New Roman"/>
                <w:noProof/>
                <w:sz w:val="20"/>
              </w:rPr>
              <w:t>9</w:t>
            </w:r>
          </w:p>
        </w:tc>
        <w:tc>
          <w:tcPr>
            <w:tcW w:w="9155" w:type="dxa"/>
          </w:tcPr>
          <w:p w14:paraId="45D11EE8" w14:textId="2317E69C" w:rsidR="005B1D5D" w:rsidRPr="00AF36B6" w:rsidRDefault="0001557E" w:rsidP="00D55711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01557E">
              <w:rPr>
                <w:rFonts w:ascii="Times New Roman" w:eastAsia="等线" w:hAnsi="Times New Roman" w:cs="Times New Roman"/>
                <w:noProof/>
                <w:sz w:val="20"/>
              </w:rPr>
              <w:t>Pilotto A</w:t>
            </w:r>
            <w:r w:rsidR="00E7173E" w:rsidRPr="008C478A">
              <w:rPr>
                <w:rFonts w:ascii="Times New Roman" w:eastAsia="等线" w:hAnsi="Times New Roman" w:cs="Times New Roman"/>
                <w:noProof/>
                <w:sz w:val="20"/>
              </w:rPr>
              <w:t>., et al.,</w:t>
            </w:r>
            <w:r w:rsidRPr="0001557E">
              <w:rPr>
                <w:rFonts w:ascii="Times New Roman" w:eastAsia="等线" w:hAnsi="Times New Roman" w:cs="Times New Roman"/>
                <w:noProof/>
                <w:sz w:val="20"/>
              </w:rPr>
              <w:t xml:space="preserve"> A multidimensional approach to the geriatric patient with chronic kidney disease. J Nephrol. 2010 Sep-Oct;23 Suppl 15:S5-10. PMID: 20872364.</w:t>
            </w:r>
          </w:p>
        </w:tc>
        <w:tc>
          <w:tcPr>
            <w:tcW w:w="3888" w:type="dxa"/>
          </w:tcPr>
          <w:p w14:paraId="029B8912" w14:textId="3E2611EE" w:rsidR="005B1D5D" w:rsidRPr="00AF36B6" w:rsidRDefault="008C478A" w:rsidP="00D55711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T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 xml:space="preserve">he study </w:t>
            </w: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did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 xml:space="preserve"> not provide HR/OR for mortality</w:t>
            </w:r>
          </w:p>
        </w:tc>
      </w:tr>
      <w:tr w:rsidR="005B1D5D" w:rsidRPr="001C4CFD" w14:paraId="13AF7EDB" w14:textId="77777777" w:rsidTr="006E292E">
        <w:tc>
          <w:tcPr>
            <w:tcW w:w="905" w:type="dxa"/>
            <w:vAlign w:val="center"/>
          </w:tcPr>
          <w:p w14:paraId="113C45F7" w14:textId="6E4610AD" w:rsidR="005B1D5D" w:rsidRDefault="000F68ED" w:rsidP="00D55711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2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>0</w:t>
            </w:r>
          </w:p>
        </w:tc>
        <w:tc>
          <w:tcPr>
            <w:tcW w:w="9155" w:type="dxa"/>
          </w:tcPr>
          <w:p w14:paraId="5054D7B7" w14:textId="228CA4D8" w:rsidR="005B1D5D" w:rsidRPr="00AF36B6" w:rsidRDefault="008C478A" w:rsidP="00D55711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8C478A">
              <w:rPr>
                <w:rFonts w:ascii="Times New Roman" w:eastAsia="等线" w:hAnsi="Times New Roman" w:cs="Times New Roman"/>
                <w:noProof/>
                <w:sz w:val="20"/>
              </w:rPr>
              <w:t>Fontana L</w:t>
            </w:r>
            <w:r w:rsidR="00E7173E" w:rsidRPr="008C478A">
              <w:rPr>
                <w:rFonts w:ascii="Times New Roman" w:eastAsia="等线" w:hAnsi="Times New Roman" w:cs="Times New Roman"/>
                <w:noProof/>
                <w:sz w:val="20"/>
              </w:rPr>
              <w:t>., et al.,</w:t>
            </w:r>
            <w:r w:rsidR="00E7173E">
              <w:rPr>
                <w:rFonts w:ascii="Times New Roman" w:eastAsia="等线" w:hAnsi="Times New Roman" w:cs="Times New Roman"/>
                <w:noProof/>
                <w:sz w:val="20"/>
              </w:rPr>
              <w:t xml:space="preserve"> </w:t>
            </w:r>
            <w:r w:rsidRPr="008C478A">
              <w:rPr>
                <w:rFonts w:ascii="Times New Roman" w:eastAsia="等线" w:hAnsi="Times New Roman" w:cs="Times New Roman"/>
                <w:noProof/>
                <w:sz w:val="20"/>
              </w:rPr>
              <w:t>Identification of a metabolic signature for multidimensional impairment and mortality risk in hospitalized older patients. Aging Cell. 2013 Jun;12(3):459-66. doi: 10.1111/acel.12068. Epub 2013 Apr 10. PMID: 23496093; PMCID: PMC6126373.</w:t>
            </w:r>
          </w:p>
        </w:tc>
        <w:tc>
          <w:tcPr>
            <w:tcW w:w="3888" w:type="dxa"/>
          </w:tcPr>
          <w:p w14:paraId="61E47027" w14:textId="558AAA2E" w:rsidR="005B1D5D" w:rsidRPr="00AF36B6" w:rsidRDefault="008C478A" w:rsidP="00D55711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T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 xml:space="preserve">he study </w:t>
            </w: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did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 xml:space="preserve"> not provide HR/OR for mortality</w:t>
            </w:r>
          </w:p>
        </w:tc>
      </w:tr>
      <w:tr w:rsidR="00C00B4E" w:rsidRPr="001C4CFD" w14:paraId="1DA01634" w14:textId="77777777" w:rsidTr="006E292E">
        <w:tc>
          <w:tcPr>
            <w:tcW w:w="905" w:type="dxa"/>
            <w:vAlign w:val="center"/>
          </w:tcPr>
          <w:p w14:paraId="5D914907" w14:textId="7C78C162" w:rsidR="00C00B4E" w:rsidRDefault="001C1417" w:rsidP="00C00B4E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2</w:t>
            </w:r>
            <w:r w:rsidR="000F68ED">
              <w:rPr>
                <w:rFonts w:ascii="Times New Roman" w:eastAsia="等线" w:hAnsi="Times New Roman" w:cs="Times New Roman"/>
                <w:noProof/>
                <w:sz w:val="20"/>
              </w:rPr>
              <w:t>1</w:t>
            </w:r>
          </w:p>
        </w:tc>
        <w:tc>
          <w:tcPr>
            <w:tcW w:w="9155" w:type="dxa"/>
          </w:tcPr>
          <w:p w14:paraId="29AB76C6" w14:textId="22CD74AD" w:rsidR="00C00B4E" w:rsidRPr="008C478A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8C478A">
              <w:rPr>
                <w:rFonts w:ascii="Times New Roman" w:eastAsia="等线" w:hAnsi="Times New Roman" w:cs="Times New Roman"/>
                <w:noProof/>
                <w:sz w:val="20"/>
              </w:rPr>
              <w:t>Aronico, N., et al., MULTIDIMENSIONAL PROGNOSTIC INDEX PREDICTS MORTALITY IN HOSPITALIZED OLDER PATIENTS WITH DIVERTICULAR DISEASE. Digestive and Liver Disease, 2019. 51: p. E155-E155.</w:t>
            </w:r>
          </w:p>
        </w:tc>
        <w:tc>
          <w:tcPr>
            <w:tcW w:w="3888" w:type="dxa"/>
          </w:tcPr>
          <w:p w14:paraId="31F84C9E" w14:textId="3F01E238" w:rsidR="00C00B4E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43360D">
              <w:rPr>
                <w:rFonts w:ascii="Times New Roman" w:eastAsia="等线" w:hAnsi="Times New Roman" w:cs="Times New Roman"/>
                <w:noProof/>
                <w:sz w:val="20"/>
              </w:rPr>
              <w:t>The study and the other study included in this review were from the same cohort.</w:t>
            </w:r>
          </w:p>
        </w:tc>
      </w:tr>
      <w:tr w:rsidR="00C00B4E" w:rsidRPr="001C4CFD" w14:paraId="712BF0EF" w14:textId="77777777" w:rsidTr="006E292E">
        <w:tc>
          <w:tcPr>
            <w:tcW w:w="905" w:type="dxa"/>
            <w:vAlign w:val="center"/>
          </w:tcPr>
          <w:p w14:paraId="553C15E2" w14:textId="6EDA3F84" w:rsidR="00C00B4E" w:rsidRDefault="001C1417" w:rsidP="00C00B4E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2</w:t>
            </w:r>
            <w:r w:rsidR="000F68ED">
              <w:rPr>
                <w:rFonts w:ascii="Times New Roman" w:eastAsia="等线" w:hAnsi="Times New Roman" w:cs="Times New Roman"/>
                <w:noProof/>
                <w:sz w:val="20"/>
              </w:rPr>
              <w:t>2</w:t>
            </w:r>
          </w:p>
        </w:tc>
        <w:tc>
          <w:tcPr>
            <w:tcW w:w="9155" w:type="dxa"/>
          </w:tcPr>
          <w:p w14:paraId="24AAA477" w14:textId="3BB08716" w:rsidR="00C00B4E" w:rsidRPr="008C478A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8C478A">
              <w:rPr>
                <w:rFonts w:ascii="Times New Roman" w:eastAsia="等线" w:hAnsi="Times New Roman" w:cs="Times New Roman"/>
                <w:noProof/>
                <w:sz w:val="20"/>
              </w:rPr>
              <w:t>Musacchio, C., et al., Multidimensional prognostic index (MPI) predicts post-discharge health-care outcomes in hospitalized older patients: An international, multicentre, one-year follow-up study. the MPI-AGE European Project. European Geriatric Medicine, 2017. 8: p. S1.</w:t>
            </w:r>
          </w:p>
          <w:p w14:paraId="7D20539E" w14:textId="77777777" w:rsidR="00C00B4E" w:rsidRPr="00AF36B6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</w:p>
        </w:tc>
        <w:tc>
          <w:tcPr>
            <w:tcW w:w="3888" w:type="dxa"/>
          </w:tcPr>
          <w:p w14:paraId="5C34D067" w14:textId="30390013" w:rsidR="00C00B4E" w:rsidRPr="00AF36B6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M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>eeting abstract</w:t>
            </w:r>
          </w:p>
        </w:tc>
      </w:tr>
      <w:tr w:rsidR="00C00B4E" w:rsidRPr="001C4CFD" w14:paraId="15BA5756" w14:textId="77777777" w:rsidTr="006E292E">
        <w:tc>
          <w:tcPr>
            <w:tcW w:w="905" w:type="dxa"/>
            <w:vAlign w:val="center"/>
          </w:tcPr>
          <w:p w14:paraId="2DE0E7F7" w14:textId="7D451DF7" w:rsidR="00C00B4E" w:rsidRDefault="001C1417" w:rsidP="00C00B4E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2</w:t>
            </w:r>
            <w:r w:rsidR="000F68ED">
              <w:rPr>
                <w:rFonts w:ascii="Times New Roman" w:eastAsia="等线" w:hAnsi="Times New Roman" w:cs="Times New Roman"/>
                <w:noProof/>
                <w:sz w:val="20"/>
              </w:rPr>
              <w:t>3</w:t>
            </w:r>
          </w:p>
        </w:tc>
        <w:tc>
          <w:tcPr>
            <w:tcW w:w="9155" w:type="dxa"/>
          </w:tcPr>
          <w:p w14:paraId="282FC5F3" w14:textId="20C9F84E" w:rsidR="00C00B4E" w:rsidRPr="00AF36B6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8C478A">
              <w:rPr>
                <w:rFonts w:ascii="Times New Roman" w:eastAsia="等线" w:hAnsi="Times New Roman" w:cs="Times New Roman"/>
                <w:noProof/>
                <w:sz w:val="20"/>
              </w:rPr>
              <w:t>Hoffmann, D., et al., Prediction of Mortality using the Multidimensional Prognostic Index (MPI) in Association with Biomarkers in acute geriatric Patients. Zeitschrift Fur Gerontologie Und Geriatrie, 2017. 50: p. S144-S144.</w:t>
            </w:r>
          </w:p>
        </w:tc>
        <w:tc>
          <w:tcPr>
            <w:tcW w:w="3888" w:type="dxa"/>
          </w:tcPr>
          <w:p w14:paraId="4BC9BF3D" w14:textId="76CFB06D" w:rsidR="00C00B4E" w:rsidRPr="00AF36B6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M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>eeting abstract</w:t>
            </w:r>
          </w:p>
        </w:tc>
      </w:tr>
      <w:tr w:rsidR="00C00B4E" w:rsidRPr="001C4CFD" w14:paraId="021EA697" w14:textId="77777777" w:rsidTr="006E292E">
        <w:tc>
          <w:tcPr>
            <w:tcW w:w="905" w:type="dxa"/>
            <w:vAlign w:val="center"/>
          </w:tcPr>
          <w:p w14:paraId="78E79E6B" w14:textId="6A8C4066" w:rsidR="00C00B4E" w:rsidRDefault="001C1417" w:rsidP="00C00B4E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2</w:t>
            </w:r>
            <w:r w:rsidR="000F68ED">
              <w:rPr>
                <w:rFonts w:ascii="Times New Roman" w:eastAsia="等线" w:hAnsi="Times New Roman" w:cs="Times New Roman"/>
                <w:noProof/>
                <w:sz w:val="20"/>
              </w:rPr>
              <w:t>4</w:t>
            </w:r>
          </w:p>
        </w:tc>
        <w:tc>
          <w:tcPr>
            <w:tcW w:w="9155" w:type="dxa"/>
          </w:tcPr>
          <w:p w14:paraId="68B57AAF" w14:textId="1FBAA025" w:rsidR="00C00B4E" w:rsidRPr="00AF36B6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66469E">
              <w:rPr>
                <w:rFonts w:ascii="Times New Roman" w:eastAsia="等线" w:hAnsi="Times New Roman" w:cs="Times New Roman"/>
                <w:noProof/>
                <w:sz w:val="20"/>
              </w:rPr>
              <w:t>Quispe Guerrero, K.L., et al., The European Study of Older Subjects with Atrial Fibrillation Study (EUROSAF): Preliminary data on anticoagulant prescription in frail older patients. European Geriatric Medicine, 2019. 10: p. S198.</w:t>
            </w:r>
          </w:p>
        </w:tc>
        <w:tc>
          <w:tcPr>
            <w:tcW w:w="3888" w:type="dxa"/>
          </w:tcPr>
          <w:p w14:paraId="153089AE" w14:textId="075E45CE" w:rsidR="00C00B4E" w:rsidRPr="00AF36B6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M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>eeting abstract</w:t>
            </w:r>
          </w:p>
        </w:tc>
      </w:tr>
      <w:tr w:rsidR="00C00B4E" w:rsidRPr="001C4CFD" w14:paraId="380B8FE4" w14:textId="77777777" w:rsidTr="006E292E">
        <w:tc>
          <w:tcPr>
            <w:tcW w:w="905" w:type="dxa"/>
            <w:vAlign w:val="center"/>
          </w:tcPr>
          <w:p w14:paraId="427B8706" w14:textId="170DC321" w:rsidR="00C00B4E" w:rsidRDefault="001C1417" w:rsidP="00C00B4E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2</w:t>
            </w:r>
            <w:r w:rsidR="000F68ED">
              <w:rPr>
                <w:rFonts w:ascii="Times New Roman" w:eastAsia="等线" w:hAnsi="Times New Roman" w:cs="Times New Roman"/>
                <w:noProof/>
                <w:sz w:val="20"/>
              </w:rPr>
              <w:t>5</w:t>
            </w:r>
          </w:p>
        </w:tc>
        <w:tc>
          <w:tcPr>
            <w:tcW w:w="9155" w:type="dxa"/>
          </w:tcPr>
          <w:p w14:paraId="17F7C0AE" w14:textId="387B74DF" w:rsidR="00C00B4E" w:rsidRPr="00AF36B6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66469E">
              <w:rPr>
                <w:rFonts w:ascii="Times New Roman" w:eastAsia="等线" w:hAnsi="Times New Roman" w:cs="Times New Roman"/>
                <w:noProof/>
                <w:sz w:val="20"/>
              </w:rPr>
              <w:t>Goudzwaard, J.A., et al., Multidimensional Prognostic Index is associated with mortality in older patients undergoing transcatheter aortic valve implantation. European Geriatric Medicine, 2018. 9: p. S68.</w:t>
            </w:r>
          </w:p>
        </w:tc>
        <w:tc>
          <w:tcPr>
            <w:tcW w:w="3888" w:type="dxa"/>
          </w:tcPr>
          <w:p w14:paraId="16A7A257" w14:textId="387861D6" w:rsidR="00C00B4E" w:rsidRPr="00AF36B6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M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>eeting abstract</w:t>
            </w:r>
          </w:p>
        </w:tc>
      </w:tr>
      <w:tr w:rsidR="00C00B4E" w:rsidRPr="001C4CFD" w14:paraId="4827F440" w14:textId="77777777" w:rsidTr="006E292E">
        <w:tc>
          <w:tcPr>
            <w:tcW w:w="905" w:type="dxa"/>
            <w:vAlign w:val="center"/>
          </w:tcPr>
          <w:p w14:paraId="7463566A" w14:textId="524E6A6C" w:rsidR="00C00B4E" w:rsidRDefault="001C1417" w:rsidP="00C00B4E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lastRenderedPageBreak/>
              <w:t>2</w:t>
            </w:r>
            <w:r w:rsidR="000F68ED">
              <w:rPr>
                <w:rFonts w:ascii="Times New Roman" w:eastAsia="等线" w:hAnsi="Times New Roman" w:cs="Times New Roman"/>
                <w:noProof/>
                <w:sz w:val="20"/>
              </w:rPr>
              <w:t>6</w:t>
            </w:r>
          </w:p>
        </w:tc>
        <w:tc>
          <w:tcPr>
            <w:tcW w:w="9155" w:type="dxa"/>
          </w:tcPr>
          <w:p w14:paraId="21F7286E" w14:textId="6D105A10" w:rsidR="00C00B4E" w:rsidRPr="00AF36B6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66469E">
              <w:rPr>
                <w:rFonts w:ascii="Times New Roman" w:eastAsia="等线" w:hAnsi="Times New Roman" w:cs="Times New Roman"/>
                <w:noProof/>
                <w:sz w:val="20"/>
              </w:rPr>
              <w:t>Pilotto, A., et al., Role of anti-dementia drugs and multidimensional impairment on mortality rates in frail multimorbid older patients with dementia: Results from the European MPI-AGE project. European Geriatric Medicine, 2015. 6: p. S20.</w:t>
            </w:r>
          </w:p>
        </w:tc>
        <w:tc>
          <w:tcPr>
            <w:tcW w:w="3888" w:type="dxa"/>
          </w:tcPr>
          <w:p w14:paraId="21D6CA9F" w14:textId="19AC11BA" w:rsidR="00C00B4E" w:rsidRPr="00AF36B6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M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>eeting abstract</w:t>
            </w:r>
          </w:p>
        </w:tc>
      </w:tr>
      <w:tr w:rsidR="00C00B4E" w:rsidRPr="001C4CFD" w14:paraId="05432834" w14:textId="77777777" w:rsidTr="006E292E">
        <w:tc>
          <w:tcPr>
            <w:tcW w:w="905" w:type="dxa"/>
            <w:vAlign w:val="center"/>
          </w:tcPr>
          <w:p w14:paraId="643CEFD0" w14:textId="5FDEB163" w:rsidR="00C00B4E" w:rsidRDefault="001C1417" w:rsidP="00C00B4E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2</w:t>
            </w:r>
            <w:r w:rsidR="000F68ED">
              <w:rPr>
                <w:rFonts w:ascii="Times New Roman" w:eastAsia="等线" w:hAnsi="Times New Roman" w:cs="Times New Roman"/>
                <w:noProof/>
                <w:sz w:val="20"/>
              </w:rPr>
              <w:t>7</w:t>
            </w:r>
          </w:p>
        </w:tc>
        <w:tc>
          <w:tcPr>
            <w:tcW w:w="9155" w:type="dxa"/>
          </w:tcPr>
          <w:p w14:paraId="10C8F9AC" w14:textId="773E83A1" w:rsidR="00C00B4E" w:rsidRPr="00AF36B6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66469E">
              <w:rPr>
                <w:rFonts w:ascii="Times New Roman" w:eastAsia="等线" w:hAnsi="Times New Roman" w:cs="Times New Roman"/>
                <w:noProof/>
                <w:sz w:val="20"/>
              </w:rPr>
              <w:t>Giantin, V., et al., The Multidimensional Prognostic Index (MPI) predicts mortality in elderly cancer patients (ECP) better than the traditional Comprehensive Geriatric Assessment (CGA). European Geriatric Medicine, 2013. 4: p. S214-S215.</w:t>
            </w:r>
          </w:p>
        </w:tc>
        <w:tc>
          <w:tcPr>
            <w:tcW w:w="3888" w:type="dxa"/>
          </w:tcPr>
          <w:p w14:paraId="091EFFAC" w14:textId="2D0E61A9" w:rsidR="00C00B4E" w:rsidRPr="00AF36B6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M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>eeting abstract</w:t>
            </w:r>
          </w:p>
        </w:tc>
      </w:tr>
      <w:tr w:rsidR="00C00B4E" w:rsidRPr="001C4CFD" w14:paraId="6134814A" w14:textId="77777777" w:rsidTr="006E292E">
        <w:tc>
          <w:tcPr>
            <w:tcW w:w="905" w:type="dxa"/>
            <w:vAlign w:val="center"/>
          </w:tcPr>
          <w:p w14:paraId="78C6FEC0" w14:textId="52E760E3" w:rsidR="00C00B4E" w:rsidRDefault="001C1417" w:rsidP="00C00B4E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2</w:t>
            </w:r>
            <w:r w:rsidR="000F68ED">
              <w:rPr>
                <w:rFonts w:ascii="Times New Roman" w:eastAsia="等线" w:hAnsi="Times New Roman" w:cs="Times New Roman"/>
                <w:noProof/>
                <w:sz w:val="20"/>
              </w:rPr>
              <w:t>8</w:t>
            </w:r>
          </w:p>
        </w:tc>
        <w:tc>
          <w:tcPr>
            <w:tcW w:w="9155" w:type="dxa"/>
          </w:tcPr>
          <w:p w14:paraId="05280A9C" w14:textId="0E9DF076" w:rsidR="00C00B4E" w:rsidRPr="00AF36B6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66469E">
              <w:rPr>
                <w:rFonts w:ascii="Times New Roman" w:eastAsia="等线" w:hAnsi="Times New Roman" w:cs="Times New Roman"/>
                <w:noProof/>
                <w:sz w:val="20"/>
              </w:rPr>
              <w:t>Brunello, A., et al., Validation of a cancer-specific Oncological-Multidimensional Prognostic Index (Onco-MPI) for mortality prediction in older cancer patients. Journal of Clinical Oncology, 2013. 31(15).</w:t>
            </w:r>
          </w:p>
        </w:tc>
        <w:tc>
          <w:tcPr>
            <w:tcW w:w="3888" w:type="dxa"/>
          </w:tcPr>
          <w:p w14:paraId="6C2BA3B6" w14:textId="00153FC1" w:rsidR="00C00B4E" w:rsidRPr="00AF36B6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M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>eeting abstract</w:t>
            </w:r>
          </w:p>
        </w:tc>
      </w:tr>
      <w:tr w:rsidR="00C00B4E" w:rsidRPr="001C4CFD" w14:paraId="5B2C6FED" w14:textId="77777777" w:rsidTr="006E292E">
        <w:tc>
          <w:tcPr>
            <w:tcW w:w="905" w:type="dxa"/>
            <w:vAlign w:val="center"/>
          </w:tcPr>
          <w:p w14:paraId="7D273332" w14:textId="7C4F68F7" w:rsidR="00C00B4E" w:rsidRDefault="001C1417" w:rsidP="00C00B4E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2</w:t>
            </w:r>
            <w:r w:rsidR="000F68ED">
              <w:rPr>
                <w:rFonts w:ascii="Times New Roman" w:eastAsia="等线" w:hAnsi="Times New Roman" w:cs="Times New Roman"/>
                <w:noProof/>
                <w:sz w:val="20"/>
              </w:rPr>
              <w:t>9</w:t>
            </w:r>
          </w:p>
        </w:tc>
        <w:tc>
          <w:tcPr>
            <w:tcW w:w="9155" w:type="dxa"/>
          </w:tcPr>
          <w:p w14:paraId="63E40BF5" w14:textId="53FF3A80" w:rsidR="00C00B4E" w:rsidRPr="00AF36B6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66469E">
              <w:rPr>
                <w:rFonts w:ascii="Times New Roman" w:eastAsia="等线" w:hAnsi="Times New Roman" w:cs="Times New Roman"/>
                <w:noProof/>
                <w:sz w:val="20"/>
              </w:rPr>
              <w:t>Sancarlo, D., et al., Comparing models of frailty in hospitalized older patients: A multicentre study to predict one-yearmortality in 4038 subjects. European Geriatric Medicine, 2010. 1: p. S119-S120.</w:t>
            </w:r>
          </w:p>
        </w:tc>
        <w:tc>
          <w:tcPr>
            <w:tcW w:w="3888" w:type="dxa"/>
          </w:tcPr>
          <w:p w14:paraId="3EABAD84" w14:textId="6FBF146E" w:rsidR="00C00B4E" w:rsidRPr="00AF36B6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M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>eeting abstract</w:t>
            </w:r>
          </w:p>
        </w:tc>
      </w:tr>
      <w:tr w:rsidR="00C00B4E" w:rsidRPr="001C4CFD" w14:paraId="2AF9BB4E" w14:textId="77777777" w:rsidTr="006E292E">
        <w:tc>
          <w:tcPr>
            <w:tcW w:w="905" w:type="dxa"/>
            <w:vAlign w:val="center"/>
          </w:tcPr>
          <w:p w14:paraId="40F1A621" w14:textId="1EC28EA8" w:rsidR="00C00B4E" w:rsidRDefault="000F68ED" w:rsidP="00C00B4E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3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>0</w:t>
            </w:r>
          </w:p>
        </w:tc>
        <w:tc>
          <w:tcPr>
            <w:tcW w:w="9155" w:type="dxa"/>
          </w:tcPr>
          <w:p w14:paraId="117F05F9" w14:textId="315A0A1C" w:rsidR="00C00B4E" w:rsidRPr="0066469E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66469E">
              <w:rPr>
                <w:rFonts w:ascii="Times New Roman" w:eastAsia="等线" w:hAnsi="Times New Roman" w:cs="Times New Roman"/>
                <w:noProof/>
                <w:sz w:val="20"/>
              </w:rPr>
              <w:t>Sancarlo, D., et al., The multidimensional prognostic index predicts short-and long-term mortality in hospitalized geriatric patients with type 2 diabetes (T2D). European Geriatric Medicine, 2010. 1: p. S70-S71.</w:t>
            </w:r>
          </w:p>
        </w:tc>
        <w:tc>
          <w:tcPr>
            <w:tcW w:w="3888" w:type="dxa"/>
          </w:tcPr>
          <w:p w14:paraId="5114EDF5" w14:textId="5058A8FB" w:rsidR="00C00B4E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M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>eeting abstract</w:t>
            </w:r>
          </w:p>
        </w:tc>
      </w:tr>
      <w:tr w:rsidR="00C00B4E" w:rsidRPr="001C4CFD" w14:paraId="41192735" w14:textId="77777777" w:rsidTr="006E292E">
        <w:tc>
          <w:tcPr>
            <w:tcW w:w="905" w:type="dxa"/>
            <w:vAlign w:val="center"/>
          </w:tcPr>
          <w:p w14:paraId="18E1E505" w14:textId="5238D0B8" w:rsidR="00C00B4E" w:rsidRDefault="001C1417" w:rsidP="00C00B4E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3</w:t>
            </w:r>
            <w:r w:rsidR="000F68ED">
              <w:rPr>
                <w:rFonts w:ascii="Times New Roman" w:eastAsia="等线" w:hAnsi="Times New Roman" w:cs="Times New Roman"/>
                <w:noProof/>
                <w:sz w:val="20"/>
              </w:rPr>
              <w:t>1</w:t>
            </w:r>
          </w:p>
        </w:tc>
        <w:tc>
          <w:tcPr>
            <w:tcW w:w="9155" w:type="dxa"/>
          </w:tcPr>
          <w:p w14:paraId="2D1BB72D" w14:textId="23CDDFB9" w:rsidR="00C00B4E" w:rsidRPr="0066469E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43360D">
              <w:rPr>
                <w:rFonts w:ascii="Times New Roman" w:eastAsia="等线" w:hAnsi="Times New Roman" w:cs="Times New Roman"/>
                <w:noProof/>
                <w:sz w:val="20"/>
              </w:rPr>
              <w:t>Simonato, M., et al., Statin treatment reduces mortality in frail multimorbid older patients with diabetes mellitus regardless of their mortality risk. European Geriatric Medicine, 2014. 5: p. S131.</w:t>
            </w:r>
          </w:p>
        </w:tc>
        <w:tc>
          <w:tcPr>
            <w:tcW w:w="3888" w:type="dxa"/>
          </w:tcPr>
          <w:p w14:paraId="1B4F0255" w14:textId="0554D69B" w:rsidR="00C00B4E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M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>eeting abstract</w:t>
            </w:r>
          </w:p>
        </w:tc>
      </w:tr>
      <w:tr w:rsidR="00C00B4E" w:rsidRPr="001C4CFD" w14:paraId="6BA13478" w14:textId="77777777" w:rsidTr="006E292E">
        <w:tc>
          <w:tcPr>
            <w:tcW w:w="905" w:type="dxa"/>
            <w:vAlign w:val="center"/>
          </w:tcPr>
          <w:p w14:paraId="506A0A5D" w14:textId="28040304" w:rsidR="00C00B4E" w:rsidRDefault="001C1417" w:rsidP="00C00B4E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3</w:t>
            </w:r>
            <w:r w:rsidR="000F68ED">
              <w:rPr>
                <w:rFonts w:ascii="Times New Roman" w:eastAsia="等线" w:hAnsi="Times New Roman" w:cs="Times New Roman"/>
                <w:noProof/>
                <w:sz w:val="20"/>
              </w:rPr>
              <w:t>2</w:t>
            </w:r>
          </w:p>
        </w:tc>
        <w:tc>
          <w:tcPr>
            <w:tcW w:w="9155" w:type="dxa"/>
          </w:tcPr>
          <w:p w14:paraId="0F1C6F13" w14:textId="583771B8" w:rsidR="00C00B4E" w:rsidRPr="0066469E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43360D">
              <w:rPr>
                <w:rFonts w:ascii="Times New Roman" w:eastAsia="等线" w:hAnsi="Times New Roman" w:cs="Times New Roman"/>
                <w:noProof/>
                <w:sz w:val="20"/>
              </w:rPr>
              <w:t>Pilotto, A., et al., Statin treatment reduces all-cause mortality in older patients with cardio- or cerebro-vascular disease regardless of their mortality risk. Results of the EU-funded MPI-AGE Project. European Geriatric Medicine, 2014. 5: p. S112.</w:t>
            </w:r>
          </w:p>
        </w:tc>
        <w:tc>
          <w:tcPr>
            <w:tcW w:w="3888" w:type="dxa"/>
          </w:tcPr>
          <w:p w14:paraId="50DDE4D9" w14:textId="0364D487" w:rsidR="00C00B4E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M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>eeting abstract</w:t>
            </w:r>
          </w:p>
        </w:tc>
      </w:tr>
      <w:tr w:rsidR="00C00B4E" w:rsidRPr="001C4CFD" w14:paraId="6C839DC7" w14:textId="77777777" w:rsidTr="006E292E">
        <w:tc>
          <w:tcPr>
            <w:tcW w:w="905" w:type="dxa"/>
            <w:vAlign w:val="center"/>
          </w:tcPr>
          <w:p w14:paraId="2172E5C2" w14:textId="0B0E6092" w:rsidR="00C00B4E" w:rsidRDefault="001C1417" w:rsidP="00C00B4E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3</w:t>
            </w:r>
            <w:r w:rsidR="000F68ED">
              <w:rPr>
                <w:rFonts w:ascii="Times New Roman" w:eastAsia="等线" w:hAnsi="Times New Roman" w:cs="Times New Roman"/>
                <w:noProof/>
                <w:sz w:val="20"/>
              </w:rPr>
              <w:t>3</w:t>
            </w:r>
          </w:p>
        </w:tc>
        <w:tc>
          <w:tcPr>
            <w:tcW w:w="9155" w:type="dxa"/>
          </w:tcPr>
          <w:p w14:paraId="4FE51467" w14:textId="28FB8753" w:rsidR="00C00B4E" w:rsidRPr="0066469E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C00B4E">
              <w:rPr>
                <w:rFonts w:ascii="Times New Roman" w:eastAsia="等线" w:hAnsi="Times New Roman" w:cs="Times New Roman"/>
                <w:noProof/>
                <w:sz w:val="20"/>
              </w:rPr>
              <w:t>Pilotto, A., et al., Combined use of multidimensional prognostic index (MPI) and procalcitonin plasma levels in predicting one-month mortality in older patients hospitalized with community-acquired pneumonia: A prospective study. European Geriatric Medicine, 2014. 5: p. S144.</w:t>
            </w:r>
          </w:p>
        </w:tc>
        <w:tc>
          <w:tcPr>
            <w:tcW w:w="3888" w:type="dxa"/>
          </w:tcPr>
          <w:p w14:paraId="224C847E" w14:textId="4E39F7EA" w:rsidR="00C00B4E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M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>eeting abstract</w:t>
            </w:r>
          </w:p>
        </w:tc>
      </w:tr>
      <w:tr w:rsidR="00C00B4E" w:rsidRPr="001C4CFD" w14:paraId="0EDC44AA" w14:textId="77777777" w:rsidTr="006E292E">
        <w:tc>
          <w:tcPr>
            <w:tcW w:w="905" w:type="dxa"/>
            <w:vAlign w:val="center"/>
          </w:tcPr>
          <w:p w14:paraId="04169F0E" w14:textId="03BD9E89" w:rsidR="00C00B4E" w:rsidRDefault="001C1417" w:rsidP="00C00B4E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3</w:t>
            </w:r>
            <w:r w:rsidR="000F68ED">
              <w:rPr>
                <w:rFonts w:ascii="Times New Roman" w:eastAsia="等线" w:hAnsi="Times New Roman" w:cs="Times New Roman"/>
                <w:noProof/>
                <w:sz w:val="20"/>
              </w:rPr>
              <w:t>4</w:t>
            </w:r>
          </w:p>
        </w:tc>
        <w:tc>
          <w:tcPr>
            <w:tcW w:w="9155" w:type="dxa"/>
          </w:tcPr>
          <w:p w14:paraId="72E0A19E" w14:textId="13FC3D51" w:rsidR="00C00B4E" w:rsidRPr="0066469E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C00B4E">
              <w:rPr>
                <w:rFonts w:ascii="Times New Roman" w:eastAsia="等线" w:hAnsi="Times New Roman" w:cs="Times New Roman"/>
                <w:noProof/>
                <w:sz w:val="20"/>
              </w:rPr>
              <w:t>Gregersen, M. and E.M. Damsgaard, The multidimensional prognostic index predicts 90-day mortality in older medical patients admitted to an Emergency Department. European Geriatric Medicine, 2018. 9: p. S110.</w:t>
            </w:r>
          </w:p>
        </w:tc>
        <w:tc>
          <w:tcPr>
            <w:tcW w:w="3888" w:type="dxa"/>
          </w:tcPr>
          <w:p w14:paraId="2EA519D1" w14:textId="2E4C15B3" w:rsidR="00C00B4E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M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>eeting abstract</w:t>
            </w:r>
          </w:p>
        </w:tc>
      </w:tr>
      <w:tr w:rsidR="00C00B4E" w:rsidRPr="001C4CFD" w14:paraId="0CAC6ED9" w14:textId="77777777" w:rsidTr="006E292E">
        <w:tc>
          <w:tcPr>
            <w:tcW w:w="905" w:type="dxa"/>
            <w:vAlign w:val="center"/>
          </w:tcPr>
          <w:p w14:paraId="1BCA7694" w14:textId="32F370C3" w:rsidR="00C00B4E" w:rsidRDefault="001C1417" w:rsidP="00C00B4E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3</w:t>
            </w:r>
            <w:r w:rsidR="000F68ED">
              <w:rPr>
                <w:rFonts w:ascii="Times New Roman" w:eastAsia="等线" w:hAnsi="Times New Roman" w:cs="Times New Roman"/>
                <w:noProof/>
                <w:sz w:val="20"/>
              </w:rPr>
              <w:t>5</w:t>
            </w:r>
          </w:p>
        </w:tc>
        <w:tc>
          <w:tcPr>
            <w:tcW w:w="9155" w:type="dxa"/>
          </w:tcPr>
          <w:p w14:paraId="4133D4F9" w14:textId="4A5F33EC" w:rsidR="00C00B4E" w:rsidRPr="00C00B4E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C00B4E">
              <w:rPr>
                <w:rFonts w:ascii="Times New Roman" w:eastAsia="等线" w:hAnsi="Times New Roman" w:cs="Times New Roman"/>
                <w:noProof/>
                <w:sz w:val="20"/>
              </w:rPr>
              <w:t>Veronese, N., et al., Prognostic stratification in older patients affected by COVID-19: An European, multicenter, prospective cohort study. European Geriatric Medicine, 2021. 12(SUPPL 1): p. S177-S178.</w:t>
            </w:r>
          </w:p>
        </w:tc>
        <w:tc>
          <w:tcPr>
            <w:tcW w:w="3888" w:type="dxa"/>
          </w:tcPr>
          <w:p w14:paraId="7C7E19B0" w14:textId="62C99019" w:rsidR="00C00B4E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M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>eeting abstract</w:t>
            </w:r>
          </w:p>
        </w:tc>
      </w:tr>
      <w:tr w:rsidR="00C00B4E" w:rsidRPr="001C4CFD" w14:paraId="4C2BE7F9" w14:textId="77777777" w:rsidTr="006E292E">
        <w:tc>
          <w:tcPr>
            <w:tcW w:w="905" w:type="dxa"/>
            <w:vAlign w:val="center"/>
          </w:tcPr>
          <w:p w14:paraId="4947124C" w14:textId="7EC3EEDC" w:rsidR="00C00B4E" w:rsidRDefault="001C1417" w:rsidP="00C00B4E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3</w:t>
            </w:r>
            <w:r w:rsidR="000F68ED">
              <w:rPr>
                <w:rFonts w:ascii="Times New Roman" w:eastAsia="等线" w:hAnsi="Times New Roman" w:cs="Times New Roman"/>
                <w:noProof/>
                <w:sz w:val="20"/>
              </w:rPr>
              <w:t>6</w:t>
            </w:r>
          </w:p>
        </w:tc>
        <w:tc>
          <w:tcPr>
            <w:tcW w:w="9155" w:type="dxa"/>
          </w:tcPr>
          <w:p w14:paraId="4695BA90" w14:textId="6CF43965" w:rsidR="00C00B4E" w:rsidRPr="00C00B4E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C00B4E">
              <w:rPr>
                <w:rFonts w:ascii="Times New Roman" w:eastAsia="等线" w:hAnsi="Times New Roman" w:cs="Times New Roman"/>
                <w:noProof/>
                <w:sz w:val="20"/>
              </w:rPr>
              <w:t xml:space="preserve">Heath, A., et al., Frailty prevalence and its association with readmission among older medical inpatients discharged from a Danish Regional Hospital-a cohort study. European Geriatric Medicine, 2021. 12(SUPPL 1): </w:t>
            </w:r>
            <w:r w:rsidRPr="00C00B4E">
              <w:rPr>
                <w:rFonts w:ascii="Times New Roman" w:eastAsia="等线" w:hAnsi="Times New Roman" w:cs="Times New Roman"/>
                <w:noProof/>
                <w:sz w:val="20"/>
              </w:rPr>
              <w:lastRenderedPageBreak/>
              <w:t>p. S266.</w:t>
            </w:r>
          </w:p>
        </w:tc>
        <w:tc>
          <w:tcPr>
            <w:tcW w:w="3888" w:type="dxa"/>
          </w:tcPr>
          <w:p w14:paraId="7922EEB1" w14:textId="5211B965" w:rsidR="00C00B4E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lastRenderedPageBreak/>
              <w:t>M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>eeting abstract</w:t>
            </w:r>
          </w:p>
        </w:tc>
      </w:tr>
      <w:tr w:rsidR="00C00B4E" w:rsidRPr="001C4CFD" w14:paraId="3D91AE6A" w14:textId="77777777" w:rsidTr="006E292E">
        <w:tc>
          <w:tcPr>
            <w:tcW w:w="905" w:type="dxa"/>
            <w:vAlign w:val="center"/>
          </w:tcPr>
          <w:p w14:paraId="569B2830" w14:textId="0D37BDED" w:rsidR="00C00B4E" w:rsidRDefault="001C1417" w:rsidP="00C00B4E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3</w:t>
            </w:r>
            <w:r w:rsidR="000F68ED">
              <w:rPr>
                <w:rFonts w:ascii="Times New Roman" w:eastAsia="等线" w:hAnsi="Times New Roman" w:cs="Times New Roman"/>
                <w:noProof/>
                <w:sz w:val="20"/>
              </w:rPr>
              <w:t>7</w:t>
            </w:r>
          </w:p>
        </w:tc>
        <w:tc>
          <w:tcPr>
            <w:tcW w:w="9155" w:type="dxa"/>
          </w:tcPr>
          <w:p w14:paraId="19618F4F" w14:textId="0E4ED374" w:rsidR="00C00B4E" w:rsidRPr="00C00B4E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C00B4E">
              <w:rPr>
                <w:rFonts w:ascii="Times New Roman" w:eastAsia="等线" w:hAnsi="Times New Roman" w:cs="Times New Roman"/>
                <w:noProof/>
                <w:sz w:val="20"/>
              </w:rPr>
              <w:t>Veronese, N., et al., SVAMA-MPI and mortality/hospitalization in nursing home residents affected by COVID-19. European Geriatric Medicine, 2020. 11(SUPPL 1): p. S70.</w:t>
            </w:r>
          </w:p>
        </w:tc>
        <w:tc>
          <w:tcPr>
            <w:tcW w:w="3888" w:type="dxa"/>
          </w:tcPr>
          <w:p w14:paraId="4EC38352" w14:textId="0D02380D" w:rsidR="00C00B4E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M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>eeting abstract</w:t>
            </w:r>
          </w:p>
        </w:tc>
      </w:tr>
      <w:tr w:rsidR="00C00B4E" w:rsidRPr="001C4CFD" w14:paraId="314D615A" w14:textId="77777777" w:rsidTr="006E292E">
        <w:tc>
          <w:tcPr>
            <w:tcW w:w="905" w:type="dxa"/>
            <w:vAlign w:val="center"/>
          </w:tcPr>
          <w:p w14:paraId="0A9B5212" w14:textId="2E6AD595" w:rsidR="00C00B4E" w:rsidRDefault="001C1417" w:rsidP="00C00B4E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3</w:t>
            </w:r>
            <w:r w:rsidR="000F68ED">
              <w:rPr>
                <w:rFonts w:ascii="Times New Roman" w:eastAsia="等线" w:hAnsi="Times New Roman" w:cs="Times New Roman"/>
                <w:noProof/>
                <w:sz w:val="20"/>
              </w:rPr>
              <w:t>8</w:t>
            </w:r>
          </w:p>
        </w:tc>
        <w:tc>
          <w:tcPr>
            <w:tcW w:w="9155" w:type="dxa"/>
          </w:tcPr>
          <w:p w14:paraId="03A83E2E" w14:textId="7F8BC240" w:rsidR="00C00B4E" w:rsidRPr="00C00B4E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C00B4E">
              <w:rPr>
                <w:rFonts w:ascii="Times New Roman" w:eastAsia="等线" w:hAnsi="Times New Roman" w:cs="Times New Roman"/>
                <w:noProof/>
                <w:sz w:val="20"/>
              </w:rPr>
              <w:t>Veronese, N., et al., Anticoagulant prescription and mortality in older patients with atrial fibrillation: The european study of older subjects with atrial fibrillation study (EUROSAF). European Geriatric Medicine, 2020. 11(SUPPL 1): p. S115.</w:t>
            </w:r>
          </w:p>
        </w:tc>
        <w:tc>
          <w:tcPr>
            <w:tcW w:w="3888" w:type="dxa"/>
          </w:tcPr>
          <w:p w14:paraId="686622AE" w14:textId="6C2FFF85" w:rsidR="00C00B4E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M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>eeting abstract</w:t>
            </w:r>
          </w:p>
        </w:tc>
      </w:tr>
      <w:tr w:rsidR="00C00B4E" w:rsidRPr="001C4CFD" w14:paraId="4750FEA9" w14:textId="77777777" w:rsidTr="006E292E">
        <w:tc>
          <w:tcPr>
            <w:tcW w:w="905" w:type="dxa"/>
            <w:vAlign w:val="center"/>
          </w:tcPr>
          <w:p w14:paraId="2EA8E155" w14:textId="6C4AEBF2" w:rsidR="00C00B4E" w:rsidRDefault="001C1417" w:rsidP="00C00B4E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3</w:t>
            </w:r>
            <w:r w:rsidR="000F68ED">
              <w:rPr>
                <w:rFonts w:ascii="Times New Roman" w:eastAsia="等线" w:hAnsi="Times New Roman" w:cs="Times New Roman"/>
                <w:noProof/>
                <w:sz w:val="20"/>
              </w:rPr>
              <w:t>9</w:t>
            </w:r>
          </w:p>
        </w:tc>
        <w:tc>
          <w:tcPr>
            <w:tcW w:w="9155" w:type="dxa"/>
          </w:tcPr>
          <w:p w14:paraId="1FD94050" w14:textId="12A630A9" w:rsidR="00C00B4E" w:rsidRPr="00C00B4E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C00B4E">
              <w:rPr>
                <w:rFonts w:ascii="Times New Roman" w:eastAsia="等线" w:hAnsi="Times New Roman" w:cs="Times New Roman"/>
                <w:noProof/>
                <w:sz w:val="20"/>
              </w:rPr>
              <w:t>Pilotto, A., et al., Development and validation of a multidimensional prognostic index for mortality based on a comprehensive geriatric assessment (MPI-SVAMA) in community-dwelling older subjects. European Geriatric Medicine, 2012. 3: p. S15-S16.</w:t>
            </w:r>
          </w:p>
        </w:tc>
        <w:tc>
          <w:tcPr>
            <w:tcW w:w="3888" w:type="dxa"/>
          </w:tcPr>
          <w:p w14:paraId="6C850D02" w14:textId="086A8A67" w:rsidR="00C00B4E" w:rsidRDefault="00C00B4E" w:rsidP="00C00B4E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M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>eeting abstract</w:t>
            </w:r>
          </w:p>
        </w:tc>
      </w:tr>
      <w:tr w:rsidR="001C1417" w:rsidRPr="001C4CFD" w14:paraId="02996989" w14:textId="77777777" w:rsidTr="006E292E">
        <w:tc>
          <w:tcPr>
            <w:tcW w:w="905" w:type="dxa"/>
            <w:vAlign w:val="center"/>
          </w:tcPr>
          <w:p w14:paraId="1752A7B1" w14:textId="1E450752" w:rsidR="001C1417" w:rsidRDefault="000F68ED" w:rsidP="001C1417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4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>0</w:t>
            </w:r>
          </w:p>
        </w:tc>
        <w:tc>
          <w:tcPr>
            <w:tcW w:w="9155" w:type="dxa"/>
          </w:tcPr>
          <w:p w14:paraId="58F7F183" w14:textId="265A0908" w:rsidR="001C1417" w:rsidRPr="00C00B4E" w:rsidRDefault="001C1417" w:rsidP="001C1417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1C1417">
              <w:rPr>
                <w:rFonts w:ascii="Times New Roman" w:eastAsia="等线" w:hAnsi="Times New Roman" w:cs="Times New Roman"/>
                <w:noProof/>
                <w:sz w:val="20"/>
              </w:rPr>
              <w:t>Pilotto, A., et al., Mapping multidimensional frailty in community-dwelling people over 80 years vaccinated against COVID-19: Focus on functional and clinical differences between women and men. European Geriatric Medicine, 2021. 12(SUPPL 1): p. S130.</w:t>
            </w:r>
          </w:p>
        </w:tc>
        <w:tc>
          <w:tcPr>
            <w:tcW w:w="3888" w:type="dxa"/>
          </w:tcPr>
          <w:p w14:paraId="3AF921FB" w14:textId="3D151C42" w:rsidR="001C1417" w:rsidRDefault="001C1417" w:rsidP="001C1417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M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>eeting abstract</w:t>
            </w:r>
          </w:p>
        </w:tc>
      </w:tr>
      <w:tr w:rsidR="001C1417" w:rsidRPr="001C4CFD" w14:paraId="4AA720E4" w14:textId="77777777" w:rsidTr="006E292E">
        <w:tc>
          <w:tcPr>
            <w:tcW w:w="905" w:type="dxa"/>
            <w:vAlign w:val="center"/>
          </w:tcPr>
          <w:p w14:paraId="7487223B" w14:textId="207A57D0" w:rsidR="001C1417" w:rsidRDefault="001C1417" w:rsidP="001C1417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4</w:t>
            </w:r>
            <w:r w:rsidR="000F68ED">
              <w:rPr>
                <w:rFonts w:ascii="Times New Roman" w:eastAsia="等线" w:hAnsi="Times New Roman" w:cs="Times New Roman"/>
                <w:noProof/>
                <w:sz w:val="20"/>
              </w:rPr>
              <w:t>1</w:t>
            </w:r>
          </w:p>
        </w:tc>
        <w:tc>
          <w:tcPr>
            <w:tcW w:w="9155" w:type="dxa"/>
          </w:tcPr>
          <w:p w14:paraId="7F392C16" w14:textId="331D5217" w:rsidR="001C1417" w:rsidRPr="00C00B4E" w:rsidRDefault="001C1417" w:rsidP="001C1417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1C1417">
              <w:rPr>
                <w:rFonts w:ascii="Times New Roman" w:eastAsia="等线" w:hAnsi="Times New Roman" w:cs="Times New Roman"/>
                <w:noProof/>
                <w:sz w:val="20"/>
              </w:rPr>
              <w:t>Lietzen, L.W., et al., Clinical presentation and outcomes of COVID-19 in older hospitalised patients assessed by the record-based Multidimensional Prognostic Index, a cross-sectional cohort study. European Geriatric Medicine, 2021. 12(SUPPL 1): p. S153.</w:t>
            </w:r>
          </w:p>
        </w:tc>
        <w:tc>
          <w:tcPr>
            <w:tcW w:w="3888" w:type="dxa"/>
          </w:tcPr>
          <w:p w14:paraId="4F5D5588" w14:textId="0DFCFFE4" w:rsidR="001C1417" w:rsidRDefault="001C1417" w:rsidP="001C1417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M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>eeting abstract</w:t>
            </w:r>
          </w:p>
        </w:tc>
      </w:tr>
      <w:tr w:rsidR="001C1417" w:rsidRPr="001C4CFD" w14:paraId="6FA8D0E1" w14:textId="77777777" w:rsidTr="006E292E">
        <w:tc>
          <w:tcPr>
            <w:tcW w:w="905" w:type="dxa"/>
            <w:vAlign w:val="center"/>
          </w:tcPr>
          <w:p w14:paraId="7973E002" w14:textId="384D8436" w:rsidR="001C1417" w:rsidRDefault="001C1417" w:rsidP="001C1417">
            <w:pPr>
              <w:jc w:val="center"/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4</w:t>
            </w:r>
            <w:r w:rsidR="000F68ED">
              <w:rPr>
                <w:rFonts w:ascii="Times New Roman" w:eastAsia="等线" w:hAnsi="Times New Roman" w:cs="Times New Roman"/>
                <w:noProof/>
                <w:sz w:val="20"/>
              </w:rPr>
              <w:t>2</w:t>
            </w:r>
          </w:p>
        </w:tc>
        <w:tc>
          <w:tcPr>
            <w:tcW w:w="9155" w:type="dxa"/>
          </w:tcPr>
          <w:p w14:paraId="6D659387" w14:textId="3DF69E6B" w:rsidR="001C1417" w:rsidRPr="00C00B4E" w:rsidRDefault="001C1417" w:rsidP="001C1417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 w:rsidRPr="001C1417">
              <w:rPr>
                <w:rFonts w:ascii="Times New Roman" w:eastAsia="等线" w:hAnsi="Times New Roman" w:cs="Times New Roman"/>
                <w:noProof/>
                <w:sz w:val="20"/>
              </w:rPr>
              <w:t>Fumagalli, C., et al., Impact of frailty on medium-term follow-up in patients undergoing transcatheter aortic valve implantation in a high flow referral centre with high volumes. European Heart Journal, Supplement, 2021. 23(SUPPL G): p. G70-G71.</w:t>
            </w:r>
          </w:p>
        </w:tc>
        <w:tc>
          <w:tcPr>
            <w:tcW w:w="3888" w:type="dxa"/>
          </w:tcPr>
          <w:p w14:paraId="6CD983F9" w14:textId="59E49B01" w:rsidR="001C1417" w:rsidRDefault="001C1417" w:rsidP="001C1417">
            <w:pPr>
              <w:rPr>
                <w:rFonts w:ascii="Times New Roman" w:eastAsia="等线" w:hAnsi="Times New Roman" w:cs="Times New Roman"/>
                <w:noProof/>
                <w:sz w:val="20"/>
              </w:rPr>
            </w:pPr>
            <w:r>
              <w:rPr>
                <w:rFonts w:ascii="Times New Roman" w:eastAsia="等线" w:hAnsi="Times New Roman" w:cs="Times New Roman" w:hint="eastAsia"/>
                <w:noProof/>
                <w:sz w:val="20"/>
              </w:rPr>
              <w:t>M</w:t>
            </w:r>
            <w:r>
              <w:rPr>
                <w:rFonts w:ascii="Times New Roman" w:eastAsia="等线" w:hAnsi="Times New Roman" w:cs="Times New Roman"/>
                <w:noProof/>
                <w:sz w:val="20"/>
              </w:rPr>
              <w:t>eeting abstract</w:t>
            </w:r>
          </w:p>
        </w:tc>
      </w:tr>
    </w:tbl>
    <w:p w14:paraId="3C05F34E" w14:textId="10D5DB7E" w:rsidR="00E63F4B" w:rsidRDefault="00E63F4B" w:rsidP="00E63F4B">
      <w:pPr>
        <w:widowControl/>
        <w:jc w:val="left"/>
        <w:rPr>
          <w:rFonts w:ascii="宋体" w:eastAsia="宋体" w:hAnsi="宋体"/>
        </w:rPr>
      </w:pPr>
    </w:p>
    <w:sectPr w:rsidR="00E63F4B" w:rsidSect="00E63F4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AE49B" w14:textId="77777777" w:rsidR="00D410D5" w:rsidRDefault="00D410D5" w:rsidP="00650F7A">
      <w:r>
        <w:separator/>
      </w:r>
    </w:p>
  </w:endnote>
  <w:endnote w:type="continuationSeparator" w:id="0">
    <w:p w14:paraId="0605BC05" w14:textId="77777777" w:rsidR="00D410D5" w:rsidRDefault="00D410D5" w:rsidP="00650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28C0E" w14:textId="77777777" w:rsidR="00D410D5" w:rsidRDefault="00D410D5" w:rsidP="00650F7A">
      <w:r>
        <w:separator/>
      </w:r>
    </w:p>
  </w:footnote>
  <w:footnote w:type="continuationSeparator" w:id="0">
    <w:p w14:paraId="75425D8A" w14:textId="77777777" w:rsidR="00D410D5" w:rsidRDefault="00D410D5" w:rsidP="00650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wvt2swr9f2rf0e050vprxzntxsss55f5z5f&quot;&gt;My EndNote Library&lt;record-ids&gt;&lt;item&gt;276&lt;/item&gt;&lt;/record-ids&gt;&lt;/item&gt;&lt;/Libraries&gt;"/>
  </w:docVars>
  <w:rsids>
    <w:rsidRoot w:val="000C09A8"/>
    <w:rsid w:val="00012033"/>
    <w:rsid w:val="0001557E"/>
    <w:rsid w:val="000340F2"/>
    <w:rsid w:val="00064F0B"/>
    <w:rsid w:val="000764A1"/>
    <w:rsid w:val="00076DC6"/>
    <w:rsid w:val="000C09A8"/>
    <w:rsid w:val="000D690F"/>
    <w:rsid w:val="000E51F9"/>
    <w:rsid w:val="000F68ED"/>
    <w:rsid w:val="00117AD1"/>
    <w:rsid w:val="001226D1"/>
    <w:rsid w:val="00142531"/>
    <w:rsid w:val="00147B6D"/>
    <w:rsid w:val="00153434"/>
    <w:rsid w:val="001C1417"/>
    <w:rsid w:val="001E2D24"/>
    <w:rsid w:val="00217C38"/>
    <w:rsid w:val="002D3A9D"/>
    <w:rsid w:val="002E4644"/>
    <w:rsid w:val="002F1CED"/>
    <w:rsid w:val="0031142E"/>
    <w:rsid w:val="003642C0"/>
    <w:rsid w:val="00385643"/>
    <w:rsid w:val="00387DF9"/>
    <w:rsid w:val="00414AD7"/>
    <w:rsid w:val="00414B25"/>
    <w:rsid w:val="00426023"/>
    <w:rsid w:val="0043360D"/>
    <w:rsid w:val="00436D2F"/>
    <w:rsid w:val="00457087"/>
    <w:rsid w:val="004B0856"/>
    <w:rsid w:val="004B1CC9"/>
    <w:rsid w:val="00536960"/>
    <w:rsid w:val="005B1D5D"/>
    <w:rsid w:val="00644B9A"/>
    <w:rsid w:val="00647D67"/>
    <w:rsid w:val="00650F7A"/>
    <w:rsid w:val="00654FFE"/>
    <w:rsid w:val="0066469E"/>
    <w:rsid w:val="00697AA6"/>
    <w:rsid w:val="006E292E"/>
    <w:rsid w:val="00700F2F"/>
    <w:rsid w:val="00725230"/>
    <w:rsid w:val="007313CE"/>
    <w:rsid w:val="00734BE7"/>
    <w:rsid w:val="007F42F0"/>
    <w:rsid w:val="007F43FD"/>
    <w:rsid w:val="00805BE1"/>
    <w:rsid w:val="008105F3"/>
    <w:rsid w:val="00817980"/>
    <w:rsid w:val="008C1B32"/>
    <w:rsid w:val="008C478A"/>
    <w:rsid w:val="008F79B6"/>
    <w:rsid w:val="0091709D"/>
    <w:rsid w:val="00932F35"/>
    <w:rsid w:val="00943431"/>
    <w:rsid w:val="009C5C97"/>
    <w:rsid w:val="00A15470"/>
    <w:rsid w:val="00A221E2"/>
    <w:rsid w:val="00A304B5"/>
    <w:rsid w:val="00A3653C"/>
    <w:rsid w:val="00A61EC5"/>
    <w:rsid w:val="00A85021"/>
    <w:rsid w:val="00AC7A52"/>
    <w:rsid w:val="00AE3AD6"/>
    <w:rsid w:val="00AF36B6"/>
    <w:rsid w:val="00B13538"/>
    <w:rsid w:val="00B62BB1"/>
    <w:rsid w:val="00B8327D"/>
    <w:rsid w:val="00BA2495"/>
    <w:rsid w:val="00BA55EC"/>
    <w:rsid w:val="00BC21FE"/>
    <w:rsid w:val="00BC3D20"/>
    <w:rsid w:val="00BF34FE"/>
    <w:rsid w:val="00C00B4E"/>
    <w:rsid w:val="00C65F98"/>
    <w:rsid w:val="00C87A43"/>
    <w:rsid w:val="00CB38B5"/>
    <w:rsid w:val="00D1175E"/>
    <w:rsid w:val="00D410D5"/>
    <w:rsid w:val="00D44E19"/>
    <w:rsid w:val="00D55711"/>
    <w:rsid w:val="00DA4ECF"/>
    <w:rsid w:val="00DB08A2"/>
    <w:rsid w:val="00DB56EE"/>
    <w:rsid w:val="00E22579"/>
    <w:rsid w:val="00E254D0"/>
    <w:rsid w:val="00E50782"/>
    <w:rsid w:val="00E56C7B"/>
    <w:rsid w:val="00E63F4B"/>
    <w:rsid w:val="00E7173E"/>
    <w:rsid w:val="00E76403"/>
    <w:rsid w:val="00E77FF5"/>
    <w:rsid w:val="00E81AE4"/>
    <w:rsid w:val="00E902A3"/>
    <w:rsid w:val="00EE75B7"/>
    <w:rsid w:val="00F41424"/>
    <w:rsid w:val="00FB1A1B"/>
    <w:rsid w:val="00FC2790"/>
    <w:rsid w:val="00FD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0A5119"/>
  <w15:chartTrackingRefBased/>
  <w15:docId w15:val="{56060C71-7958-4DAB-A43D-B05A10AD7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0F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0F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0F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0F7A"/>
    <w:rPr>
      <w:sz w:val="18"/>
      <w:szCs w:val="18"/>
    </w:rPr>
  </w:style>
  <w:style w:type="table" w:styleId="a7">
    <w:name w:val="Table Grid"/>
    <w:basedOn w:val="a1"/>
    <w:uiPriority w:val="39"/>
    <w:rsid w:val="0065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0"/>
    <w:rsid w:val="00E63F4B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E63F4B"/>
    <w:rPr>
      <w:rFonts w:ascii="等线" w:eastAsia="等线" w:hAnsi="等线"/>
      <w:noProof/>
      <w:sz w:val="20"/>
    </w:rPr>
  </w:style>
  <w:style w:type="paragraph" w:customStyle="1" w:styleId="EndNoteBibliographyTitle">
    <w:name w:val="EndNote Bibliography Title"/>
    <w:basedOn w:val="a"/>
    <w:link w:val="EndNoteBibliographyTitle0"/>
    <w:rsid w:val="008C478A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8C478A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5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AA59C-DA84-4DA6-A8A8-B7C0E36C6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16</Pages>
  <Words>2847</Words>
  <Characters>16229</Characters>
  <Application>Microsoft Office Word</Application>
  <DocSecurity>0</DocSecurity>
  <Lines>135</Lines>
  <Paragraphs>38</Paragraphs>
  <ScaleCrop>false</ScaleCrop>
  <Company/>
  <LinksUpToDate>false</LinksUpToDate>
  <CharactersWithSpaces>19038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 艺铭</dc:creator>
  <cp:keywords/>
  <dc:description/>
  <cp:lastModifiedBy>邱 艺铭</cp:lastModifiedBy>
  <cp:revision>97</cp:revision>
  <dcterms:created xsi:type="dcterms:W3CDTF">2023-10-07T02:31:00Z</dcterms:created>
  <dcterms:modified xsi:type="dcterms:W3CDTF">2024-09-02T04:17:00Z</dcterms:modified>
</cp:coreProperties>
</file>