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5A" w:rsidRPr="006C2BC6" w:rsidRDefault="0012045A" w:rsidP="0012045A">
      <w:pPr>
        <w:pStyle w:val="Heading1"/>
        <w:rPr>
          <w:lang w:val="en-US"/>
        </w:rPr>
      </w:pPr>
      <w:r w:rsidRPr="006C2BC6">
        <w:rPr>
          <w:lang w:val="en-US"/>
        </w:rPr>
        <w:t>Appendi</w:t>
      </w:r>
      <w:r w:rsidR="005B7010">
        <w:rPr>
          <w:lang w:val="en-US"/>
        </w:rPr>
        <w:t>x</w:t>
      </w:r>
      <w:bookmarkStart w:id="0" w:name="_GoBack"/>
      <w:bookmarkEnd w:id="0"/>
    </w:p>
    <w:p w:rsidR="0012045A" w:rsidRPr="006C2BC6" w:rsidRDefault="0012045A" w:rsidP="0012045A">
      <w:pPr>
        <w:pStyle w:val="Caption"/>
        <w:rPr>
          <w:sz w:val="24"/>
          <w:szCs w:val="24"/>
          <w:lang w:val="en-US"/>
        </w:rPr>
      </w:pPr>
      <w:r w:rsidRPr="006C2BC6">
        <w:rPr>
          <w:sz w:val="24"/>
          <w:szCs w:val="24"/>
          <w:lang w:val="en-US"/>
        </w:rPr>
        <w:t>Supplement Table 1 Description of analyzed variables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28"/>
      </w:tblGrid>
      <w:tr w:rsidR="0012045A" w:rsidRPr="006C2BC6" w:rsidTr="00F809B2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12045A" w:rsidRPr="006C2BC6" w:rsidRDefault="0012045A" w:rsidP="00F809B2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12045A" w:rsidRPr="006C2BC6" w:rsidRDefault="0012045A" w:rsidP="00F809B2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</w:tr>
      <w:tr w:rsidR="0012045A" w:rsidRPr="006C2BC6" w:rsidTr="00F809B2">
        <w:tc>
          <w:tcPr>
            <w:tcW w:w="3544" w:type="dxa"/>
            <w:tcBorders>
              <w:top w:val="single" w:sz="4" w:space="0" w:color="auto"/>
            </w:tcBorders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40 years and above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Male/female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Level of education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According to CASMIN classification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Living situation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Living with others, living alone, living in a facility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Fracture type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Femoral neck, 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pertrochanteric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subtrochanteric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periprosthetic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 fracture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Charlson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 Comorbidity Index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Care level at Baseline and Follow up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Level of care according to German social code XI (yes/no) 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Life satisfaction at Baseline and Follow up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Ranging from 0 to 10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Social support: Persons to rely on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None, 1-2, 3-5,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mor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than 5, I don’t know / NA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Laboratory value C-reactive protein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≥ 0.3 mg/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dL</w:t>
            </w:r>
            <w:proofErr w:type="spellEnd"/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Laboratory value Leu</w:t>
            </w:r>
            <w:r>
              <w:rPr>
                <w:rFonts w:cstheme="minorHAnsi"/>
                <w:sz w:val="20"/>
                <w:szCs w:val="20"/>
                <w:lang w:val="en-US"/>
              </w:rPr>
              <w:t>k</w:t>
            </w:r>
            <w:r w:rsidRPr="006C2BC6">
              <w:rPr>
                <w:rFonts w:cstheme="minorHAnsi"/>
                <w:sz w:val="20"/>
                <w:szCs w:val="20"/>
                <w:lang w:val="en-US"/>
              </w:rPr>
              <w:t>ocytes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cells/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nl</w:t>
            </w:r>
            <w:proofErr w:type="spellEnd"/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Laboratory value Hemoglobin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g/dl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Laboratory value Natrium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mmol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>/l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Glomerular filtration rate (GFR)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ml/min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Time of fall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Same day as, on the day before, several days before presentation in emergency department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Duration of admission to surgery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hh:mm</w:t>
            </w:r>
            <w:proofErr w:type="spellEnd"/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Surgical procedure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Hip total 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endoprosthesis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 (TEP), hip 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hemiendoprosthesis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 (HEP), dynamic hip screw (DHS), Proximal Femoral Nail (PFNA), Screw 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osteosynthesis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 (SO)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Duration of surgery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minutes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Duration of Intensive Care Unit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days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Duration of hospital stay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days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Physical therapy within 6 months after surgery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Occupational therapy within 6 months after surgery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Presentation in Emergency Department (ED) within 6 months after surgery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Hospitalization within 6 months after surgery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Death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Yes/No, date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Complications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  <w:tr w:rsidR="0012045A" w:rsidRPr="006C2BC6" w:rsidTr="00F809B2">
        <w:trPr>
          <w:trHeight w:val="67"/>
        </w:trPr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Number of complications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Specific complication: </w:t>
            </w:r>
            <w:proofErr w:type="spellStart"/>
            <w:r w:rsidRPr="006C2BC6">
              <w:rPr>
                <w:rFonts w:cstheme="minorHAnsi"/>
                <w:sz w:val="20"/>
                <w:szCs w:val="20"/>
                <w:lang w:val="en-US"/>
              </w:rPr>
              <w:t>Cardial</w:t>
            </w:r>
            <w:proofErr w:type="spellEnd"/>
            <w:r w:rsidRPr="006C2BC6">
              <w:rPr>
                <w:rFonts w:cstheme="minorHAnsi"/>
                <w:sz w:val="20"/>
                <w:szCs w:val="20"/>
                <w:lang w:val="en-US"/>
              </w:rPr>
              <w:t xml:space="preserve"> or pulmonary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Specific complication: Urinary tract infection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Specific complication: Anemia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  <w:tr w:rsidR="0012045A" w:rsidRPr="006C2BC6" w:rsidTr="00F809B2">
        <w:tc>
          <w:tcPr>
            <w:tcW w:w="3544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Specific complication: Delirium</w:t>
            </w:r>
          </w:p>
        </w:tc>
        <w:tc>
          <w:tcPr>
            <w:tcW w:w="5528" w:type="dxa"/>
          </w:tcPr>
          <w:p w:rsidR="0012045A" w:rsidRPr="006C2BC6" w:rsidRDefault="0012045A" w:rsidP="00F809B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C2BC6">
              <w:rPr>
                <w:rFonts w:cstheme="minorHAnsi"/>
                <w:sz w:val="20"/>
                <w:szCs w:val="20"/>
                <w:lang w:val="en-US"/>
              </w:rPr>
              <w:t>Yes/No</w:t>
            </w:r>
          </w:p>
        </w:tc>
      </w:tr>
    </w:tbl>
    <w:p w:rsidR="003B6D6E" w:rsidRDefault="003B6D6E"/>
    <w:sectPr w:rsidR="003B6D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5A"/>
    <w:rsid w:val="00014542"/>
    <w:rsid w:val="000166C7"/>
    <w:rsid w:val="00067B48"/>
    <w:rsid w:val="000776D0"/>
    <w:rsid w:val="000844C0"/>
    <w:rsid w:val="000A0096"/>
    <w:rsid w:val="000A1DBB"/>
    <w:rsid w:val="000D0C5D"/>
    <w:rsid w:val="00105CAD"/>
    <w:rsid w:val="0012045A"/>
    <w:rsid w:val="00130DAC"/>
    <w:rsid w:val="0014100D"/>
    <w:rsid w:val="001462F5"/>
    <w:rsid w:val="00174452"/>
    <w:rsid w:val="0018642D"/>
    <w:rsid w:val="001A0457"/>
    <w:rsid w:val="001B3043"/>
    <w:rsid w:val="001E3B3E"/>
    <w:rsid w:val="00217C28"/>
    <w:rsid w:val="0023220D"/>
    <w:rsid w:val="0024147A"/>
    <w:rsid w:val="00256699"/>
    <w:rsid w:val="00263468"/>
    <w:rsid w:val="00313D22"/>
    <w:rsid w:val="00357AD1"/>
    <w:rsid w:val="0036601E"/>
    <w:rsid w:val="00385680"/>
    <w:rsid w:val="003931CE"/>
    <w:rsid w:val="003B3533"/>
    <w:rsid w:val="003B6D6E"/>
    <w:rsid w:val="003D7BEE"/>
    <w:rsid w:val="00427222"/>
    <w:rsid w:val="004638BD"/>
    <w:rsid w:val="00471A8A"/>
    <w:rsid w:val="00493B1F"/>
    <w:rsid w:val="004B052E"/>
    <w:rsid w:val="005162B6"/>
    <w:rsid w:val="005B7010"/>
    <w:rsid w:val="005C134C"/>
    <w:rsid w:val="00627ECA"/>
    <w:rsid w:val="00654CC2"/>
    <w:rsid w:val="0069193A"/>
    <w:rsid w:val="00791570"/>
    <w:rsid w:val="00796E3C"/>
    <w:rsid w:val="007E6DC5"/>
    <w:rsid w:val="00893DA0"/>
    <w:rsid w:val="008B76CD"/>
    <w:rsid w:val="008B785F"/>
    <w:rsid w:val="008B7B2D"/>
    <w:rsid w:val="00935C60"/>
    <w:rsid w:val="00971BD6"/>
    <w:rsid w:val="009B383C"/>
    <w:rsid w:val="009C738C"/>
    <w:rsid w:val="00A73A94"/>
    <w:rsid w:val="00B46D7A"/>
    <w:rsid w:val="00B9182B"/>
    <w:rsid w:val="00B91962"/>
    <w:rsid w:val="00B945DC"/>
    <w:rsid w:val="00BA3CA2"/>
    <w:rsid w:val="00BE3AC7"/>
    <w:rsid w:val="00BF7778"/>
    <w:rsid w:val="00C24997"/>
    <w:rsid w:val="00C74383"/>
    <w:rsid w:val="00CA600E"/>
    <w:rsid w:val="00CB545C"/>
    <w:rsid w:val="00CC2513"/>
    <w:rsid w:val="00CC4941"/>
    <w:rsid w:val="00D327DF"/>
    <w:rsid w:val="00D6364C"/>
    <w:rsid w:val="00D878B8"/>
    <w:rsid w:val="00E63EB9"/>
    <w:rsid w:val="00E74256"/>
    <w:rsid w:val="00E95CF2"/>
    <w:rsid w:val="00F14326"/>
    <w:rsid w:val="00F3310D"/>
    <w:rsid w:val="00F355B2"/>
    <w:rsid w:val="00F6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45A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4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table" w:styleId="TableGrid">
    <w:name w:val="Table Grid"/>
    <w:basedOn w:val="TableNormal"/>
    <w:uiPriority w:val="39"/>
    <w:rsid w:val="0012045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2045A"/>
    <w:pPr>
      <w:spacing w:line="480" w:lineRule="auto"/>
    </w:pPr>
    <w:rPr>
      <w:i/>
      <w:iCs/>
      <w:color w:val="1F497D" w:themeColor="text2"/>
      <w:sz w:val="18"/>
      <w:szCs w:val="18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45A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4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table" w:styleId="TableGrid">
    <w:name w:val="Table Grid"/>
    <w:basedOn w:val="TableNormal"/>
    <w:uiPriority w:val="39"/>
    <w:rsid w:val="0012045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2045A"/>
    <w:pPr>
      <w:spacing w:line="480" w:lineRule="auto"/>
    </w:pPr>
    <w:rPr>
      <w:i/>
      <w:iCs/>
      <w:color w:val="1F497D" w:themeColor="text2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Raymund Tag-At</dc:creator>
  <cp:lastModifiedBy>Dennis Raymund Tag-At</cp:lastModifiedBy>
  <cp:revision>2</cp:revision>
  <dcterms:created xsi:type="dcterms:W3CDTF">2025-02-03T01:58:00Z</dcterms:created>
  <dcterms:modified xsi:type="dcterms:W3CDTF">2025-02-03T02:01:00Z</dcterms:modified>
</cp:coreProperties>
</file>