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Lines w:val="0"/>
        <w:spacing w:after="60" w:before="240" w:line="360" w:lineRule="auto"/>
        <w:rPr>
          <w:rFonts w:ascii="Arial Black" w:cs="Arial Black" w:eastAsia="Arial Black" w:hAnsi="Arial Black"/>
          <w:sz w:val="24"/>
          <w:szCs w:val="24"/>
        </w:rPr>
      </w:pPr>
      <w:r w:rsidDel="00000000" w:rsidR="00000000" w:rsidRPr="00000000">
        <w:rPr>
          <w:rFonts w:ascii="Arial Black" w:cs="Arial Black" w:eastAsia="Arial Black" w:hAnsi="Arial Black"/>
          <w:sz w:val="24"/>
          <w:szCs w:val="24"/>
          <w:rtl w:val="0"/>
        </w:rPr>
        <w:t xml:space="preserve">Appendix 1</w:t>
      </w:r>
    </w:p>
    <w:tbl>
      <w:tblPr>
        <w:tblStyle w:val="Table1"/>
        <w:tblW w:w="145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50"/>
        <w:gridCol w:w="3570"/>
        <w:gridCol w:w="420"/>
        <w:gridCol w:w="1935"/>
        <w:gridCol w:w="390"/>
        <w:gridCol w:w="3420"/>
        <w:gridCol w:w="420"/>
        <w:gridCol w:w="2430"/>
        <w:tblGridChange w:id="0">
          <w:tblGrid>
            <w:gridCol w:w="1950"/>
            <w:gridCol w:w="3570"/>
            <w:gridCol w:w="420"/>
            <w:gridCol w:w="1935"/>
            <w:gridCol w:w="390"/>
            <w:gridCol w:w="3420"/>
            <w:gridCol w:w="420"/>
            <w:gridCol w:w="2430"/>
          </w:tblGrid>
        </w:tblGridChange>
      </w:tblGrid>
      <w:tr>
        <w:trPr>
          <w:cantSplit w:val="0"/>
          <w:trHeight w:val="300" w:hRule="atLeast"/>
          <w:tblHeader w:val="1"/>
        </w:trPr>
        <w:tc>
          <w:tcPr>
            <w:tcBorders>
              <w:top w:color="000000" w:space="0" w:sz="8" w:val="single"/>
              <w:left w:color="000000" w:space="0" w:sz="8" w:val="single"/>
              <w:bottom w:color="000000" w:space="0" w:sz="6" w:val="single"/>
              <w:right w:color="000000" w:space="0" w:sz="8" w:val="single"/>
            </w:tcBorders>
            <w:shd w:fill="auto" w:val="clear"/>
            <w:vAlign w:val="center"/>
          </w:tcPr>
          <w:p w:rsidR="00000000" w:rsidDel="00000000" w:rsidP="00000000" w:rsidRDefault="00000000" w:rsidRPr="00000000" w14:paraId="00000002">
            <w:pPr>
              <w:rPr>
                <w:rFonts w:ascii="Calibri" w:cs="Calibri" w:eastAsia="Calibri" w:hAnsi="Calibri"/>
                <w:b w:val="1"/>
              </w:rPr>
            </w:pPr>
            <w:r w:rsidDel="00000000" w:rsidR="00000000" w:rsidRPr="00000000">
              <w:rPr>
                <w:rFonts w:ascii="Calibri" w:cs="Calibri" w:eastAsia="Calibri" w:hAnsi="Calibri"/>
                <w:b w:val="1"/>
                <w:rtl w:val="0"/>
              </w:rPr>
              <w:t xml:space="preserve">Variable</w:t>
            </w:r>
          </w:p>
        </w:tc>
        <w:tc>
          <w:tcPr>
            <w:tcBorders>
              <w:top w:color="000000" w:space="0" w:sz="4" w:val="single"/>
              <w:left w:color="000000" w:space="0" w:sz="0" w:val="nil"/>
              <w:bottom w:color="000000" w:space="0" w:sz="6" w:val="single"/>
              <w:right w:color="000000" w:space="0" w:sz="4" w:val="single"/>
            </w:tcBorders>
          </w:tcPr>
          <w:p w:rsidR="00000000" w:rsidDel="00000000" w:rsidP="00000000" w:rsidRDefault="00000000" w:rsidRPr="00000000" w14:paraId="00000003">
            <w:pPr>
              <w:rPr>
                <w:rFonts w:ascii="Calibri" w:cs="Calibri" w:eastAsia="Calibri" w:hAnsi="Calibri"/>
                <w:b w:val="1"/>
              </w:rPr>
            </w:pPr>
            <w:r w:rsidDel="00000000" w:rsidR="00000000" w:rsidRPr="00000000">
              <w:rPr>
                <w:rFonts w:ascii="Calibri" w:cs="Calibri" w:eastAsia="Calibri" w:hAnsi="Calibri"/>
                <w:b w:val="1"/>
                <w:rtl w:val="0"/>
              </w:rPr>
              <w:t xml:space="preserve">Details</w:t>
            </w:r>
          </w:p>
        </w:tc>
        <w:tc>
          <w:tcPr>
            <w:gridSpan w:val="6"/>
            <w:tcBorders>
              <w:top w:color="000000" w:space="0" w:sz="4" w:val="single"/>
              <w:left w:color="000000" w:space="0" w:sz="4" w:val="single"/>
              <w:bottom w:color="000000" w:space="0" w:sz="6" w:val="single"/>
              <w:right w:color="000000" w:space="0" w:sz="8" w:val="single"/>
            </w:tcBorders>
            <w:shd w:fill="auto" w:val="clear"/>
            <w:vAlign w:val="center"/>
          </w:tcPr>
          <w:p w:rsidR="00000000" w:rsidDel="00000000" w:rsidP="00000000" w:rsidRDefault="00000000" w:rsidRPr="00000000" w14:paraId="00000004">
            <w:pPr>
              <w:rPr>
                <w:rFonts w:ascii="Calibri" w:cs="Calibri" w:eastAsia="Calibri" w:hAnsi="Calibri"/>
                <w:b w:val="1"/>
              </w:rPr>
            </w:pPr>
            <w:r w:rsidDel="00000000" w:rsidR="00000000" w:rsidRPr="00000000">
              <w:rPr>
                <w:rFonts w:ascii="Calibri" w:cs="Calibri" w:eastAsia="Calibri" w:hAnsi="Calibri"/>
                <w:b w:val="1"/>
                <w:rtl w:val="0"/>
              </w:rPr>
              <w:t xml:space="preserve">Reason for Selection</w:t>
            </w:r>
          </w:p>
        </w:tc>
      </w:tr>
      <w:tr>
        <w:trPr>
          <w:cantSplit w:val="0"/>
          <w:trHeight w:val="300" w:hRule="atLeast"/>
          <w:tblHeader w:val="1"/>
        </w:trPr>
        <w:tc>
          <w:tcPr>
            <w:vMerge w:val="restart"/>
            <w:tcBorders>
              <w:top w:color="000000" w:space="0" w:sz="8" w:val="single"/>
              <w:left w:color="000000" w:space="0" w:sz="8" w:val="single"/>
              <w:right w:color="000000" w:space="0" w:sz="8" w:val="single"/>
            </w:tcBorders>
            <w:shd w:fill="auto" w:val="clear"/>
            <w:vAlign w:val="center"/>
          </w:tcPr>
          <w:p w:rsidR="00000000" w:rsidDel="00000000" w:rsidP="00000000" w:rsidRDefault="00000000" w:rsidRPr="00000000" w14:paraId="0000000A">
            <w:pPr>
              <w:jc w:val="right"/>
              <w:rPr>
                <w:rFonts w:ascii="Calibri" w:cs="Calibri" w:eastAsia="Calibri" w:hAnsi="Calibri"/>
                <w:b w:val="1"/>
              </w:rPr>
            </w:pPr>
            <w:r w:rsidDel="00000000" w:rsidR="00000000" w:rsidRPr="00000000">
              <w:rPr>
                <w:rtl w:val="0"/>
              </w:rPr>
            </w:r>
          </w:p>
        </w:tc>
        <w:tc>
          <w:tcPr>
            <w:tcBorders>
              <w:top w:color="000000" w:space="0" w:sz="4" w:val="single"/>
              <w:left w:color="000000" w:space="0" w:sz="0" w:val="nil"/>
              <w:right w:color="000000" w:space="0" w:sz="4" w:val="single"/>
            </w:tcBorders>
          </w:tcPr>
          <w:p w:rsidR="00000000" w:rsidDel="00000000" w:rsidP="00000000" w:rsidRDefault="00000000" w:rsidRPr="00000000" w14:paraId="0000000B">
            <w:pPr>
              <w:rPr>
                <w:rFonts w:ascii="Calibri" w:cs="Calibri" w:eastAsia="Calibri" w:hAnsi="Calibri"/>
                <w:sz w:val="16"/>
                <w:szCs w:val="16"/>
              </w:rPr>
            </w:pPr>
            <w:r w:rsidDel="00000000" w:rsidR="00000000" w:rsidRPr="00000000">
              <w:rPr>
                <w:rtl w:val="0"/>
              </w:rPr>
            </w:r>
          </w:p>
        </w:tc>
        <w:tc>
          <w:tcPr>
            <w:gridSpan w:val="6"/>
            <w:tcBorders>
              <w:top w:color="000000" w:space="0" w:sz="4" w:val="single"/>
              <w:left w:color="000000" w:space="0" w:sz="4" w:val="single"/>
              <w:bottom w:color="000000" w:space="0" w:sz="6" w:val="single"/>
              <w:right w:color="000000" w:space="0" w:sz="8" w:val="single"/>
            </w:tcBorders>
            <w:shd w:fill="auto" w:val="clear"/>
            <w:vAlign w:val="center"/>
          </w:tcPr>
          <w:p w:rsidR="00000000" w:rsidDel="00000000" w:rsidP="00000000" w:rsidRDefault="00000000" w:rsidRPr="00000000" w14:paraId="0000000C">
            <w:pPr>
              <w:rPr>
                <w:rFonts w:ascii="Calibri" w:cs="Calibri" w:eastAsia="Calibri" w:hAnsi="Calibri"/>
                <w:b w:val="1"/>
              </w:rPr>
            </w:pPr>
            <w:r w:rsidDel="00000000" w:rsidR="00000000" w:rsidRPr="00000000">
              <w:rPr>
                <w:rFonts w:ascii="Calibri" w:cs="Calibri" w:eastAsia="Calibri" w:hAnsi="Calibri"/>
                <w:b w:val="1"/>
                <w:sz w:val="18"/>
                <w:szCs w:val="18"/>
                <w:rtl w:val="0"/>
              </w:rPr>
              <w:t xml:space="preserve">Key</w:t>
            </w:r>
            <w:r w:rsidDel="00000000" w:rsidR="00000000" w:rsidRPr="00000000">
              <w:rPr>
                <w:rFonts w:ascii="Calibri" w:cs="Calibri" w:eastAsia="Calibri" w:hAnsi="Calibri"/>
                <w:b w:val="1"/>
                <w:rtl w:val="0"/>
              </w:rPr>
              <w:t xml:space="preserve"> - </w:t>
            </w:r>
            <w:r w:rsidDel="00000000" w:rsidR="00000000" w:rsidRPr="00000000">
              <w:rPr>
                <w:rFonts w:ascii="Calibri" w:cs="Calibri" w:eastAsia="Calibri" w:hAnsi="Calibri"/>
                <w:sz w:val="16"/>
                <w:szCs w:val="16"/>
                <w:rtl w:val="0"/>
              </w:rPr>
              <w:t xml:space="preserve">Variable selected based on:</w:t>
            </w:r>
            <w:r w:rsidDel="00000000" w:rsidR="00000000" w:rsidRPr="00000000">
              <w:rPr>
                <w:rtl w:val="0"/>
              </w:rPr>
            </w:r>
          </w:p>
        </w:tc>
      </w:tr>
      <w:tr>
        <w:trPr>
          <w:cantSplit w:val="0"/>
          <w:trHeight w:val="300" w:hRule="atLeast"/>
          <w:tblHeader w:val="1"/>
        </w:trPr>
        <w:tc>
          <w:tcPr>
            <w:vMerge w:val="continue"/>
            <w:tcBorders>
              <w:top w:color="000000" w:space="0" w:sz="8" w:val="single"/>
              <w:left w:color="000000" w:space="0" w:sz="8" w:val="single"/>
              <w:right w:color="000000" w:space="0" w:sz="8" w:val="single"/>
            </w:tcBorders>
            <w:shd w:fill="auto" w:val="clear"/>
            <w:vAlign w:val="center"/>
          </w:tcPr>
          <w:p w:rsidR="00000000" w:rsidDel="00000000" w:rsidP="00000000" w:rsidRDefault="00000000" w:rsidRPr="00000000" w14:paraId="00000012">
            <w:pPr>
              <w:widowControl w:val="0"/>
              <w:spacing w:line="276" w:lineRule="auto"/>
              <w:rPr>
                <w:rFonts w:ascii="Calibri" w:cs="Calibri" w:eastAsia="Calibri" w:hAnsi="Calibri"/>
                <w:b w:val="1"/>
              </w:rPr>
            </w:pPr>
            <w:r w:rsidDel="00000000" w:rsidR="00000000" w:rsidRPr="00000000">
              <w:rPr>
                <w:rtl w:val="0"/>
              </w:rPr>
            </w:r>
          </w:p>
        </w:tc>
        <w:tc>
          <w:tcPr>
            <w:tcBorders>
              <w:left w:color="000000" w:space="0" w:sz="0" w:val="nil"/>
              <w:bottom w:color="000000" w:space="0" w:sz="6" w:val="single"/>
              <w:right w:color="000000" w:space="0" w:sz="4" w:val="single"/>
            </w:tcBorders>
          </w:tcPr>
          <w:p w:rsidR="00000000" w:rsidDel="00000000" w:rsidP="00000000" w:rsidRDefault="00000000" w:rsidRPr="00000000" w14:paraId="00000013">
            <w:pPr>
              <w:rPr>
                <w:rFonts w:ascii="Calibri" w:cs="Calibri" w:eastAsia="Calibri" w:hAnsi="Calibri"/>
                <w:b w:val="1"/>
              </w:rPr>
            </w:pPr>
            <w:r w:rsidDel="00000000" w:rsidR="00000000" w:rsidRPr="00000000">
              <w:rPr>
                <w:rtl w:val="0"/>
              </w:rPr>
            </w:r>
          </w:p>
        </w:tc>
        <w:tc>
          <w:tcPr>
            <w:tcBorders>
              <w:top w:color="000000" w:space="0" w:sz="4" w:val="single"/>
              <w:left w:color="000000" w:space="0" w:sz="4" w:val="single"/>
              <w:bottom w:color="000000" w:space="0" w:sz="6" w:val="single"/>
              <w:right w:color="000000" w:space="0" w:sz="8" w:val="single"/>
            </w:tcBorders>
            <w:shd w:fill="auto" w:val="clear"/>
            <w:vAlign w:val="center"/>
          </w:tcPr>
          <w:p w:rsidR="00000000" w:rsidDel="00000000" w:rsidP="00000000" w:rsidRDefault="00000000" w:rsidRPr="00000000" w14:paraId="00000014">
            <w:pPr>
              <w:rPr>
                <w:rFonts w:ascii="Calibri" w:cs="Calibri" w:eastAsia="Calibri" w:hAnsi="Calibri"/>
                <w:b w:val="1"/>
              </w:rPr>
            </w:pPr>
            <w:r w:rsidDel="00000000" w:rsidR="00000000" w:rsidRPr="00000000">
              <w:rPr>
                <w:rtl w:val="0"/>
              </w:rPr>
            </w:r>
          </w:p>
        </w:tc>
        <w:tc>
          <w:tcPr>
            <w:tcBorders>
              <w:top w:color="000000" w:space="0" w:sz="4" w:val="single"/>
              <w:left w:color="000000" w:space="0" w:sz="0" w:val="nil"/>
              <w:bottom w:color="000000" w:space="0" w:sz="6" w:val="single"/>
              <w:right w:color="000000" w:space="0" w:sz="8" w:val="single"/>
            </w:tcBorders>
            <w:shd w:fill="auto" w:val="clear"/>
            <w:vAlign w:val="center"/>
          </w:tcPr>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sz w:val="16"/>
                <w:szCs w:val="16"/>
                <w:rtl w:val="0"/>
              </w:rPr>
              <w:t xml:space="preserve">Existing literature alone</w:t>
            </w:r>
            <w:r w:rsidDel="00000000" w:rsidR="00000000" w:rsidRPr="00000000">
              <w:rPr>
                <w:rtl w:val="0"/>
              </w:rPr>
            </w:r>
          </w:p>
        </w:tc>
        <w:tc>
          <w:tcPr>
            <w:tcBorders>
              <w:top w:color="000000" w:space="0" w:sz="4" w:val="single"/>
              <w:left w:color="000000" w:space="0" w:sz="0" w:val="nil"/>
              <w:bottom w:color="000000" w:space="0" w:sz="6" w:val="single"/>
              <w:right w:color="000000" w:space="0" w:sz="8" w:val="single"/>
            </w:tcBorders>
            <w:shd w:fill="f2f2f2" w:val="clear"/>
            <w:vAlign w:val="center"/>
          </w:tcPr>
          <w:p w:rsidR="00000000" w:rsidDel="00000000" w:rsidP="00000000" w:rsidRDefault="00000000" w:rsidRPr="00000000" w14:paraId="00000016">
            <w:pPr>
              <w:rPr>
                <w:rFonts w:ascii="Calibri" w:cs="Calibri" w:eastAsia="Calibri" w:hAnsi="Calibri"/>
                <w:b w:val="1"/>
              </w:rPr>
            </w:pPr>
            <w:r w:rsidDel="00000000" w:rsidR="00000000" w:rsidRPr="00000000">
              <w:rPr>
                <w:rtl w:val="0"/>
              </w:rPr>
            </w:r>
          </w:p>
        </w:tc>
        <w:tc>
          <w:tcPr>
            <w:tcBorders>
              <w:top w:color="000000" w:space="0" w:sz="4" w:val="single"/>
              <w:left w:color="000000" w:space="0" w:sz="0" w:val="nil"/>
              <w:bottom w:color="000000" w:space="0" w:sz="6" w:val="single"/>
              <w:right w:color="000000" w:space="0" w:sz="8" w:val="single"/>
            </w:tcBorders>
            <w:shd w:fill="auto" w:val="clear"/>
            <w:vAlign w:val="center"/>
          </w:tcPr>
          <w:p w:rsidR="00000000" w:rsidDel="00000000" w:rsidP="00000000" w:rsidRDefault="00000000" w:rsidRPr="00000000" w14:paraId="0000001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mixture of qualitative responses and literature</w:t>
            </w:r>
          </w:p>
        </w:tc>
        <w:tc>
          <w:tcPr>
            <w:tcBorders>
              <w:top w:color="000000" w:space="0" w:sz="4" w:val="single"/>
              <w:left w:color="000000" w:space="0" w:sz="0" w:val="nil"/>
              <w:bottom w:color="000000" w:space="0" w:sz="6" w:val="single"/>
              <w:right w:color="000000" w:space="0" w:sz="8" w:val="single"/>
            </w:tcBorders>
            <w:shd w:fill="bfbfbf" w:val="clear"/>
            <w:vAlign w:val="center"/>
          </w:tcPr>
          <w:p w:rsidR="00000000" w:rsidDel="00000000" w:rsidP="00000000" w:rsidRDefault="00000000" w:rsidRPr="00000000" w14:paraId="00000018">
            <w:pPr>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0" w:val="nil"/>
              <w:bottom w:color="000000" w:space="0" w:sz="6" w:val="single"/>
              <w:right w:color="000000" w:space="0" w:sz="8" w:val="single"/>
            </w:tcBorders>
            <w:shd w:fill="auto" w:val="clear"/>
            <w:vAlign w:val="center"/>
          </w:tcPr>
          <w:p w:rsidR="00000000" w:rsidDel="00000000" w:rsidP="00000000" w:rsidRDefault="00000000" w:rsidRPr="00000000" w14:paraId="00000019">
            <w:pPr>
              <w:rPr>
                <w:rFonts w:ascii="Calibri" w:cs="Calibri" w:eastAsia="Calibri" w:hAnsi="Calibri"/>
                <w:b w:val="1"/>
              </w:rPr>
            </w:pPr>
            <w:r w:rsidDel="00000000" w:rsidR="00000000" w:rsidRPr="00000000">
              <w:rPr>
                <w:rFonts w:ascii="Calibri" w:cs="Calibri" w:eastAsia="Calibri" w:hAnsi="Calibri"/>
                <w:sz w:val="16"/>
                <w:szCs w:val="16"/>
                <w:rtl w:val="0"/>
              </w:rPr>
              <w:t xml:space="preserve">Qualitative responses primarily </w:t>
            </w: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8" w:val="single"/>
              <w:right w:color="000000" w:space="0" w:sz="8" w:val="single"/>
            </w:tcBorders>
            <w:shd w:fill="f2f2f2" w:val="clear"/>
            <w:vAlign w:val="center"/>
          </w:tcPr>
          <w:p w:rsidR="00000000" w:rsidDel="00000000" w:rsidP="00000000" w:rsidRDefault="00000000" w:rsidRPr="00000000" w14:paraId="0000001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Sex</w:t>
            </w:r>
          </w:p>
        </w:tc>
        <w:tc>
          <w:tcPr>
            <w:tcBorders>
              <w:top w:color="000000" w:space="0" w:sz="0" w:val="nil"/>
              <w:left w:color="000000" w:space="0" w:sz="0" w:val="nil"/>
              <w:bottom w:color="000000" w:space="0" w:sz="8" w:val="single"/>
              <w:right w:color="000000" w:space="0" w:sz="4" w:val="single"/>
            </w:tcBorders>
            <w:shd w:fill="f2f2f2" w:val="clear"/>
          </w:tcPr>
          <w:p w:rsidR="00000000" w:rsidDel="00000000" w:rsidP="00000000" w:rsidRDefault="00000000" w:rsidRPr="00000000" w14:paraId="0000001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Dichotomous variable male or female</w:t>
            </w:r>
          </w:p>
        </w:tc>
        <w:tc>
          <w:tcPr>
            <w:gridSpan w:val="6"/>
            <w:tcBorders>
              <w:top w:color="000000" w:space="0" w:sz="0" w:val="nil"/>
              <w:left w:color="000000" w:space="0" w:sz="4" w:val="single"/>
              <w:bottom w:color="000000" w:space="0" w:sz="8" w:val="single"/>
              <w:right w:color="000000" w:space="0" w:sz="8" w:val="single"/>
            </w:tcBorders>
            <w:shd w:fill="f2f2f2" w:val="clear"/>
            <w:vAlign w:val="center"/>
          </w:tcPr>
          <w:p w:rsidR="00000000" w:rsidDel="00000000" w:rsidP="00000000" w:rsidRDefault="00000000" w:rsidRPr="00000000" w14:paraId="0000001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Male and female participants may differ in characteristics and values which may influence how they experience independence. A difference was perceived during interviews and sex has been shown to predict variance in ADL/IADL ability in older people (23-25)</w:t>
            </w:r>
          </w:p>
        </w:tc>
      </w:tr>
      <w:tr>
        <w:trPr>
          <w:cantSplit w:val="0"/>
          <w:trHeight w:val="318"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2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Ethnicity</w:t>
            </w:r>
          </w:p>
        </w:tc>
        <w:tc>
          <w:tcPr>
            <w:tcBorders>
              <w:top w:color="000000" w:space="0" w:sz="0" w:val="nil"/>
              <w:left w:color="000000" w:space="0" w:sz="0" w:val="nil"/>
              <w:bottom w:color="000000" w:space="0" w:sz="8" w:val="single"/>
              <w:right w:color="000000" w:space="0" w:sz="4" w:val="single"/>
            </w:tcBorders>
          </w:tcPr>
          <w:p w:rsidR="00000000" w:rsidDel="00000000" w:rsidP="00000000" w:rsidRDefault="00000000" w:rsidRPr="00000000" w14:paraId="0000002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Self-reported and separated into the categories: White; Black Caribbean and Mixed Black Caribbean/White; Asian; Other</w:t>
            </w:r>
          </w:p>
        </w:tc>
        <w:tc>
          <w:tcPr>
            <w:gridSpan w:val="6"/>
            <w:tcBorders>
              <w:top w:color="000000" w:space="0" w:sz="0" w:val="nil"/>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2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possible confounder because of cultural differences in the value of independence - it was not something that was brought up by the participants but is recognised as a standard confounder in many studies. (26)</w:t>
            </w:r>
          </w:p>
        </w:tc>
      </w:tr>
      <w:tr>
        <w:trPr>
          <w:cantSplit w:val="0"/>
          <w:trHeight w:val="360.625"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2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Age</w:t>
            </w:r>
          </w:p>
        </w:tc>
        <w:tc>
          <w:tcPr>
            <w:tcBorders>
              <w:top w:color="000000" w:space="0" w:sz="0" w:val="nil"/>
              <w:left w:color="000000" w:space="0" w:sz="0" w:val="nil"/>
              <w:bottom w:color="000000" w:space="0" w:sz="8" w:val="single"/>
              <w:right w:color="000000" w:space="0" w:sz="4" w:val="single"/>
            </w:tcBorders>
            <w:shd w:fill="ffffff" w:val="clear"/>
          </w:tcPr>
          <w:p w:rsidR="00000000" w:rsidDel="00000000" w:rsidP="00000000" w:rsidRDefault="00000000" w:rsidRPr="00000000" w14:paraId="0000002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Chronological age</w:t>
            </w:r>
          </w:p>
        </w:tc>
        <w:tc>
          <w:tcPr>
            <w:gridSpan w:val="6"/>
            <w:tcBorders>
              <w:top w:color="000000" w:space="0" w:sz="0" w:val="nil"/>
              <w:left w:color="000000" w:space="0" w:sz="4" w:val="single"/>
              <w:bottom w:color="000000" w:space="0" w:sz="8" w:val="single"/>
              <w:right w:color="000000" w:space="0" w:sz="8" w:val="single"/>
            </w:tcBorders>
            <w:shd w:fill="ffffff" w:val="clear"/>
            <w:vAlign w:val="center"/>
          </w:tcPr>
          <w:p w:rsidR="00000000" w:rsidDel="00000000" w:rsidP="00000000" w:rsidRDefault="00000000" w:rsidRPr="00000000" w14:paraId="0000002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Increased chronological age is associated with increased risk of physiological dysfunction and is included as a confounding variable based on existing literature.(21,23-25,27) </w:t>
            </w:r>
          </w:p>
        </w:tc>
      </w:tr>
      <w:tr>
        <w:trPr>
          <w:cantSplit w:val="0"/>
          <w:trHeight w:val="216" w:hRule="atLeast"/>
          <w:tblHeader w:val="0"/>
        </w:trPr>
        <w:tc>
          <w:tcPr>
            <w:tcBorders>
              <w:top w:color="000000" w:space="0" w:sz="0" w:val="nil"/>
              <w:left w:color="000000" w:space="0" w:sz="8" w:val="single"/>
              <w:bottom w:color="000000" w:space="0" w:sz="8" w:val="single"/>
              <w:right w:color="000000" w:space="0" w:sz="8" w:val="single"/>
            </w:tcBorders>
            <w:shd w:fill="bfbfbf" w:val="clear"/>
            <w:vAlign w:val="center"/>
          </w:tcPr>
          <w:p w:rsidR="00000000" w:rsidDel="00000000" w:rsidP="00000000" w:rsidRDefault="00000000" w:rsidRPr="00000000" w14:paraId="0000003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Living Circumstances</w:t>
            </w:r>
          </w:p>
        </w:tc>
        <w:tc>
          <w:tcPr>
            <w:tcBorders>
              <w:top w:color="000000" w:space="0" w:sz="0" w:val="nil"/>
              <w:left w:color="000000" w:space="0" w:sz="0" w:val="nil"/>
              <w:bottom w:color="000000" w:space="0" w:sz="8" w:val="single"/>
              <w:right w:color="000000" w:space="0" w:sz="4" w:val="single"/>
            </w:tcBorders>
            <w:shd w:fill="bfbfbf" w:val="clear"/>
          </w:tcPr>
          <w:p w:rsidR="00000000" w:rsidDel="00000000" w:rsidP="00000000" w:rsidRDefault="00000000" w:rsidRPr="00000000" w14:paraId="0000003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Who the participant lives with.</w:t>
            </w:r>
          </w:p>
          <w:p w:rsidR="00000000" w:rsidDel="00000000" w:rsidP="00000000" w:rsidRDefault="00000000" w:rsidRPr="00000000" w14:paraId="0000003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Categorical options: lives alone,</w:t>
            </w:r>
            <w:r w:rsidDel="00000000" w:rsidR="00000000" w:rsidRPr="00000000">
              <w:rPr>
                <w:rtl w:val="0"/>
              </w:rPr>
              <w:t xml:space="preserve"> </w:t>
            </w:r>
            <w:r w:rsidDel="00000000" w:rsidR="00000000" w:rsidRPr="00000000">
              <w:rPr>
                <w:rFonts w:ascii="Calibri" w:cs="Calibri" w:eastAsia="Calibri" w:hAnsi="Calibri"/>
                <w:sz w:val="16"/>
                <w:szCs w:val="16"/>
                <w:rtl w:val="0"/>
              </w:rPr>
              <w:t xml:space="preserve">lives with partner/spouse, lives with family</w:t>
            </w:r>
          </w:p>
        </w:tc>
        <w:tc>
          <w:tcPr>
            <w:gridSpan w:val="6"/>
            <w:tcBorders>
              <w:top w:color="000000" w:space="0" w:sz="0" w:val="nil"/>
              <w:left w:color="000000" w:space="0" w:sz="4" w:val="single"/>
              <w:bottom w:color="000000" w:space="0" w:sz="8" w:val="single"/>
              <w:right w:color="000000" w:space="0" w:sz="8" w:val="single"/>
            </w:tcBorders>
            <w:shd w:fill="bfbfbf" w:val="clear"/>
            <w:vAlign w:val="center"/>
          </w:tcPr>
          <w:p w:rsidR="00000000" w:rsidDel="00000000" w:rsidP="00000000" w:rsidRDefault="00000000" w:rsidRPr="00000000" w14:paraId="0000003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Participants talked about how living with someone else could have implications on independence due to altered freedoms and availability of support.(14, 28)</w:t>
            </w:r>
          </w:p>
        </w:tc>
      </w:tr>
      <w:tr>
        <w:trPr>
          <w:cantSplit w:val="0"/>
          <w:trHeight w:val="199" w:hRule="atLeast"/>
          <w:tblHeader w:val="0"/>
        </w:trPr>
        <w:tc>
          <w:tcPr>
            <w:tcBorders>
              <w:top w:color="000000" w:space="0" w:sz="0" w:val="nil"/>
              <w:left w:color="000000" w:space="0" w:sz="8" w:val="single"/>
              <w:bottom w:color="000000" w:space="0" w:sz="8" w:val="single"/>
              <w:right w:color="000000" w:space="0" w:sz="8" w:val="single"/>
            </w:tcBorders>
            <w:shd w:fill="bfbfbf" w:val="clear"/>
            <w:vAlign w:val="center"/>
          </w:tcPr>
          <w:p w:rsidR="00000000" w:rsidDel="00000000" w:rsidP="00000000" w:rsidRDefault="00000000" w:rsidRPr="00000000" w14:paraId="0000003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House Type</w:t>
            </w:r>
          </w:p>
        </w:tc>
        <w:tc>
          <w:tcPr>
            <w:tcBorders>
              <w:top w:color="000000" w:space="0" w:sz="0" w:val="nil"/>
              <w:left w:color="000000" w:space="0" w:sz="0" w:val="nil"/>
              <w:bottom w:color="000000" w:space="0" w:sz="8" w:val="single"/>
              <w:right w:color="000000" w:space="0" w:sz="4" w:val="single"/>
            </w:tcBorders>
            <w:shd w:fill="bfbfbf" w:val="clear"/>
          </w:tcPr>
          <w:p w:rsidR="00000000" w:rsidDel="00000000" w:rsidP="00000000" w:rsidRDefault="00000000" w:rsidRPr="00000000" w14:paraId="0000003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Categorical options: Bungalow, Semi-detached house, Detached house, Terraced house, Flat, Sheltered housing, Extra care housing</w:t>
            </w:r>
          </w:p>
        </w:tc>
        <w:tc>
          <w:tcPr>
            <w:gridSpan w:val="6"/>
            <w:tcBorders>
              <w:top w:color="000000" w:space="0" w:sz="0" w:val="nil"/>
              <w:left w:color="000000" w:space="0" w:sz="4" w:val="single"/>
              <w:bottom w:color="000000" w:space="0" w:sz="8" w:val="single"/>
              <w:right w:color="000000" w:space="0" w:sz="8" w:val="single"/>
            </w:tcBorders>
            <w:shd w:fill="bfbfbf" w:val="clear"/>
            <w:vAlign w:val="center"/>
          </w:tcPr>
          <w:p w:rsidR="00000000" w:rsidDel="00000000" w:rsidP="00000000" w:rsidRDefault="00000000" w:rsidRPr="00000000" w14:paraId="0000003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couple of participants talked about how the fact that they lived in a bungalow or flat might help or hinder their independence. (14, 27)</w:t>
            </w:r>
          </w:p>
        </w:tc>
      </w:tr>
      <w:tr>
        <w:trPr>
          <w:cantSplit w:val="0"/>
          <w:trHeight w:val="156" w:hRule="atLeast"/>
          <w:tblHeader w:val="0"/>
        </w:trPr>
        <w:tc>
          <w:tcPr>
            <w:tcBorders>
              <w:top w:color="000000" w:space="0" w:sz="0" w:val="nil"/>
              <w:left w:color="000000" w:space="0" w:sz="8" w:val="single"/>
              <w:bottom w:color="000000" w:space="0" w:sz="8" w:val="single"/>
              <w:right w:color="000000" w:space="0" w:sz="8" w:val="single"/>
            </w:tcBorders>
            <w:shd w:fill="f2f2f2" w:val="clear"/>
            <w:vAlign w:val="center"/>
          </w:tcPr>
          <w:p w:rsidR="00000000" w:rsidDel="00000000" w:rsidP="00000000" w:rsidRDefault="00000000" w:rsidRPr="00000000" w14:paraId="0000004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IMD</w:t>
            </w:r>
          </w:p>
        </w:tc>
        <w:tc>
          <w:tcPr>
            <w:tcBorders>
              <w:top w:color="000000" w:space="0" w:sz="0" w:val="nil"/>
              <w:left w:color="000000" w:space="0" w:sz="0" w:val="nil"/>
              <w:bottom w:color="000000" w:space="0" w:sz="8" w:val="single"/>
              <w:right w:color="000000" w:space="0" w:sz="4" w:val="single"/>
            </w:tcBorders>
            <w:shd w:fill="f2f2f2" w:val="clear"/>
          </w:tcPr>
          <w:p w:rsidR="00000000" w:rsidDel="00000000" w:rsidP="00000000" w:rsidRDefault="00000000" w:rsidRPr="00000000" w14:paraId="0000004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Indices of Deprivation derived from national data based on participant post code. Values from 1-10 with 10 indicating a person living within  one of the 10 least deprived areas and 1 indicating living in one of the 10% least deprived areas.</w:t>
            </w:r>
          </w:p>
        </w:tc>
        <w:tc>
          <w:tcPr>
            <w:gridSpan w:val="6"/>
            <w:tcBorders>
              <w:top w:color="000000" w:space="0" w:sz="0" w:val="nil"/>
              <w:left w:color="000000" w:space="0" w:sz="4" w:val="single"/>
              <w:bottom w:color="000000" w:space="0" w:sz="8" w:val="single"/>
              <w:right w:color="000000" w:space="0" w:sz="8" w:val="single"/>
            </w:tcBorders>
            <w:shd w:fill="f2f2f2" w:val="clear"/>
            <w:vAlign w:val="center"/>
          </w:tcPr>
          <w:p w:rsidR="00000000" w:rsidDel="00000000" w:rsidP="00000000" w:rsidRDefault="00000000" w:rsidRPr="00000000" w14:paraId="0000004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Finance was brought up as a potential barrier or facilitator to independence by providing the means to engage in activities and access transport etc. Having sufficient financial resources may decrease the risk of becoming ADL dependent (29).</w:t>
            </w:r>
          </w:p>
        </w:tc>
      </w:tr>
      <w:tr>
        <w:trPr>
          <w:cantSplit w:val="0"/>
          <w:trHeight w:val="173" w:hRule="atLeast"/>
          <w:tblHeader w:val="0"/>
        </w:trPr>
        <w:tc>
          <w:tcPr>
            <w:tcBorders>
              <w:top w:color="000000" w:space="0" w:sz="8" w:val="single"/>
              <w:left w:color="000000" w:space="0" w:sz="8" w:val="single"/>
              <w:bottom w:color="000000" w:space="0" w:sz="12" w:val="single"/>
              <w:right w:color="000000" w:space="0" w:sz="8" w:val="single"/>
            </w:tcBorders>
            <w:shd w:fill="auto" w:val="clear"/>
            <w:vAlign w:val="center"/>
          </w:tcPr>
          <w:p w:rsidR="00000000" w:rsidDel="00000000" w:rsidP="00000000" w:rsidRDefault="00000000" w:rsidRPr="00000000" w14:paraId="0000004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Highest Qualification</w:t>
            </w:r>
          </w:p>
        </w:tc>
        <w:tc>
          <w:tcPr>
            <w:tcBorders>
              <w:top w:color="000000" w:space="0" w:sz="8" w:val="single"/>
              <w:left w:color="000000" w:space="0" w:sz="0" w:val="nil"/>
              <w:bottom w:color="000000" w:space="0" w:sz="12" w:val="single"/>
              <w:right w:color="000000" w:space="0" w:sz="4" w:val="single"/>
            </w:tcBorders>
          </w:tcPr>
          <w:p w:rsidR="00000000" w:rsidDel="00000000" w:rsidP="00000000" w:rsidRDefault="00000000" w:rsidRPr="00000000" w14:paraId="0000004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Highest educational qualification attained Categorical options based on self-report:</w:t>
            </w:r>
          </w:p>
          <w:p w:rsidR="00000000" w:rsidDel="00000000" w:rsidP="00000000" w:rsidRDefault="00000000" w:rsidRPr="00000000" w14:paraId="0000004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qualifications; GCSE; HNS/NHD; Diploma; AS and A Level; Bachelor’s Degree; Postgraduate</w:t>
            </w:r>
          </w:p>
        </w:tc>
        <w:tc>
          <w:tcPr>
            <w:gridSpan w:val="6"/>
            <w:tcBorders>
              <w:top w:color="000000" w:space="0" w:sz="8" w:val="single"/>
              <w:left w:color="000000" w:space="0" w:sz="4" w:val="single"/>
              <w:bottom w:color="000000" w:space="0" w:sz="12" w:val="single"/>
              <w:right w:color="000000" w:space="0" w:sz="8" w:val="single"/>
            </w:tcBorders>
            <w:shd w:fill="auto" w:val="clear"/>
            <w:vAlign w:val="center"/>
          </w:tcPr>
          <w:p w:rsidR="00000000" w:rsidDel="00000000" w:rsidP="00000000" w:rsidRDefault="00000000" w:rsidRPr="00000000" w14:paraId="0000004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Education level is a recognised confounder.  (23-24, 27)</w:t>
            </w:r>
          </w:p>
        </w:tc>
      </w:tr>
      <w:tr>
        <w:trPr>
          <w:cantSplit w:val="0"/>
          <w:trHeight w:val="173" w:hRule="atLeast"/>
          <w:tblHeader w:val="0"/>
        </w:trPr>
        <w:tc>
          <w:tcPr>
            <w:tcBorders>
              <w:top w:color="000000" w:space="0" w:sz="12" w:val="single"/>
              <w:left w:color="000000" w:space="0" w:sz="8" w:val="single"/>
              <w:bottom w:color="000000" w:space="0" w:sz="8" w:val="single"/>
              <w:right w:color="000000" w:space="0" w:sz="8" w:val="single"/>
            </w:tcBorders>
            <w:shd w:fill="f2f2f2" w:val="clear"/>
            <w:vAlign w:val="center"/>
          </w:tcPr>
          <w:p w:rsidR="00000000" w:rsidDel="00000000" w:rsidP="00000000" w:rsidRDefault="00000000" w:rsidRPr="00000000" w14:paraId="0000005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Children</w:t>
            </w:r>
          </w:p>
        </w:tc>
        <w:tc>
          <w:tcPr>
            <w:vMerge w:val="restart"/>
            <w:tcBorders>
              <w:top w:color="000000" w:space="0" w:sz="12" w:val="single"/>
              <w:left w:color="000000" w:space="0" w:sz="0" w:val="nil"/>
              <w:right w:color="000000" w:space="0" w:sz="4" w:val="single"/>
            </w:tcBorders>
            <w:shd w:fill="f2f2f2" w:val="clear"/>
          </w:tcPr>
          <w:p w:rsidR="00000000" w:rsidDel="00000000" w:rsidP="00000000" w:rsidRDefault="00000000" w:rsidRPr="00000000" w14:paraId="0000005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How many children/grandchildren a person has</w:t>
            </w:r>
          </w:p>
        </w:tc>
        <w:tc>
          <w:tcPr>
            <w:gridSpan w:val="6"/>
            <w:vMerge w:val="restart"/>
            <w:tcBorders>
              <w:top w:color="000000" w:space="0" w:sz="12" w:val="single"/>
              <w:left w:color="000000" w:space="0" w:sz="4" w:val="single"/>
              <w:right w:color="000000" w:space="0" w:sz="8" w:val="single"/>
            </w:tcBorders>
            <w:shd w:fill="f2f2f2" w:val="clear"/>
            <w:vAlign w:val="center"/>
          </w:tcPr>
          <w:p w:rsidR="00000000" w:rsidDel="00000000" w:rsidP="00000000" w:rsidRDefault="00000000" w:rsidRPr="00000000" w14:paraId="0000005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Strength and diversity of support networks have been identified as confounding factors in previous studies and the ability to call on help when needed was talked about in participants’ understandings of independence.  (14, 23-24, 30-31)</w:t>
            </w:r>
          </w:p>
        </w:tc>
      </w:tr>
      <w:tr>
        <w:trPr>
          <w:cantSplit w:val="0"/>
          <w:trHeight w:val="173" w:hRule="atLeast"/>
          <w:tblHeader w:val="0"/>
        </w:trPr>
        <w:tc>
          <w:tcPr>
            <w:tcBorders>
              <w:top w:color="000000" w:space="0" w:sz="0" w:val="nil"/>
              <w:left w:color="000000" w:space="0" w:sz="8" w:val="single"/>
              <w:bottom w:color="000000" w:space="0" w:sz="8" w:val="single"/>
              <w:right w:color="000000" w:space="0" w:sz="8" w:val="single"/>
            </w:tcBorders>
            <w:shd w:fill="f2f2f2" w:val="clear"/>
            <w:vAlign w:val="center"/>
          </w:tcPr>
          <w:p w:rsidR="00000000" w:rsidDel="00000000" w:rsidP="00000000" w:rsidRDefault="00000000" w:rsidRPr="00000000" w14:paraId="0000005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Grandchildren</w:t>
            </w:r>
          </w:p>
        </w:tc>
        <w:tc>
          <w:tcPr>
            <w:vMerge w:val="continue"/>
            <w:tcBorders>
              <w:top w:color="000000" w:space="0" w:sz="12" w:val="single"/>
              <w:left w:color="000000" w:space="0" w:sz="0" w:val="nil"/>
              <w:right w:color="000000" w:space="0" w:sz="4" w:val="single"/>
            </w:tcBorders>
            <w:shd w:fill="f2f2f2" w:val="clear"/>
          </w:tcPr>
          <w:p w:rsidR="00000000" w:rsidDel="00000000" w:rsidP="00000000" w:rsidRDefault="00000000" w:rsidRPr="00000000" w14:paraId="0000005D">
            <w:pPr>
              <w:widowControl w:val="0"/>
              <w:spacing w:line="276" w:lineRule="auto"/>
              <w:rPr>
                <w:rFonts w:ascii="Calibri" w:cs="Calibri" w:eastAsia="Calibri" w:hAnsi="Calibri"/>
                <w:sz w:val="20"/>
                <w:szCs w:val="20"/>
              </w:rPr>
            </w:pPr>
            <w:r w:rsidDel="00000000" w:rsidR="00000000" w:rsidRPr="00000000">
              <w:rPr>
                <w:rtl w:val="0"/>
              </w:rPr>
            </w:r>
          </w:p>
        </w:tc>
        <w:tc>
          <w:tcPr>
            <w:gridSpan w:val="6"/>
            <w:vMerge w:val="continue"/>
            <w:tcBorders>
              <w:top w:color="000000" w:space="0" w:sz="12" w:val="single"/>
              <w:left w:color="000000" w:space="0" w:sz="4" w:val="single"/>
              <w:right w:color="000000" w:space="0" w:sz="8" w:val="single"/>
            </w:tcBorders>
            <w:shd w:fill="f2f2f2" w:val="clear"/>
            <w:vAlign w:val="center"/>
          </w:tcPr>
          <w:p w:rsidR="00000000" w:rsidDel="00000000" w:rsidP="00000000" w:rsidRDefault="00000000" w:rsidRPr="00000000" w14:paraId="0000005E">
            <w:pPr>
              <w:widowControl w:val="0"/>
              <w:spacing w:line="276" w:lineRule="auto"/>
              <w:rPr>
                <w:rFonts w:ascii="Calibri" w:cs="Calibri" w:eastAsia="Calibri" w:hAnsi="Calibri"/>
                <w:sz w:val="20"/>
                <w:szCs w:val="20"/>
              </w:rPr>
            </w:pPr>
            <w:r w:rsidDel="00000000" w:rsidR="00000000" w:rsidRPr="00000000">
              <w:rPr>
                <w:rtl w:val="0"/>
              </w:rPr>
            </w:r>
          </w:p>
        </w:tc>
      </w:tr>
      <w:tr>
        <w:trPr>
          <w:cantSplit w:val="0"/>
          <w:trHeight w:val="173" w:hRule="atLeast"/>
          <w:tblHeader w:val="0"/>
        </w:trPr>
        <w:tc>
          <w:tcPr>
            <w:tcBorders>
              <w:top w:color="000000" w:space="0" w:sz="0" w:val="nil"/>
              <w:left w:color="000000" w:space="0" w:sz="8" w:val="single"/>
              <w:bottom w:color="000000" w:space="0" w:sz="12" w:val="single"/>
              <w:right w:color="000000" w:space="0" w:sz="8" w:val="single"/>
            </w:tcBorders>
            <w:shd w:fill="f2f2f2" w:val="clear"/>
            <w:vAlign w:val="center"/>
          </w:tcPr>
          <w:p w:rsidR="00000000" w:rsidDel="00000000" w:rsidP="00000000" w:rsidRDefault="00000000" w:rsidRPr="00000000" w14:paraId="0000006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Informal Support</w:t>
            </w:r>
          </w:p>
        </w:tc>
        <w:tc>
          <w:tcPr>
            <w:tcBorders>
              <w:left w:color="000000" w:space="0" w:sz="0" w:val="nil"/>
              <w:bottom w:color="000000" w:space="0" w:sz="12" w:val="single"/>
              <w:right w:color="000000" w:space="0" w:sz="4" w:val="single"/>
            </w:tcBorders>
          </w:tcPr>
          <w:p w:rsidR="00000000" w:rsidDel="00000000" w:rsidP="00000000" w:rsidRDefault="00000000" w:rsidRPr="00000000" w14:paraId="0000006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of hours of unpaid support received per week</w:t>
            </w:r>
          </w:p>
        </w:tc>
        <w:tc>
          <w:tcPr>
            <w:gridSpan w:val="6"/>
            <w:vMerge w:val="continue"/>
            <w:tcBorders>
              <w:top w:color="000000" w:space="0" w:sz="12" w:val="single"/>
              <w:left w:color="000000" w:space="0" w:sz="4" w:val="single"/>
              <w:right w:color="000000" w:space="0" w:sz="8" w:val="single"/>
            </w:tcBorders>
            <w:shd w:fill="f2f2f2" w:val="clear"/>
            <w:vAlign w:val="center"/>
          </w:tcPr>
          <w:p w:rsidR="00000000" w:rsidDel="00000000" w:rsidP="00000000" w:rsidRDefault="00000000" w:rsidRPr="00000000" w14:paraId="00000066">
            <w:pPr>
              <w:widowControl w:val="0"/>
              <w:spacing w:line="276" w:lineRule="auto"/>
              <w:rPr>
                <w:rFonts w:ascii="Calibri" w:cs="Calibri" w:eastAsia="Calibri" w:hAnsi="Calibri"/>
                <w:sz w:val="16"/>
                <w:szCs w:val="16"/>
              </w:rPr>
            </w:pPr>
            <w:r w:rsidDel="00000000" w:rsidR="00000000" w:rsidRPr="00000000">
              <w:rPr>
                <w:rtl w:val="0"/>
              </w:rPr>
            </w:r>
          </w:p>
        </w:tc>
      </w:tr>
      <w:tr>
        <w:trPr>
          <w:cantSplit w:val="0"/>
          <w:trHeight w:val="173" w:hRule="atLeast"/>
          <w:tblHeader w:val="0"/>
        </w:trPr>
        <w:tc>
          <w:tcPr>
            <w:tcBorders>
              <w:top w:color="000000" w:space="0" w:sz="12" w:val="single"/>
              <w:left w:color="000000" w:space="0" w:sz="8" w:val="single"/>
              <w:bottom w:color="000000" w:space="0" w:sz="8" w:val="single"/>
              <w:right w:color="000000" w:space="0" w:sz="8" w:val="single"/>
            </w:tcBorders>
            <w:shd w:fill="bfbfbf" w:val="clear"/>
            <w:vAlign w:val="center"/>
          </w:tcPr>
          <w:p w:rsidR="00000000" w:rsidDel="00000000" w:rsidP="00000000" w:rsidRDefault="00000000" w:rsidRPr="00000000" w14:paraId="0000006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Recent GP visit</w:t>
            </w:r>
          </w:p>
        </w:tc>
        <w:tc>
          <w:tcPr>
            <w:vMerge w:val="restart"/>
            <w:tcBorders>
              <w:top w:color="000000" w:space="0" w:sz="12" w:val="single"/>
              <w:left w:color="000000" w:space="0" w:sz="0" w:val="nil"/>
              <w:right w:color="000000" w:space="0" w:sz="4" w:val="single"/>
            </w:tcBorders>
            <w:shd w:fill="bfbfbf" w:val="clear"/>
          </w:tcPr>
          <w:p w:rsidR="00000000" w:rsidDel="00000000" w:rsidP="00000000" w:rsidRDefault="00000000" w:rsidRPr="00000000" w14:paraId="0000006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Visit within the last 4 weeks. Binary variable Yes/No</w:t>
            </w:r>
          </w:p>
        </w:tc>
        <w:tc>
          <w:tcPr>
            <w:gridSpan w:val="6"/>
            <w:vMerge w:val="restart"/>
            <w:tcBorders>
              <w:top w:color="000000" w:space="0" w:sz="12" w:val="single"/>
              <w:left w:color="000000" w:space="0" w:sz="4" w:val="single"/>
              <w:right w:color="000000" w:space="0" w:sz="8" w:val="single"/>
            </w:tcBorders>
            <w:shd w:fill="bfbfbf" w:val="clear"/>
            <w:vAlign w:val="center"/>
          </w:tcPr>
          <w:p w:rsidR="00000000" w:rsidDel="00000000" w:rsidP="00000000" w:rsidRDefault="00000000" w:rsidRPr="00000000" w14:paraId="0000006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Several participants (14) talked with pride about the fact that they had not visited their GP or needed to use healthcare services. This variable provides insight into healthcare usage and facilitates exploration of whether avoidance of formal support is a predictor of independence.</w:t>
            </w:r>
          </w:p>
        </w:tc>
      </w:tr>
      <w:tr>
        <w:trPr>
          <w:cantSplit w:val="0"/>
          <w:trHeight w:val="173" w:hRule="atLeast"/>
          <w:tblHeader w:val="0"/>
        </w:trPr>
        <w:tc>
          <w:tcPr>
            <w:tcBorders>
              <w:top w:color="000000" w:space="0" w:sz="0" w:val="nil"/>
              <w:left w:color="000000" w:space="0" w:sz="8" w:val="single"/>
              <w:bottom w:color="000000" w:space="0" w:sz="8" w:val="single"/>
              <w:right w:color="000000" w:space="0" w:sz="8" w:val="single"/>
            </w:tcBorders>
            <w:shd w:fill="bfbfbf" w:val="clear"/>
            <w:vAlign w:val="center"/>
          </w:tcPr>
          <w:p w:rsidR="00000000" w:rsidDel="00000000" w:rsidP="00000000" w:rsidRDefault="00000000" w:rsidRPr="00000000" w14:paraId="0000007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Recent Outpatient visit</w:t>
            </w:r>
          </w:p>
        </w:tc>
        <w:tc>
          <w:tcPr>
            <w:vMerge w:val="continue"/>
            <w:tcBorders>
              <w:top w:color="000000" w:space="0" w:sz="12" w:val="single"/>
              <w:left w:color="000000" w:space="0" w:sz="0" w:val="nil"/>
              <w:right w:color="000000" w:space="0" w:sz="4" w:val="single"/>
            </w:tcBorders>
            <w:shd w:fill="bfbfbf" w:val="clear"/>
          </w:tcPr>
          <w:p w:rsidR="00000000" w:rsidDel="00000000" w:rsidP="00000000" w:rsidRDefault="00000000" w:rsidRPr="00000000" w14:paraId="00000075">
            <w:pPr>
              <w:widowControl w:val="0"/>
              <w:spacing w:line="276" w:lineRule="auto"/>
              <w:rPr>
                <w:rFonts w:ascii="Calibri" w:cs="Calibri" w:eastAsia="Calibri" w:hAnsi="Calibri"/>
                <w:sz w:val="20"/>
                <w:szCs w:val="20"/>
              </w:rPr>
            </w:pPr>
            <w:r w:rsidDel="00000000" w:rsidR="00000000" w:rsidRPr="00000000">
              <w:rPr>
                <w:rtl w:val="0"/>
              </w:rPr>
            </w:r>
          </w:p>
        </w:tc>
        <w:tc>
          <w:tcPr>
            <w:gridSpan w:val="6"/>
            <w:vMerge w:val="continue"/>
            <w:tcBorders>
              <w:top w:color="000000" w:space="0" w:sz="12" w:val="single"/>
              <w:left w:color="000000" w:space="0" w:sz="4" w:val="single"/>
              <w:right w:color="000000" w:space="0" w:sz="8" w:val="single"/>
            </w:tcBorders>
            <w:shd w:fill="bfbfbf" w:val="clear"/>
            <w:vAlign w:val="center"/>
          </w:tcPr>
          <w:p w:rsidR="00000000" w:rsidDel="00000000" w:rsidP="00000000" w:rsidRDefault="00000000" w:rsidRPr="00000000" w14:paraId="00000076">
            <w:pPr>
              <w:widowControl w:val="0"/>
              <w:spacing w:line="276" w:lineRule="auto"/>
              <w:rPr>
                <w:rFonts w:ascii="Calibri" w:cs="Calibri" w:eastAsia="Calibri" w:hAnsi="Calibri"/>
                <w:sz w:val="20"/>
                <w:szCs w:val="20"/>
              </w:rPr>
            </w:pPr>
            <w:r w:rsidDel="00000000" w:rsidR="00000000" w:rsidRPr="00000000">
              <w:rPr>
                <w:rtl w:val="0"/>
              </w:rPr>
            </w:r>
          </w:p>
        </w:tc>
      </w:tr>
      <w:tr>
        <w:trPr>
          <w:cantSplit w:val="0"/>
          <w:trHeight w:val="524" w:hRule="atLeast"/>
          <w:tblHeader w:val="0"/>
        </w:trPr>
        <w:tc>
          <w:tcPr>
            <w:tcBorders>
              <w:top w:color="000000" w:space="0" w:sz="0" w:val="nil"/>
              <w:left w:color="000000" w:space="0" w:sz="8" w:val="single"/>
              <w:bottom w:color="000000" w:space="0" w:sz="12" w:val="single"/>
              <w:right w:color="000000" w:space="0" w:sz="8" w:val="single"/>
            </w:tcBorders>
            <w:shd w:fill="f2f2f2" w:val="clear"/>
            <w:vAlign w:val="center"/>
          </w:tcPr>
          <w:p w:rsidR="00000000" w:rsidDel="00000000" w:rsidP="00000000" w:rsidRDefault="00000000" w:rsidRPr="00000000" w14:paraId="0000007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Equipment</w:t>
            </w:r>
          </w:p>
        </w:tc>
        <w:tc>
          <w:tcPr>
            <w:tcBorders>
              <w:top w:color="000000" w:space="0" w:sz="0" w:val="nil"/>
              <w:left w:color="000000" w:space="0" w:sz="0" w:val="nil"/>
              <w:bottom w:color="000000" w:space="0" w:sz="12" w:val="single"/>
              <w:right w:color="000000" w:space="0" w:sz="4" w:val="single"/>
            </w:tcBorders>
            <w:shd w:fill="f2f2f2" w:val="clear"/>
          </w:tcPr>
          <w:p w:rsidR="00000000" w:rsidDel="00000000" w:rsidP="00000000" w:rsidRDefault="00000000" w:rsidRPr="00000000" w14:paraId="0000007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number of listed items in a person’s home: Grab Rails, Toilet Seat, Bath Seat, Recliner Chair, Bed Rail, Bed Risers, Hoist, Helping Hand, Key Safe, Pendant Alarm, Stair Lift, Outside Step, Wheelchair</w:t>
            </w:r>
          </w:p>
        </w:tc>
        <w:tc>
          <w:tcPr>
            <w:gridSpan w:val="6"/>
            <w:tcBorders>
              <w:top w:color="000000" w:space="0" w:sz="0" w:val="nil"/>
              <w:left w:color="000000" w:space="0" w:sz="4" w:val="single"/>
              <w:bottom w:color="000000" w:space="0" w:sz="12" w:val="single"/>
              <w:right w:color="000000" w:space="0" w:sz="8" w:val="single"/>
            </w:tcBorders>
            <w:shd w:fill="f2f2f2" w:val="clear"/>
            <w:vAlign w:val="center"/>
          </w:tcPr>
          <w:p w:rsidR="00000000" w:rsidDel="00000000" w:rsidP="00000000" w:rsidRDefault="00000000" w:rsidRPr="00000000" w14:paraId="0000007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Most participants did not use equipment or home adaptations, but some did mention the use of pendant alarms and key-safes which provided reassurance for independence. Other bits of equipment were often perceived as making you old (and therefore less independent) too quickly so it would be interesting to see whether there is any difference in independence trajectory between different bits of equipment. Equipment is also prescribed on the basis that it should help people to maintain independence so would provide useful insight. (32)</w:t>
            </w:r>
          </w:p>
        </w:tc>
      </w:tr>
      <w:tr>
        <w:trPr>
          <w:cantSplit w:val="0"/>
          <w:trHeight w:val="205" w:hRule="atLeast"/>
          <w:tblHeader w:val="0"/>
        </w:trPr>
        <w:tc>
          <w:tcPr>
            <w:tcBorders>
              <w:top w:color="000000" w:space="0" w:sz="12" w:val="single"/>
              <w:left w:color="000000" w:space="0" w:sz="8" w:val="single"/>
              <w:bottom w:color="000000" w:space="0" w:sz="8" w:val="single"/>
              <w:right w:color="000000" w:space="0" w:sz="4" w:val="single"/>
            </w:tcBorders>
            <w:shd w:fill="f2f2f2" w:val="clear"/>
            <w:vAlign w:val="center"/>
          </w:tcPr>
          <w:p w:rsidR="00000000" w:rsidDel="00000000" w:rsidP="00000000" w:rsidRDefault="00000000" w:rsidRPr="00000000" w14:paraId="0000008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Current Smoker</w:t>
            </w:r>
          </w:p>
        </w:tc>
        <w:tc>
          <w:tcPr>
            <w:tcBorders>
              <w:top w:color="000000" w:space="0" w:sz="12" w:val="single"/>
              <w:left w:color="000000" w:space="0" w:sz="4" w:val="single"/>
              <w:right w:color="000000" w:space="0" w:sz="4" w:val="single"/>
            </w:tcBorders>
            <w:shd w:fill="f2f2f2" w:val="clear"/>
          </w:tcPr>
          <w:p w:rsidR="00000000" w:rsidDel="00000000" w:rsidP="00000000" w:rsidRDefault="00000000" w:rsidRPr="00000000" w14:paraId="0000008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Binary options Yes/No </w:t>
            </w:r>
          </w:p>
        </w:tc>
        <w:tc>
          <w:tcPr>
            <w:gridSpan w:val="6"/>
            <w:vMerge w:val="restart"/>
            <w:tcBorders>
              <w:top w:color="000000" w:space="0" w:sz="12" w:val="single"/>
              <w:left w:color="000000" w:space="0" w:sz="4" w:val="single"/>
              <w:right w:color="000000" w:space="0" w:sz="4" w:val="single"/>
            </w:tcBorders>
            <w:shd w:fill="f2f2f2" w:val="clear"/>
            <w:vAlign w:val="center"/>
          </w:tcPr>
          <w:p w:rsidR="00000000" w:rsidDel="00000000" w:rsidP="00000000" w:rsidRDefault="00000000" w:rsidRPr="00000000" w14:paraId="0000008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Some participants related their good health, which helped them to be independent, to lifestyle factors such as not drinking and not smoking. These are also potentially modifiable factors making them clinically useful, and have been linked to independence in existing studies. (12, 27)</w:t>
            </w:r>
          </w:p>
        </w:tc>
      </w:tr>
      <w:tr>
        <w:trPr>
          <w:cantSplit w:val="0"/>
          <w:trHeight w:val="205" w:hRule="atLeast"/>
          <w:tblHeader w:val="0"/>
        </w:trPr>
        <w:tc>
          <w:tcPr>
            <w:tcBorders>
              <w:top w:color="000000" w:space="0" w:sz="0" w:val="nil"/>
              <w:left w:color="000000" w:space="0" w:sz="8" w:val="single"/>
              <w:bottom w:color="000000" w:space="0" w:sz="12" w:val="single"/>
              <w:right w:color="000000" w:space="0" w:sz="4" w:val="single"/>
            </w:tcBorders>
            <w:shd w:fill="f2f2f2" w:val="clear"/>
            <w:vAlign w:val="center"/>
          </w:tcPr>
          <w:p w:rsidR="00000000" w:rsidDel="00000000" w:rsidP="00000000" w:rsidRDefault="00000000" w:rsidRPr="00000000" w14:paraId="0000008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Current alcohol consumption</w:t>
            </w:r>
          </w:p>
        </w:tc>
        <w:tc>
          <w:tcPr>
            <w:tcBorders>
              <w:left w:color="000000" w:space="0" w:sz="4" w:val="single"/>
              <w:bottom w:color="000000" w:space="0" w:sz="12" w:val="single"/>
              <w:right w:color="000000" w:space="0" w:sz="4" w:val="single"/>
            </w:tcBorders>
            <w:shd w:fill="f2f2f2" w:val="clear"/>
          </w:tcPr>
          <w:p w:rsidR="00000000" w:rsidDel="00000000" w:rsidP="00000000" w:rsidRDefault="00000000" w:rsidRPr="00000000" w14:paraId="0000008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Frequency of alcohol consumption in the last year from the options: </w:t>
            </w:r>
          </w:p>
          <w:p w:rsidR="00000000" w:rsidDel="00000000" w:rsidP="00000000" w:rsidRDefault="00000000" w:rsidRPr="00000000" w14:paraId="0000008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None; ≥3-4 days a week;</w:t>
            </w:r>
            <w:r w:rsidDel="00000000" w:rsidR="00000000" w:rsidRPr="00000000">
              <w:rPr>
                <w:rtl w:val="0"/>
              </w:rPr>
              <w:t xml:space="preserve"> </w:t>
            </w:r>
            <w:r w:rsidDel="00000000" w:rsidR="00000000" w:rsidRPr="00000000">
              <w:rPr>
                <w:rFonts w:ascii="Calibri" w:cs="Calibri" w:eastAsia="Calibri" w:hAnsi="Calibri"/>
                <w:sz w:val="16"/>
                <w:szCs w:val="16"/>
                <w:rtl w:val="0"/>
              </w:rPr>
              <w:t xml:space="preserve">1-2 days a week;</w:t>
            </w:r>
            <w:r w:rsidDel="00000000" w:rsidR="00000000" w:rsidRPr="00000000">
              <w:rPr>
                <w:rtl w:val="0"/>
              </w:rPr>
              <w:t xml:space="preserve"> </w:t>
            </w:r>
            <w:r w:rsidDel="00000000" w:rsidR="00000000" w:rsidRPr="00000000">
              <w:rPr>
                <w:rFonts w:ascii="Calibri" w:cs="Calibri" w:eastAsia="Calibri" w:hAnsi="Calibri"/>
                <w:sz w:val="16"/>
                <w:szCs w:val="16"/>
                <w:rtl w:val="0"/>
              </w:rPr>
              <w:t xml:space="preserve">1-2 times a month; ≤ Once a month</w:t>
            </w:r>
          </w:p>
        </w:tc>
        <w:tc>
          <w:tcPr>
            <w:gridSpan w:val="6"/>
            <w:vMerge w:val="continue"/>
            <w:tcBorders>
              <w:top w:color="000000" w:space="0" w:sz="12" w:val="single"/>
              <w:left w:color="000000" w:space="0" w:sz="4" w:val="single"/>
              <w:right w:color="000000" w:space="0" w:sz="4" w:val="single"/>
            </w:tcBorders>
            <w:shd w:fill="f2f2f2" w:val="clear"/>
            <w:vAlign w:val="center"/>
          </w:tcPr>
          <w:p w:rsidR="00000000" w:rsidDel="00000000" w:rsidP="00000000" w:rsidRDefault="00000000" w:rsidRPr="00000000" w14:paraId="0000008F">
            <w:pPr>
              <w:widowControl w:val="0"/>
              <w:spacing w:line="276" w:lineRule="auto"/>
              <w:rPr>
                <w:rFonts w:ascii="Calibri" w:cs="Calibri" w:eastAsia="Calibri" w:hAnsi="Calibri"/>
                <w:sz w:val="16"/>
                <w:szCs w:val="16"/>
              </w:rPr>
            </w:pPr>
            <w:r w:rsidDel="00000000" w:rsidR="00000000" w:rsidRPr="00000000">
              <w:rPr>
                <w:rtl w:val="0"/>
              </w:rPr>
            </w:r>
          </w:p>
        </w:tc>
      </w:tr>
      <w:tr>
        <w:trPr>
          <w:cantSplit w:val="0"/>
          <w:trHeight w:val="205" w:hRule="atLeast"/>
          <w:tblHeader w:val="0"/>
        </w:trPr>
        <w:tc>
          <w:tcPr>
            <w:tcBorders>
              <w:top w:color="000000" w:space="0" w:sz="12" w:val="single"/>
              <w:left w:color="000000" w:space="0" w:sz="8" w:val="single"/>
              <w:bottom w:color="000000" w:space="0" w:sz="8" w:val="single"/>
              <w:right w:color="000000" w:space="0" w:sz="8" w:val="single"/>
            </w:tcBorders>
            <w:shd w:fill="f2f2f2" w:val="clear"/>
            <w:vAlign w:val="center"/>
          </w:tcPr>
          <w:p w:rsidR="00000000" w:rsidDel="00000000" w:rsidP="00000000" w:rsidRDefault="00000000" w:rsidRPr="00000000" w14:paraId="0000009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Blind or partially sighted</w:t>
            </w:r>
          </w:p>
        </w:tc>
        <w:tc>
          <w:tcPr>
            <w:tcBorders>
              <w:top w:color="000000" w:space="0" w:sz="12" w:val="single"/>
              <w:left w:color="000000" w:space="0" w:sz="4" w:val="single"/>
              <w:right w:color="000000" w:space="0" w:sz="4" w:val="single"/>
            </w:tcBorders>
            <w:shd w:fill="f2f2f2" w:val="clear"/>
          </w:tcPr>
          <w:p w:rsidR="00000000" w:rsidDel="00000000" w:rsidP="00000000" w:rsidRDefault="00000000" w:rsidRPr="00000000" w14:paraId="0000009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Registered blind or partially-sighted </w:t>
            </w:r>
          </w:p>
          <w:p w:rsidR="00000000" w:rsidDel="00000000" w:rsidP="00000000" w:rsidRDefault="00000000" w:rsidRPr="00000000" w14:paraId="0000009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Binary outcome – yes or no</w:t>
            </w:r>
          </w:p>
        </w:tc>
        <w:tc>
          <w:tcPr>
            <w:gridSpan w:val="6"/>
            <w:vMerge w:val="restart"/>
            <w:tcBorders>
              <w:top w:color="000000" w:space="0" w:sz="12" w:val="single"/>
              <w:left w:color="000000" w:space="0" w:sz="4" w:val="single"/>
              <w:right w:color="000000" w:space="0" w:sz="4" w:val="single"/>
            </w:tcBorders>
            <w:shd w:fill="f2f2f2" w:val="clear"/>
            <w:vAlign w:val="center"/>
          </w:tcPr>
          <w:p w:rsidR="00000000" w:rsidDel="00000000" w:rsidP="00000000" w:rsidRDefault="00000000" w:rsidRPr="00000000" w14:paraId="0000009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None of the interviewed participants were registered blind or partially sighted, however, poor sight was a reason given by one potential participant for declining to take part in the interview study. Poor hearing was related to independence in some interviews because it could be isolating and increase dependence on a spouse or partner. (12, 27)</w:t>
            </w:r>
          </w:p>
        </w:tc>
      </w:tr>
      <w:tr>
        <w:trPr>
          <w:cantSplit w:val="0"/>
          <w:trHeight w:val="205" w:hRule="atLeast"/>
          <w:tblHeader w:val="0"/>
        </w:trPr>
        <w:tc>
          <w:tcPr>
            <w:tcBorders>
              <w:top w:color="000000" w:space="0" w:sz="0" w:val="nil"/>
              <w:left w:color="000000" w:space="0" w:sz="8" w:val="single"/>
              <w:bottom w:color="000000" w:space="0" w:sz="12" w:val="single"/>
              <w:right w:color="000000" w:space="0" w:sz="8" w:val="single"/>
            </w:tcBorders>
            <w:shd w:fill="f2f2f2" w:val="clear"/>
            <w:vAlign w:val="center"/>
          </w:tcPr>
          <w:p w:rsidR="00000000" w:rsidDel="00000000" w:rsidP="00000000" w:rsidRDefault="00000000" w:rsidRPr="00000000" w14:paraId="0000009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Difficulty Hearing</w:t>
            </w:r>
          </w:p>
        </w:tc>
        <w:tc>
          <w:tcPr>
            <w:tcBorders>
              <w:left w:color="000000" w:space="0" w:sz="4" w:val="single"/>
              <w:bottom w:color="000000" w:space="0" w:sz="12" w:val="single"/>
              <w:right w:color="000000" w:space="0" w:sz="4" w:val="single"/>
            </w:tcBorders>
            <w:shd w:fill="f2f2f2" w:val="clear"/>
          </w:tcPr>
          <w:p w:rsidR="00000000" w:rsidDel="00000000" w:rsidP="00000000" w:rsidRDefault="00000000" w:rsidRPr="00000000" w14:paraId="0000009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Determined by assessor. Categorical options of: No difficulty; some difficulty; no hearing at all </w:t>
            </w:r>
          </w:p>
        </w:tc>
        <w:tc>
          <w:tcPr>
            <w:gridSpan w:val="6"/>
            <w:vMerge w:val="continue"/>
            <w:tcBorders>
              <w:top w:color="000000" w:space="0" w:sz="12" w:val="single"/>
              <w:left w:color="000000" w:space="0" w:sz="4" w:val="single"/>
              <w:right w:color="000000" w:space="0" w:sz="4" w:val="single"/>
            </w:tcBorders>
            <w:shd w:fill="f2f2f2" w:val="clear"/>
            <w:vAlign w:val="center"/>
          </w:tcPr>
          <w:p w:rsidR="00000000" w:rsidDel="00000000" w:rsidP="00000000" w:rsidRDefault="00000000" w:rsidRPr="00000000" w14:paraId="000000A0">
            <w:pPr>
              <w:widowControl w:val="0"/>
              <w:spacing w:line="276" w:lineRule="auto"/>
              <w:rPr>
                <w:rFonts w:ascii="Calibri" w:cs="Calibri" w:eastAsia="Calibri" w:hAnsi="Calibri"/>
                <w:sz w:val="16"/>
                <w:szCs w:val="16"/>
              </w:rPr>
            </w:pPr>
            <w:r w:rsidDel="00000000" w:rsidR="00000000" w:rsidRPr="00000000">
              <w:rPr>
                <w:rtl w:val="0"/>
              </w:rPr>
            </w:r>
          </w:p>
        </w:tc>
      </w:tr>
      <w:tr>
        <w:trPr>
          <w:cantSplit w:val="0"/>
          <w:trHeight w:val="205" w:hRule="atLeast"/>
          <w:tblHeader w:val="0"/>
        </w:trPr>
        <w:tc>
          <w:tcPr>
            <w:tcBorders>
              <w:top w:color="000000" w:space="0" w:sz="12" w:val="single"/>
              <w:left w:color="000000" w:space="0" w:sz="8" w:val="single"/>
              <w:bottom w:color="000000" w:space="0" w:sz="12" w:val="single"/>
              <w:right w:color="000000" w:space="0" w:sz="8" w:val="single"/>
            </w:tcBorders>
            <w:shd w:fill="bfbfbf" w:val="clear"/>
            <w:vAlign w:val="center"/>
          </w:tcPr>
          <w:p w:rsidR="00000000" w:rsidDel="00000000" w:rsidP="00000000" w:rsidRDefault="00000000" w:rsidRPr="00000000" w14:paraId="000000A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SF-36</w:t>
            </w:r>
          </w:p>
        </w:tc>
        <w:tc>
          <w:tcPr>
            <w:tcBorders>
              <w:top w:color="000000" w:space="0" w:sz="12" w:val="single"/>
              <w:left w:color="000000" w:space="0" w:sz="4" w:val="single"/>
              <w:bottom w:color="000000" w:space="0" w:sz="12" w:val="single"/>
              <w:right w:color="000000" w:space="0" w:sz="4" w:val="single"/>
            </w:tcBorders>
            <w:shd w:fill="bfbfbf" w:val="clear"/>
          </w:tcPr>
          <w:p w:rsidR="00000000" w:rsidDel="00000000" w:rsidP="00000000" w:rsidRDefault="00000000" w:rsidRPr="00000000" w14:paraId="000000A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Score out of 100 from the SF-36 Patient Reported Outcome Measure for quality of life</w:t>
            </w:r>
          </w:p>
        </w:tc>
        <w:tc>
          <w:tcPr>
            <w:gridSpan w:val="6"/>
            <w:tcBorders>
              <w:top w:color="000000" w:space="0" w:sz="12" w:val="single"/>
              <w:left w:color="000000" w:space="0" w:sz="4" w:val="single"/>
              <w:bottom w:color="000000" w:space="0" w:sz="12" w:val="single"/>
              <w:right w:color="000000" w:space="0" w:sz="4" w:val="single"/>
            </w:tcBorders>
            <w:shd w:fill="bfbfbf" w:val="clear"/>
            <w:vAlign w:val="center"/>
          </w:tcPr>
          <w:p w:rsidR="00000000" w:rsidDel="00000000" w:rsidP="00000000" w:rsidRDefault="00000000" w:rsidRPr="00000000" w14:paraId="000000A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SF-36 is a measure of quality of life and asks questions about ability to engage in purposeful activities, subjective health, mood, and pain. Each of these topics were spontaneously brought into conversations by participants in the qualitative study. (25)</w:t>
            </w:r>
          </w:p>
        </w:tc>
      </w:tr>
      <w:tr>
        <w:trPr>
          <w:cantSplit w:val="0"/>
          <w:trHeight w:val="530" w:hRule="atLeast"/>
          <w:tblHeader w:val="0"/>
        </w:trPr>
        <w:tc>
          <w:tcPr>
            <w:tcBorders>
              <w:top w:color="000000" w:space="0" w:sz="12" w:val="single"/>
              <w:left w:color="000000" w:space="0" w:sz="8" w:val="single"/>
              <w:bottom w:color="000000" w:space="0" w:sz="12" w:val="single"/>
              <w:right w:color="000000" w:space="0" w:sz="8" w:val="single"/>
            </w:tcBorders>
            <w:shd w:fill="f2f2f2" w:val="clear"/>
            <w:vAlign w:val="center"/>
          </w:tcPr>
          <w:p w:rsidR="00000000" w:rsidDel="00000000" w:rsidP="00000000" w:rsidRDefault="00000000" w:rsidRPr="00000000" w14:paraId="000000A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MoCA</w:t>
            </w:r>
          </w:p>
        </w:tc>
        <w:tc>
          <w:tcPr>
            <w:tcBorders>
              <w:top w:color="000000" w:space="0" w:sz="12" w:val="single"/>
              <w:left w:color="000000" w:space="0" w:sz="8" w:val="single"/>
              <w:bottom w:color="000000" w:space="0" w:sz="12" w:val="single"/>
              <w:right w:color="000000" w:space="0" w:sz="4" w:val="single"/>
            </w:tcBorders>
            <w:shd w:fill="f2f2f2" w:val="clear"/>
          </w:tcPr>
          <w:p w:rsidR="00000000" w:rsidDel="00000000" w:rsidP="00000000" w:rsidRDefault="00000000" w:rsidRPr="00000000" w14:paraId="000000A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Montreal Cognitive Assessment.</w:t>
            </w:r>
          </w:p>
          <w:p w:rsidR="00000000" w:rsidDel="00000000" w:rsidP="00000000" w:rsidRDefault="00000000" w:rsidRPr="00000000" w14:paraId="000000B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Scored 0-30. </w:t>
            </w:r>
          </w:p>
        </w:tc>
        <w:tc>
          <w:tcPr>
            <w:gridSpan w:val="6"/>
            <w:tcBorders>
              <w:top w:color="000000" w:space="0" w:sz="12" w:val="single"/>
              <w:left w:color="000000" w:space="0" w:sz="4" w:val="single"/>
              <w:bottom w:color="000000" w:space="0" w:sz="12" w:val="single"/>
              <w:right w:color="000000" w:space="0" w:sz="8" w:val="single"/>
            </w:tcBorders>
            <w:shd w:fill="f2f2f2" w:val="clear"/>
            <w:vAlign w:val="center"/>
          </w:tcPr>
          <w:p w:rsidR="00000000" w:rsidDel="00000000" w:rsidP="00000000" w:rsidRDefault="00000000" w:rsidRPr="00000000" w14:paraId="000000B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overall MoCA score gives an indicator level of cognitive function. Loss of cognitive abilities was definitely seen by participants as a contributor to becoming less independent.  (12, 25, 27)</w:t>
            </w:r>
          </w:p>
        </w:tc>
      </w:tr>
      <w:tr>
        <w:trPr>
          <w:cantSplit w:val="0"/>
          <w:trHeight w:val="530" w:hRule="atLeast"/>
          <w:tblHeader w:val="0"/>
        </w:trPr>
        <w:tc>
          <w:tcPr>
            <w:tcBorders>
              <w:top w:color="000000" w:space="0" w:sz="12" w:val="single"/>
              <w:left w:color="000000" w:space="0" w:sz="8" w:val="single"/>
              <w:bottom w:color="000000" w:space="0" w:sz="8" w:val="single"/>
              <w:right w:color="000000" w:space="0" w:sz="8" w:val="single"/>
            </w:tcBorders>
            <w:shd w:fill="f2f2f2" w:val="clear"/>
            <w:vAlign w:val="center"/>
          </w:tcPr>
          <w:p w:rsidR="00000000" w:rsidDel="00000000" w:rsidP="00000000" w:rsidRDefault="00000000" w:rsidRPr="00000000" w14:paraId="000000B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 number of comorbidities</w:t>
            </w:r>
          </w:p>
        </w:tc>
        <w:tc>
          <w:tcPr>
            <w:tcBorders>
              <w:top w:color="000000" w:space="0" w:sz="12" w:val="single"/>
              <w:left w:color="000000" w:space="0" w:sz="8" w:val="single"/>
              <w:bottom w:color="000000" w:space="0" w:sz="4" w:val="single"/>
              <w:right w:color="000000" w:space="0" w:sz="4" w:val="single"/>
            </w:tcBorders>
            <w:shd w:fill="f2f2f2" w:val="clear"/>
          </w:tcPr>
          <w:p w:rsidR="00000000" w:rsidDel="00000000" w:rsidP="00000000" w:rsidRDefault="00000000" w:rsidRPr="00000000" w14:paraId="000000B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Total number of diseases from GP record (excluding osteoporosis and fracture)</w:t>
            </w:r>
          </w:p>
        </w:tc>
        <w:tc>
          <w:tcPr>
            <w:gridSpan w:val="6"/>
            <w:tcBorders>
              <w:top w:color="000000" w:space="0" w:sz="12" w:val="single"/>
              <w:left w:color="000000" w:space="0" w:sz="4" w:val="single"/>
              <w:bottom w:color="000000" w:space="0" w:sz="4" w:val="single"/>
              <w:right w:color="000000" w:space="0" w:sz="8" w:val="single"/>
            </w:tcBorders>
            <w:shd w:fill="f2f2f2" w:val="clear"/>
            <w:vAlign w:val="center"/>
          </w:tcPr>
          <w:p w:rsidR="00000000" w:rsidDel="00000000" w:rsidP="00000000" w:rsidRDefault="00000000" w:rsidRPr="00000000" w14:paraId="000000B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Participants mostly voiced a feeling of being 'lucky' to have their health and believed that it would be much harder to remain independent if their health was disrupted. Those that they considered more dependent were often people with a health condition. Comorbidity is a common confounder or exclusion criteria in studies so should be accounted for.(12, 24)</w:t>
            </w:r>
          </w:p>
        </w:tc>
      </w:tr>
      <w:tr>
        <w:trPr>
          <w:cantSplit w:val="0"/>
          <w:trHeight w:val="430" w:hRule="atLeast"/>
          <w:tblHeader w:val="0"/>
        </w:trPr>
        <w:tc>
          <w:tcPr>
            <w:tcBorders>
              <w:top w:color="000000" w:space="0" w:sz="0" w:val="nil"/>
              <w:left w:color="000000" w:space="0" w:sz="8" w:val="single"/>
              <w:bottom w:color="000000" w:space="0" w:sz="12" w:val="single"/>
              <w:right w:color="000000" w:space="0" w:sz="4" w:val="single"/>
            </w:tcBorders>
            <w:shd w:fill="f2f2f2" w:val="clear"/>
            <w:vAlign w:val="center"/>
          </w:tcPr>
          <w:p w:rsidR="00000000" w:rsidDel="00000000" w:rsidP="00000000" w:rsidRDefault="00000000" w:rsidRPr="00000000" w14:paraId="000000B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Medication count</w:t>
            </w:r>
          </w:p>
        </w:tc>
        <w:tc>
          <w:tcPr>
            <w:tcBorders>
              <w:top w:color="000000" w:space="0" w:sz="4" w:val="single"/>
              <w:left w:color="000000" w:space="0" w:sz="4" w:val="single"/>
              <w:bottom w:color="000000" w:space="0" w:sz="12" w:val="single"/>
              <w:right w:color="000000" w:space="0" w:sz="4" w:val="single"/>
            </w:tcBorders>
            <w:shd w:fill="f2f2f2" w:val="clear"/>
          </w:tcPr>
          <w:p w:rsidR="00000000" w:rsidDel="00000000" w:rsidP="00000000" w:rsidRDefault="00000000" w:rsidRPr="00000000" w14:paraId="000000C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of prescribed medications</w:t>
            </w:r>
          </w:p>
        </w:tc>
        <w:tc>
          <w:tcPr>
            <w:gridSpan w:val="6"/>
            <w:tcBorders>
              <w:top w:color="000000" w:space="0" w:sz="4" w:val="single"/>
              <w:left w:color="000000" w:space="0" w:sz="4" w:val="single"/>
              <w:bottom w:color="000000" w:space="0" w:sz="12" w:val="single"/>
              <w:right w:color="000000" w:space="0" w:sz="4" w:val="single"/>
            </w:tcBorders>
            <w:shd w:fill="f2f2f2" w:val="clear"/>
            <w:vAlign w:val="center"/>
          </w:tcPr>
          <w:p w:rsidR="00000000" w:rsidDel="00000000" w:rsidP="00000000" w:rsidRDefault="00000000" w:rsidRPr="00000000" w14:paraId="000000C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Many participants were on medications, but it was only said in passing and not something that they described as important to independence. Polypharmacy is a big issue in care of older people. (12, 24, 33)</w:t>
            </w:r>
          </w:p>
        </w:tc>
      </w:tr>
      <w:tr>
        <w:trPr>
          <w:cantSplit w:val="0"/>
          <w:trHeight w:val="209" w:hRule="atLeast"/>
          <w:tblHeader w:val="0"/>
        </w:trPr>
        <w:tc>
          <w:tcPr>
            <w:tcBorders>
              <w:top w:color="000000" w:space="0" w:sz="12" w:val="single"/>
              <w:left w:color="000000" w:space="0" w:sz="8" w:val="single"/>
              <w:bottom w:color="000000" w:space="0" w:sz="8" w:val="single"/>
              <w:right w:color="000000" w:space="0" w:sz="8" w:val="single"/>
            </w:tcBorders>
            <w:shd w:fill="bfbfbf" w:val="clear"/>
            <w:vAlign w:val="center"/>
          </w:tcPr>
          <w:p w:rsidR="00000000" w:rsidDel="00000000" w:rsidP="00000000" w:rsidRDefault="00000000" w:rsidRPr="00000000" w14:paraId="000000C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How many falls</w:t>
            </w:r>
          </w:p>
        </w:tc>
        <w:tc>
          <w:tcPr>
            <w:tcBorders>
              <w:top w:color="000000" w:space="0" w:sz="12" w:val="single"/>
              <w:left w:color="000000" w:space="0" w:sz="0" w:val="nil"/>
              <w:bottom w:color="000000" w:space="0" w:sz="8" w:val="single"/>
              <w:right w:color="000000" w:space="0" w:sz="4" w:val="single"/>
            </w:tcBorders>
            <w:shd w:fill="bfbfbf" w:val="clear"/>
          </w:tcPr>
          <w:p w:rsidR="00000000" w:rsidDel="00000000" w:rsidP="00000000" w:rsidRDefault="00000000" w:rsidRPr="00000000" w14:paraId="000000C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Self-reported number of falls within the last year</w:t>
            </w:r>
          </w:p>
        </w:tc>
        <w:tc>
          <w:tcPr>
            <w:gridSpan w:val="6"/>
            <w:tcBorders>
              <w:top w:color="000000" w:space="0" w:sz="12" w:val="single"/>
              <w:left w:color="000000" w:space="0" w:sz="4" w:val="single"/>
              <w:bottom w:color="000000" w:space="0" w:sz="8" w:val="single"/>
              <w:right w:color="000000" w:space="0" w:sz="8" w:val="single"/>
            </w:tcBorders>
            <w:shd w:fill="bfbfbf" w:val="clear"/>
            <w:vAlign w:val="center"/>
          </w:tcPr>
          <w:p w:rsidR="00000000" w:rsidDel="00000000" w:rsidP="00000000" w:rsidRDefault="00000000" w:rsidRPr="00000000" w14:paraId="000000C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Few participants talked about falls, but for those who did talk about them, either through own or other’s experience, they were often associated with considerable disruption to independence. (12, 27))</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C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NEADL</w:t>
            </w:r>
          </w:p>
        </w:tc>
        <w:tc>
          <w:tcPr>
            <w:tcBorders>
              <w:top w:color="000000" w:space="0" w:sz="0" w:val="nil"/>
              <w:left w:color="000000" w:space="0" w:sz="0" w:val="nil"/>
              <w:bottom w:color="000000" w:space="0" w:sz="8" w:val="single"/>
              <w:right w:color="000000" w:space="0" w:sz="4" w:val="single"/>
            </w:tcBorders>
          </w:tcPr>
          <w:p w:rsidR="00000000" w:rsidDel="00000000" w:rsidP="00000000" w:rsidRDefault="00000000" w:rsidRPr="00000000" w14:paraId="000000D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Nottingham Extended Activities of Daily Living scale. Scored 0-66. Higher scores represent greater independence</w:t>
            </w:r>
          </w:p>
        </w:tc>
        <w:tc>
          <w:tcPr>
            <w:gridSpan w:val="6"/>
            <w:tcBorders>
              <w:top w:color="000000" w:space="0" w:sz="0" w:val="nil"/>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D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Primary dependent outcome of interest  (12)</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f2f2f2" w:val="clear"/>
            <w:vAlign w:val="center"/>
          </w:tcPr>
          <w:p w:rsidR="00000000" w:rsidDel="00000000" w:rsidP="00000000" w:rsidRDefault="00000000" w:rsidRPr="00000000" w14:paraId="000000D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Barthel</w:t>
            </w:r>
          </w:p>
        </w:tc>
        <w:tc>
          <w:tcPr>
            <w:tcBorders>
              <w:top w:color="000000" w:space="0" w:sz="0" w:val="nil"/>
              <w:left w:color="000000" w:space="0" w:sz="0" w:val="nil"/>
              <w:bottom w:color="000000" w:space="0" w:sz="8" w:val="single"/>
              <w:right w:color="000000" w:space="0" w:sz="4" w:val="single"/>
            </w:tcBorders>
            <w:shd w:fill="f2f2f2" w:val="clear"/>
          </w:tcPr>
          <w:p w:rsidR="00000000" w:rsidDel="00000000" w:rsidP="00000000" w:rsidRDefault="00000000" w:rsidRPr="00000000" w14:paraId="000000D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Patient reported outcome measuring ability in basic activities of daily living. Total possible scores range from 0 – 20. Lower scores indicate greater disability</w:t>
            </w:r>
          </w:p>
        </w:tc>
        <w:tc>
          <w:tcPr>
            <w:gridSpan w:val="6"/>
            <w:tcBorders>
              <w:top w:color="000000" w:space="0" w:sz="0" w:val="nil"/>
              <w:left w:color="000000" w:space="0" w:sz="4" w:val="single"/>
              <w:bottom w:color="000000" w:space="0" w:sz="8" w:val="single"/>
              <w:right w:color="000000" w:space="0" w:sz="8" w:val="single"/>
            </w:tcBorders>
            <w:shd w:fill="f2f2f2" w:val="clear"/>
            <w:vAlign w:val="center"/>
          </w:tcPr>
          <w:p w:rsidR="00000000" w:rsidDel="00000000" w:rsidP="00000000" w:rsidRDefault="00000000" w:rsidRPr="00000000" w14:paraId="000000D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Participants’ talked about the importance of looking after themselves for independence, which included management of these fundamental activities of daily living.  (12)</w:t>
            </w:r>
          </w:p>
        </w:tc>
      </w:tr>
      <w:tr>
        <w:trPr>
          <w:cantSplit w:val="0"/>
          <w:trHeight w:val="338"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D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Grip Strength </w:t>
            </w:r>
          </w:p>
        </w:tc>
        <w:tc>
          <w:tcPr>
            <w:tcBorders>
              <w:top w:color="000000" w:space="0" w:sz="0" w:val="nil"/>
              <w:left w:color="000000" w:space="0" w:sz="0" w:val="nil"/>
              <w:bottom w:color="000000" w:space="0" w:sz="8" w:val="single"/>
              <w:right w:color="000000" w:space="0" w:sz="4" w:val="single"/>
            </w:tcBorders>
          </w:tcPr>
          <w:p w:rsidR="00000000" w:rsidDel="00000000" w:rsidP="00000000" w:rsidRDefault="00000000" w:rsidRPr="00000000" w14:paraId="000000E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Measured by a dynamometer from dominant hand</w:t>
            </w:r>
          </w:p>
        </w:tc>
        <w:tc>
          <w:tcPr>
            <w:gridSpan w:val="6"/>
            <w:tcBorders>
              <w:top w:color="000000" w:space="0" w:sz="0" w:val="nil"/>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E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key marker of frailty and physical capacity (34). A useful tool in practice so it would be good to see how it compares to participant suggested variables.</w:t>
            </w:r>
          </w:p>
        </w:tc>
      </w:tr>
      <w:tr>
        <w:trPr>
          <w:cantSplit w:val="0"/>
          <w:trHeight w:val="430" w:hRule="atLeast"/>
          <w:tblHeader w:val="0"/>
        </w:trPr>
        <w:tc>
          <w:tcPr>
            <w:tcBorders>
              <w:top w:color="000000" w:space="0" w:sz="0" w:val="nil"/>
              <w:left w:color="000000" w:space="0" w:sz="8" w:val="single"/>
              <w:bottom w:color="000000" w:space="0" w:sz="0" w:val="nil"/>
              <w:right w:color="000000" w:space="0" w:sz="8" w:val="single"/>
            </w:tcBorders>
            <w:shd w:fill="f2f2f2" w:val="clear"/>
            <w:vAlign w:val="center"/>
          </w:tcPr>
          <w:p w:rsidR="00000000" w:rsidDel="00000000" w:rsidP="00000000" w:rsidRDefault="00000000" w:rsidRPr="00000000" w14:paraId="000000E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EFI</w:t>
            </w:r>
          </w:p>
        </w:tc>
        <w:tc>
          <w:tcPr>
            <w:tcBorders>
              <w:top w:color="000000" w:space="0" w:sz="0" w:val="nil"/>
              <w:left w:color="000000" w:space="0" w:sz="0" w:val="nil"/>
              <w:bottom w:color="000000" w:space="0" w:sz="0" w:val="nil"/>
              <w:right w:color="000000" w:space="0" w:sz="4" w:val="single"/>
            </w:tcBorders>
            <w:shd w:fill="f2f2f2" w:val="clear"/>
          </w:tcPr>
          <w:p w:rsidR="00000000" w:rsidDel="00000000" w:rsidP="00000000" w:rsidRDefault="00000000" w:rsidRPr="00000000" w14:paraId="000000E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Electronic Frailty Index</w:t>
            </w:r>
          </w:p>
          <w:p w:rsidR="00000000" w:rsidDel="00000000" w:rsidP="00000000" w:rsidRDefault="00000000" w:rsidRPr="00000000" w14:paraId="000000E9">
            <w:pPr>
              <w:rPr>
                <w:rFonts w:ascii="Calibri" w:cs="Calibri" w:eastAsia="Calibri" w:hAnsi="Calibri"/>
                <w:sz w:val="16"/>
                <w:szCs w:val="16"/>
              </w:rPr>
            </w:pPr>
            <w:r w:rsidDel="00000000" w:rsidR="00000000" w:rsidRPr="00000000">
              <w:rPr>
                <w:rtl w:val="0"/>
              </w:rPr>
            </w:r>
          </w:p>
        </w:tc>
        <w:tc>
          <w:tcPr>
            <w:gridSpan w:val="6"/>
            <w:tcBorders>
              <w:top w:color="000000" w:space="0" w:sz="0" w:val="nil"/>
              <w:left w:color="000000" w:space="0" w:sz="4" w:val="single"/>
              <w:bottom w:color="000000" w:space="0" w:sz="0" w:val="nil"/>
              <w:right w:color="000000" w:space="0" w:sz="8" w:val="single"/>
            </w:tcBorders>
            <w:shd w:fill="f2f2f2" w:val="clear"/>
            <w:vAlign w:val="center"/>
          </w:tcPr>
          <w:p w:rsidR="00000000" w:rsidDel="00000000" w:rsidP="00000000" w:rsidRDefault="00000000" w:rsidRPr="00000000" w14:paraId="000000E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Frailty can be linked to independence in practice and has the potential to be a strong confounder (24, 29). Participants did not use the word frail, but those that they considered more dependent had many of the traits associated with frailty. </w:t>
            </w:r>
          </w:p>
        </w:tc>
      </w:tr>
      <w:tr>
        <w:trPr>
          <w:cantSplit w:val="0"/>
          <w:trHeight w:val="235" w:hRule="atLeast"/>
          <w:tblHeader w:val="0"/>
        </w:trPr>
        <w:tc>
          <w:tcPr>
            <w:tcBorders>
              <w:top w:color="000000" w:space="0" w:sz="8" w:val="single"/>
              <w:left w:color="000000" w:space="0" w:sz="8" w:val="single"/>
              <w:bottom w:color="000000" w:space="0" w:sz="0" w:val="nil"/>
              <w:right w:color="000000" w:space="0" w:sz="8" w:val="single"/>
            </w:tcBorders>
            <w:shd w:fill="bfbfbf" w:val="clear"/>
            <w:vAlign w:val="center"/>
          </w:tcPr>
          <w:p w:rsidR="00000000" w:rsidDel="00000000" w:rsidP="00000000" w:rsidRDefault="00000000" w:rsidRPr="00000000" w14:paraId="000000F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Geriatric Depression Score</w:t>
            </w:r>
          </w:p>
        </w:tc>
        <w:tc>
          <w:tcPr>
            <w:tcBorders>
              <w:top w:color="000000" w:space="0" w:sz="8" w:val="single"/>
              <w:left w:color="000000" w:space="0" w:sz="0" w:val="nil"/>
              <w:bottom w:color="000000" w:space="0" w:sz="0" w:val="nil"/>
              <w:right w:color="000000" w:space="0" w:sz="4" w:val="single"/>
            </w:tcBorders>
            <w:shd w:fill="bfbfbf" w:val="clear"/>
          </w:tcPr>
          <w:p w:rsidR="00000000" w:rsidDel="00000000" w:rsidP="00000000" w:rsidRDefault="00000000" w:rsidRPr="00000000" w14:paraId="000000F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15 item scale designed to aid screening for depression in older patients. Scores ≥5 suggest depression</w:t>
            </w:r>
          </w:p>
        </w:tc>
        <w:tc>
          <w:tcPr>
            <w:gridSpan w:val="6"/>
            <w:tcBorders>
              <w:top w:color="000000" w:space="0" w:sz="8" w:val="single"/>
              <w:left w:color="000000" w:space="0" w:sz="4" w:val="single"/>
              <w:bottom w:color="000000" w:space="0" w:sz="0" w:val="nil"/>
              <w:right w:color="000000" w:space="0" w:sz="8" w:val="single"/>
            </w:tcBorders>
            <w:shd w:fill="bfbfbf" w:val="clear"/>
            <w:vAlign w:val="center"/>
          </w:tcPr>
          <w:p w:rsidR="00000000" w:rsidDel="00000000" w:rsidP="00000000" w:rsidRDefault="00000000" w:rsidRPr="00000000" w14:paraId="000000F2">
            <w:pPr>
              <w:rPr>
                <w:rFonts w:ascii="Calibri" w:cs="Calibri" w:eastAsia="Calibri" w:hAnsi="Calibri"/>
                <w:sz w:val="16"/>
                <w:szCs w:val="16"/>
              </w:rPr>
            </w:pPr>
            <w:bookmarkStart w:colFirst="0" w:colLast="0" w:name="_30j0zll" w:id="0"/>
            <w:bookmarkEnd w:id="0"/>
            <w:r w:rsidDel="00000000" w:rsidR="00000000" w:rsidRPr="00000000">
              <w:rPr>
                <w:rFonts w:ascii="Calibri" w:cs="Calibri" w:eastAsia="Calibri" w:hAnsi="Calibri"/>
                <w:sz w:val="16"/>
                <w:szCs w:val="16"/>
                <w:rtl w:val="0"/>
              </w:rPr>
              <w:t xml:space="preserve">Depression was clearly linked with dependence in several participant’s minds and in the literature. (12, 25, 27)</w:t>
            </w:r>
          </w:p>
        </w:tc>
      </w:tr>
      <w:tr>
        <w:trPr>
          <w:cantSplit w:val="0"/>
          <w:trHeight w:val="300" w:hRule="atLeast"/>
          <w:tblHeader w:val="0"/>
        </w:trPr>
        <w:tc>
          <w:tcPr>
            <w:tcBorders>
              <w:top w:color="000000" w:space="0" w:sz="8" w:val="single"/>
              <w:left w:color="000000" w:space="0" w:sz="8" w:val="single"/>
              <w:bottom w:color="000000" w:space="0" w:sz="0" w:val="nil"/>
              <w:right w:color="000000" w:space="0" w:sz="8" w:val="single"/>
            </w:tcBorders>
            <w:shd w:fill="bfbfbf" w:val="clear"/>
            <w:vAlign w:val="center"/>
          </w:tcPr>
          <w:p w:rsidR="00000000" w:rsidDel="00000000" w:rsidP="00000000" w:rsidRDefault="00000000" w:rsidRPr="00000000" w14:paraId="000000F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Brief Resilience Scale</w:t>
            </w:r>
          </w:p>
        </w:tc>
        <w:tc>
          <w:tcPr>
            <w:tcBorders>
              <w:top w:color="000000" w:space="0" w:sz="8" w:val="single"/>
              <w:left w:color="000000" w:space="0" w:sz="0" w:val="nil"/>
              <w:bottom w:color="000000" w:space="0" w:sz="0" w:val="nil"/>
              <w:right w:color="000000" w:space="0" w:sz="4" w:val="single"/>
            </w:tcBorders>
            <w:shd w:fill="bfbfbf" w:val="clear"/>
          </w:tcPr>
          <w:p w:rsidR="00000000" w:rsidDel="00000000" w:rsidP="00000000" w:rsidRDefault="00000000" w:rsidRPr="00000000" w14:paraId="000000F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patient-reported outcome to assess a person’s ability to ‘bounce back’ following an adverse event. Higher scores indicate greater resilience.</w:t>
            </w:r>
          </w:p>
        </w:tc>
        <w:tc>
          <w:tcPr>
            <w:gridSpan w:val="6"/>
            <w:tcBorders>
              <w:top w:color="000000" w:space="0" w:sz="8" w:val="single"/>
              <w:left w:color="000000" w:space="0" w:sz="4" w:val="single"/>
              <w:bottom w:color="000000" w:space="0" w:sz="0" w:val="nil"/>
              <w:right w:color="000000" w:space="0" w:sz="8" w:val="single"/>
            </w:tcBorders>
            <w:shd w:fill="bfbfbf" w:val="clear"/>
            <w:vAlign w:val="center"/>
          </w:tcPr>
          <w:p w:rsidR="00000000" w:rsidDel="00000000" w:rsidP="00000000" w:rsidRDefault="00000000" w:rsidRPr="00000000" w14:paraId="000000F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qualitative study found that characteristics that related to resilience were very important for independence. (14, 35)</w:t>
            </w:r>
          </w:p>
        </w:tc>
      </w:tr>
      <w:tr>
        <w:trPr>
          <w:cantSplit w:val="0"/>
          <w:trHeight w:val="260" w:hRule="atLeast"/>
          <w:tblHeader w:val="0"/>
        </w:trPr>
        <w:tc>
          <w:tcPr>
            <w:tcBorders>
              <w:top w:color="000000" w:space="0" w:sz="8" w:val="single"/>
              <w:left w:color="000000" w:space="0" w:sz="8" w:val="single"/>
              <w:bottom w:color="000000" w:space="0" w:sz="8" w:val="single"/>
              <w:right w:color="000000" w:space="0" w:sz="8" w:val="single"/>
            </w:tcBorders>
            <w:shd w:fill="bfbfbf" w:val="clear"/>
            <w:vAlign w:val="center"/>
          </w:tcPr>
          <w:p w:rsidR="00000000" w:rsidDel="00000000" w:rsidP="00000000" w:rsidRDefault="00000000" w:rsidRPr="00000000" w14:paraId="0000010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Self-Efficacy </w:t>
            </w:r>
          </w:p>
        </w:tc>
        <w:tc>
          <w:tcPr>
            <w:tcBorders>
              <w:top w:color="000000" w:space="0" w:sz="8" w:val="single"/>
              <w:left w:color="000000" w:space="0" w:sz="0" w:val="nil"/>
              <w:bottom w:color="000000" w:space="0" w:sz="8" w:val="single"/>
              <w:right w:color="000000" w:space="0" w:sz="4" w:val="single"/>
            </w:tcBorders>
            <w:shd w:fill="bfbfbf" w:val="clear"/>
          </w:tcPr>
          <w:p w:rsidR="00000000" w:rsidDel="00000000" w:rsidP="00000000" w:rsidRDefault="00000000" w:rsidRPr="00000000" w14:paraId="0000010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Measured by the General Self Efficacy scale. Higher scores indicate greater self-efficacy.</w:t>
            </w:r>
          </w:p>
        </w:tc>
        <w:tc>
          <w:tcPr>
            <w:gridSpan w:val="6"/>
            <w:tcBorders>
              <w:top w:color="000000" w:space="0" w:sz="8" w:val="single"/>
              <w:left w:color="000000" w:space="0" w:sz="4" w:val="single"/>
              <w:bottom w:color="000000" w:space="0" w:sz="8" w:val="single"/>
              <w:right w:color="000000" w:space="0" w:sz="8" w:val="single"/>
            </w:tcBorders>
            <w:shd w:fill="bfbfbf" w:val="clear"/>
            <w:vAlign w:val="center"/>
          </w:tcPr>
          <w:p w:rsidR="00000000" w:rsidDel="00000000" w:rsidP="00000000" w:rsidRDefault="00000000" w:rsidRPr="00000000" w14:paraId="00000102">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importance of confidence and related factors for independence was brought up by several participants and was regarded as a predictive factor.(36-37)</w:t>
            </w:r>
          </w:p>
        </w:tc>
      </w:tr>
    </w:tbl>
    <w:p w:rsidR="00000000" w:rsidDel="00000000" w:rsidP="00000000" w:rsidRDefault="00000000" w:rsidRPr="00000000" w14:paraId="00000108">
      <w:pPr>
        <w:spacing w:after="60" w:before="240" w:line="360" w:lineRule="auto"/>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before="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