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AEB" w:rsidRDefault="00A54893">
      <w:pPr>
        <w:spacing w:line="360" w:lineRule="auto"/>
        <w:ind w:firstLineChars="0" w:firstLine="0"/>
        <w:rPr>
          <w:b/>
          <w:bCs/>
          <w:sz w:val="36"/>
          <w:szCs w:val="36"/>
        </w:rPr>
      </w:pPr>
      <w:r>
        <w:rPr>
          <w:rFonts w:hint="eastAsia"/>
          <w:b/>
          <w:bCs/>
          <w:sz w:val="36"/>
          <w:szCs w:val="36"/>
        </w:rPr>
        <w:t>Supplementary</w:t>
      </w:r>
      <w:r>
        <w:rPr>
          <w:b/>
          <w:bCs/>
          <w:sz w:val="36"/>
          <w:szCs w:val="36"/>
        </w:rPr>
        <w:t xml:space="preserve"> </w:t>
      </w:r>
      <w:r w:rsidR="00B9619B">
        <w:rPr>
          <w:b/>
          <w:bCs/>
          <w:sz w:val="36"/>
          <w:szCs w:val="36"/>
        </w:rPr>
        <w:t>F</w:t>
      </w:r>
      <w:r>
        <w:rPr>
          <w:rFonts w:hint="eastAsia"/>
          <w:b/>
          <w:bCs/>
          <w:sz w:val="36"/>
          <w:szCs w:val="36"/>
        </w:rPr>
        <w:t>ile</w:t>
      </w:r>
    </w:p>
    <w:p w:rsidR="00740AEB" w:rsidRDefault="00740AEB">
      <w:pPr>
        <w:pStyle w:val="af1"/>
        <w:spacing w:line="360" w:lineRule="auto"/>
        <w:ind w:left="420" w:firstLineChars="0" w:firstLine="0"/>
        <w:rPr>
          <w:szCs w:val="24"/>
        </w:rPr>
      </w:pPr>
    </w:p>
    <w:p w:rsidR="00740AEB" w:rsidRDefault="00A54893">
      <w:pPr>
        <w:pStyle w:val="af1"/>
        <w:numPr>
          <w:ilvl w:val="0"/>
          <w:numId w:val="1"/>
        </w:numPr>
        <w:spacing w:line="360" w:lineRule="auto"/>
        <w:ind w:firstLineChars="0"/>
        <w:rPr>
          <w:sz w:val="28"/>
          <w:szCs w:val="28"/>
        </w:rPr>
      </w:pPr>
      <w:r>
        <w:rPr>
          <w:sz w:val="28"/>
          <w:szCs w:val="28"/>
        </w:rPr>
        <w:t>Methods on study selection, data collection, quality assessment, and synthesis of results.</w:t>
      </w:r>
    </w:p>
    <w:p w:rsidR="00CE22FC" w:rsidRPr="00CE22FC" w:rsidRDefault="00CE22FC" w:rsidP="00CE22FC">
      <w:pPr>
        <w:pStyle w:val="af1"/>
        <w:numPr>
          <w:ilvl w:val="0"/>
          <w:numId w:val="1"/>
        </w:numPr>
        <w:spacing w:line="360" w:lineRule="auto"/>
        <w:ind w:firstLineChars="0"/>
        <w:rPr>
          <w:sz w:val="28"/>
          <w:szCs w:val="28"/>
        </w:rPr>
      </w:pPr>
      <w:r>
        <w:rPr>
          <w:sz w:val="28"/>
          <w:szCs w:val="28"/>
        </w:rPr>
        <w:t>Supplemental Table S1. Search strategy.</w:t>
      </w:r>
    </w:p>
    <w:p w:rsidR="00740AEB" w:rsidRDefault="00A54893" w:rsidP="00CE22FC">
      <w:pPr>
        <w:pStyle w:val="af1"/>
        <w:numPr>
          <w:ilvl w:val="0"/>
          <w:numId w:val="1"/>
        </w:numPr>
        <w:spacing w:line="360" w:lineRule="auto"/>
        <w:ind w:firstLineChars="0"/>
        <w:rPr>
          <w:sz w:val="28"/>
          <w:szCs w:val="28"/>
        </w:rPr>
      </w:pPr>
      <w:r>
        <w:rPr>
          <w:sz w:val="28"/>
          <w:szCs w:val="28"/>
        </w:rPr>
        <w:t xml:space="preserve">Supplementary Table </w:t>
      </w:r>
      <w:r>
        <w:rPr>
          <w:rFonts w:hint="eastAsia"/>
          <w:sz w:val="28"/>
          <w:szCs w:val="28"/>
        </w:rPr>
        <w:t>S</w:t>
      </w:r>
      <w:r w:rsidR="00CE22FC">
        <w:rPr>
          <w:sz w:val="28"/>
          <w:szCs w:val="28"/>
        </w:rPr>
        <w:t>2</w:t>
      </w:r>
      <w:r>
        <w:rPr>
          <w:sz w:val="28"/>
          <w:szCs w:val="28"/>
        </w:rPr>
        <w:t xml:space="preserve">. </w:t>
      </w:r>
      <w:r w:rsidR="00CE22FC" w:rsidRPr="00CE22FC">
        <w:rPr>
          <w:sz w:val="28"/>
          <w:szCs w:val="28"/>
        </w:rPr>
        <w:t>Summary table of intrinsic capacity assessment tools</w:t>
      </w:r>
      <w:r w:rsidR="00CE22FC">
        <w:rPr>
          <w:sz w:val="28"/>
          <w:szCs w:val="28"/>
        </w:rPr>
        <w:t>.</w:t>
      </w:r>
    </w:p>
    <w:p w:rsidR="00CE22FC" w:rsidRPr="00CE22FC" w:rsidRDefault="00CE22FC" w:rsidP="00CE22FC">
      <w:pPr>
        <w:pStyle w:val="af1"/>
        <w:numPr>
          <w:ilvl w:val="0"/>
          <w:numId w:val="1"/>
        </w:numPr>
        <w:spacing w:line="360" w:lineRule="auto"/>
        <w:ind w:firstLineChars="0"/>
        <w:rPr>
          <w:sz w:val="28"/>
          <w:szCs w:val="28"/>
        </w:rPr>
      </w:pPr>
      <w:r>
        <w:rPr>
          <w:sz w:val="28"/>
          <w:szCs w:val="28"/>
        </w:rPr>
        <w:t xml:space="preserve">Supplementary Table </w:t>
      </w:r>
      <w:r>
        <w:rPr>
          <w:rFonts w:hint="eastAsia"/>
          <w:sz w:val="28"/>
          <w:szCs w:val="28"/>
        </w:rPr>
        <w:t>S</w:t>
      </w:r>
      <w:r>
        <w:rPr>
          <w:sz w:val="28"/>
          <w:szCs w:val="28"/>
        </w:rPr>
        <w:t xml:space="preserve">3. </w:t>
      </w:r>
      <w:r w:rsidRPr="00CE22FC">
        <w:rPr>
          <w:sz w:val="28"/>
          <w:szCs w:val="28"/>
        </w:rPr>
        <w:t>Details on studies characteristics and main findings.</w:t>
      </w:r>
    </w:p>
    <w:p w:rsidR="00740AEB" w:rsidRDefault="00A54893">
      <w:pPr>
        <w:pStyle w:val="af1"/>
        <w:numPr>
          <w:ilvl w:val="0"/>
          <w:numId w:val="1"/>
        </w:numPr>
        <w:spacing w:line="360" w:lineRule="auto"/>
        <w:ind w:firstLineChars="0"/>
        <w:rPr>
          <w:sz w:val="28"/>
          <w:szCs w:val="28"/>
        </w:rPr>
      </w:pPr>
      <w:r>
        <w:rPr>
          <w:sz w:val="28"/>
          <w:szCs w:val="28"/>
        </w:rPr>
        <w:t>Supplementary Table S</w:t>
      </w:r>
      <w:r w:rsidR="00CE22FC">
        <w:rPr>
          <w:sz w:val="28"/>
          <w:szCs w:val="28"/>
        </w:rPr>
        <w:t>4</w:t>
      </w:r>
      <w:r>
        <w:rPr>
          <w:sz w:val="28"/>
          <w:szCs w:val="28"/>
        </w:rPr>
        <w:t>.Study quality assessment based on the Newcastle–Ottawa scale (NOS).</w:t>
      </w:r>
    </w:p>
    <w:p w:rsidR="00740AEB" w:rsidRDefault="00A54893">
      <w:pPr>
        <w:pStyle w:val="af1"/>
        <w:numPr>
          <w:ilvl w:val="0"/>
          <w:numId w:val="1"/>
        </w:numPr>
        <w:spacing w:line="360" w:lineRule="auto"/>
        <w:ind w:firstLineChars="0"/>
        <w:rPr>
          <w:rStyle w:val="ad"/>
          <w:color w:val="auto"/>
          <w:sz w:val="28"/>
          <w:szCs w:val="28"/>
          <w:u w:val="none"/>
        </w:rPr>
      </w:pPr>
      <w:r>
        <w:rPr>
          <w:sz w:val="28"/>
          <w:szCs w:val="28"/>
        </w:rPr>
        <w:t>Supplemental Table S</w:t>
      </w:r>
      <w:r w:rsidR="00CE22FC">
        <w:rPr>
          <w:sz w:val="28"/>
          <w:szCs w:val="28"/>
        </w:rPr>
        <w:t>5</w:t>
      </w:r>
      <w:r>
        <w:rPr>
          <w:sz w:val="28"/>
          <w:szCs w:val="28"/>
        </w:rPr>
        <w:t>. Assessment of latent trajectory analysis based on the Guidelines for reporting on latent trajectory studies (GRoLTS).</w:t>
      </w:r>
    </w:p>
    <w:p w:rsidR="00740AEB" w:rsidRDefault="00A54893">
      <w:pPr>
        <w:pStyle w:val="af1"/>
        <w:numPr>
          <w:ilvl w:val="0"/>
          <w:numId w:val="1"/>
        </w:numPr>
        <w:spacing w:line="360" w:lineRule="auto"/>
        <w:ind w:firstLineChars="0"/>
        <w:rPr>
          <w:sz w:val="28"/>
          <w:szCs w:val="28"/>
        </w:rPr>
      </w:pPr>
      <w:r>
        <w:rPr>
          <w:sz w:val="28"/>
          <w:szCs w:val="28"/>
        </w:rPr>
        <w:t>Supplementary Table S</w:t>
      </w:r>
      <w:r w:rsidR="00CE22FC">
        <w:rPr>
          <w:sz w:val="28"/>
          <w:szCs w:val="28"/>
        </w:rPr>
        <w:t>6</w:t>
      </w:r>
      <w:r>
        <w:rPr>
          <w:sz w:val="28"/>
          <w:szCs w:val="28"/>
        </w:rPr>
        <w:t>. Statistical methods used by studies conducting IC trajectory analysis</w:t>
      </w:r>
    </w:p>
    <w:p w:rsidR="00740AEB" w:rsidRDefault="00A54893">
      <w:pPr>
        <w:widowControl/>
        <w:spacing w:line="240" w:lineRule="auto"/>
        <w:ind w:firstLineChars="0" w:firstLine="0"/>
        <w:jc w:val="left"/>
        <w:rPr>
          <w:b/>
          <w:bCs/>
          <w:sz w:val="32"/>
          <w:szCs w:val="32"/>
        </w:rPr>
      </w:pPr>
      <w:r>
        <w:rPr>
          <w:b/>
          <w:bCs/>
          <w:sz w:val="32"/>
          <w:szCs w:val="32"/>
        </w:rPr>
        <w:br w:type="page"/>
      </w:r>
    </w:p>
    <w:p w:rsidR="00740AEB" w:rsidRDefault="00A54893">
      <w:pPr>
        <w:spacing w:line="360" w:lineRule="auto"/>
        <w:ind w:firstLineChars="0" w:firstLine="0"/>
        <w:rPr>
          <w:b/>
          <w:bCs/>
          <w:sz w:val="32"/>
          <w:szCs w:val="32"/>
        </w:rPr>
      </w:pPr>
      <w:bookmarkStart w:id="0" w:name="process"/>
      <w:r>
        <w:rPr>
          <w:b/>
          <w:bCs/>
          <w:szCs w:val="24"/>
        </w:rPr>
        <w:lastRenderedPageBreak/>
        <w:t>Methods on study selection, data collection, quality assessment</w:t>
      </w:r>
      <w:r>
        <w:rPr>
          <w:rFonts w:hint="eastAsia"/>
          <w:b/>
          <w:bCs/>
          <w:szCs w:val="24"/>
        </w:rPr>
        <w:t>,</w:t>
      </w:r>
      <w:r>
        <w:rPr>
          <w:b/>
          <w:bCs/>
          <w:szCs w:val="24"/>
        </w:rPr>
        <w:t xml:space="preserve"> and </w:t>
      </w:r>
      <w:r>
        <w:rPr>
          <w:b/>
          <w:bCs/>
        </w:rPr>
        <w:t>synthesis of results.</w:t>
      </w:r>
    </w:p>
    <w:bookmarkEnd w:id="0"/>
    <w:p w:rsidR="00740AEB" w:rsidRDefault="00A54893">
      <w:pPr>
        <w:pStyle w:val="af1"/>
        <w:numPr>
          <w:ilvl w:val="0"/>
          <w:numId w:val="2"/>
        </w:numPr>
        <w:ind w:firstLineChars="0"/>
        <w:rPr>
          <w:b/>
          <w:bCs/>
          <w:szCs w:val="24"/>
        </w:rPr>
      </w:pPr>
      <w:r>
        <w:rPr>
          <w:b/>
          <w:bCs/>
          <w:szCs w:val="24"/>
        </w:rPr>
        <w:t>Study selection</w:t>
      </w:r>
    </w:p>
    <w:p w:rsidR="00740AEB" w:rsidRDefault="00A54893">
      <w:pPr>
        <w:spacing w:line="360" w:lineRule="auto"/>
        <w:ind w:firstLineChars="0" w:firstLine="420"/>
        <w:rPr>
          <w:szCs w:val="24"/>
        </w:rPr>
      </w:pPr>
      <w:r>
        <w:rPr>
          <w:szCs w:val="24"/>
        </w:rPr>
        <w:t xml:space="preserve">A systematic search of the literature was conducted in the following electronic databases: PubMed, Embase, Web of Science and Ovid. The search strings combined variations of Medical subject headings (MeSH) terms as well as free texts in title, abstract, and keywords. </w:t>
      </w:r>
      <w:r>
        <w:rPr>
          <w:rFonts w:hint="eastAsia"/>
          <w:szCs w:val="24"/>
        </w:rPr>
        <w:t>Th</w:t>
      </w:r>
      <w:r>
        <w:rPr>
          <w:szCs w:val="24"/>
        </w:rPr>
        <w:t>e strategy included relevant words for the search terms Intrinsic capacity, trajectory (e.g., trajectory, group based, and mixture modeling).</w:t>
      </w:r>
    </w:p>
    <w:p w:rsidR="00740AEB" w:rsidRDefault="00A54893">
      <w:pPr>
        <w:spacing w:line="360" w:lineRule="auto"/>
        <w:ind w:firstLineChars="0" w:firstLine="420"/>
        <w:rPr>
          <w:szCs w:val="24"/>
        </w:rPr>
      </w:pPr>
      <w:r>
        <w:rPr>
          <w:szCs w:val="24"/>
        </w:rPr>
        <w:t>Relevant studies were screened at multiple stages. After systematical searches, citations were combined and duplicates were removed in Endnote21 software. Next, two authors (J.S. and MQ.S.) independently reviewed the titles and abstracts of all studies in Endnote21 software. Applying the inclusion/exclusion criteria mentioned in the article, studies were decided whether to be included for full text review. If the full-text of studies were unable to be retrieved, the corresponding author was emailed to provide the full-text study. Full-text screening was then undertaken independently by two authors (J.S. and MQ.S.). Since some published articles shared the same data sources but had different research questions, they were considered as separate studies. Disagreements at all stages were resolved by discussion, and if agreement was not possible, a senior researcher (Y.G.) made the final decision.</w:t>
      </w:r>
    </w:p>
    <w:p w:rsidR="00740AEB" w:rsidRDefault="00A54893">
      <w:pPr>
        <w:pStyle w:val="af1"/>
        <w:numPr>
          <w:ilvl w:val="0"/>
          <w:numId w:val="2"/>
        </w:numPr>
        <w:ind w:firstLineChars="0"/>
        <w:rPr>
          <w:b/>
          <w:bCs/>
          <w:szCs w:val="24"/>
        </w:rPr>
      </w:pPr>
      <w:r>
        <w:rPr>
          <w:b/>
          <w:bCs/>
          <w:szCs w:val="24"/>
        </w:rPr>
        <w:t>Data collection</w:t>
      </w:r>
    </w:p>
    <w:p w:rsidR="00740AEB" w:rsidRDefault="00A54893">
      <w:pPr>
        <w:spacing w:line="360" w:lineRule="auto"/>
        <w:ind w:firstLineChars="0" w:firstLine="420"/>
        <w:rPr>
          <w:szCs w:val="24"/>
        </w:rPr>
      </w:pPr>
      <w:r>
        <w:rPr>
          <w:szCs w:val="24"/>
        </w:rPr>
        <w:t xml:space="preserve">Using a standardized data collection form, data from the eligible studies were manually extracted by one author (N.T.) into Excel software (Microsoft, Redmond, United States). A second author (QQ.S.) reviewed for accuracy. Collected data included publication details, sample size and characteristics, the number and timing of assessments , the number and nature of trajectories identified, trajectory modeling and statistical approaches applied, </w:t>
      </w:r>
      <w:r>
        <w:rPr>
          <w:rFonts w:hint="eastAsia"/>
          <w:szCs w:val="24"/>
        </w:rPr>
        <w:t>and</w:t>
      </w:r>
      <w:r>
        <w:rPr>
          <w:szCs w:val="24"/>
        </w:rPr>
        <w:t xml:space="preserve"> outcomes</w:t>
      </w:r>
      <w:r>
        <w:rPr>
          <w:rFonts w:hint="eastAsia"/>
          <w:szCs w:val="24"/>
        </w:rPr>
        <w:t>.</w:t>
      </w:r>
      <w:r>
        <w:rPr>
          <w:szCs w:val="24"/>
        </w:rPr>
        <w:t xml:space="preserve"> </w:t>
      </w:r>
    </w:p>
    <w:p w:rsidR="00740AEB" w:rsidRDefault="00A54893">
      <w:pPr>
        <w:pStyle w:val="af1"/>
        <w:numPr>
          <w:ilvl w:val="0"/>
          <w:numId w:val="2"/>
        </w:numPr>
        <w:spacing w:line="360" w:lineRule="auto"/>
        <w:ind w:firstLineChars="0"/>
        <w:rPr>
          <w:b/>
          <w:bCs/>
          <w:szCs w:val="24"/>
        </w:rPr>
      </w:pPr>
      <w:r>
        <w:rPr>
          <w:b/>
          <w:bCs/>
          <w:szCs w:val="24"/>
        </w:rPr>
        <w:t>Quality assessment</w:t>
      </w:r>
    </w:p>
    <w:p w:rsidR="00740AEB" w:rsidRDefault="00A54893">
      <w:pPr>
        <w:spacing w:line="360" w:lineRule="auto"/>
        <w:ind w:firstLineChars="0" w:firstLine="420"/>
        <w:rPr>
          <w:szCs w:val="24"/>
        </w:rPr>
      </w:pPr>
      <w:bookmarkStart w:id="1" w:name="OLE_LINK3"/>
      <w:bookmarkStart w:id="2" w:name="OLE_LINK2"/>
      <w:r>
        <w:rPr>
          <w:szCs w:val="24"/>
        </w:rPr>
        <w:t xml:space="preserve">The included studies were evaluated using two tools: the Newcastle-Ottawa quality assessment scale for cohort studies (NOS), and the Guidelines for reporting on latent trajectory studies (GRoLTS). </w:t>
      </w:r>
      <w:r>
        <w:rPr>
          <w:rFonts w:cs="Times New Roman"/>
          <w:szCs w:val="24"/>
        </w:rPr>
        <w:t xml:space="preserve">The NOS scale is a multidimensional evaluation tool that includes three dimensions with a total of 8 items, specifically including 4 items on the selection of research subjects, one item on the comparability between groups, and three items on the measurement of results. In the scoring system, except for the comparability between groups item which can </w:t>
      </w:r>
      <w:r>
        <w:rPr>
          <w:rFonts w:cs="Times New Roman"/>
          <w:szCs w:val="24"/>
        </w:rPr>
        <w:lastRenderedPageBreak/>
        <w:t xml:space="preserve">score up to 2 points, each item can score up to 1 point, with a total score ranging from 0 to 9 points. Studies with scores of 5 or above are considered high-quality. In addition, for the method of trajectory modeling in the articles, a latent trajectory model was adopted, and the quality was evaluated according to </w:t>
      </w:r>
      <w:r>
        <w:rPr>
          <w:rFonts w:cs="Times New Roman" w:hint="eastAsia"/>
          <w:szCs w:val="24"/>
        </w:rPr>
        <w:t>the</w:t>
      </w:r>
      <w:r>
        <w:rPr>
          <w:rFonts w:cs="Times New Roman"/>
          <w:szCs w:val="24"/>
        </w:rPr>
        <w:t xml:space="preserve"> GRoLTS. The purpose of GRoLTS is to provide a unified standard for reporting latent trajectory analysis results in different research fields, to enhance the consistency of reporting, to make the results fully transparent, and to facilitate comparison, replication, systematic evaluation, and meta-analysis, including 21 items, each item scored as 0 (not reported) or 1 (reported). </w:t>
      </w:r>
      <w:r>
        <w:rPr>
          <w:szCs w:val="24"/>
        </w:rPr>
        <w:t xml:space="preserve">The GRoLTS provides a standard for evaluating the rationality, adequacy, and transparency of latent trajectory modeling. It uses a list of 16 items (some with subitems) to appraise whether all essential aspects (e.g., metric of time, missing data mechanism, software, model comparison, and plot of final solution) are well considered and reported in latent trajectory analysis. The items can be scored 0 (not reported) or 1 (reported), and the sum score for GRoLTS items represents trajectory quality. Two </w:t>
      </w:r>
      <w:r>
        <w:rPr>
          <w:rFonts w:hint="eastAsia"/>
          <w:szCs w:val="24"/>
        </w:rPr>
        <w:t>authors</w:t>
      </w:r>
      <w:r>
        <w:rPr>
          <w:szCs w:val="24"/>
        </w:rPr>
        <w:t xml:space="preserve"> (J.S. and QQ.S.) independently completed the appraisal for all included studies.</w:t>
      </w:r>
      <w:bookmarkEnd w:id="1"/>
      <w:bookmarkEnd w:id="2"/>
    </w:p>
    <w:p w:rsidR="00740AEB" w:rsidRDefault="00A54893">
      <w:pPr>
        <w:pStyle w:val="af1"/>
        <w:numPr>
          <w:ilvl w:val="0"/>
          <w:numId w:val="2"/>
        </w:numPr>
        <w:spacing w:line="360" w:lineRule="auto"/>
        <w:ind w:firstLineChars="0"/>
        <w:rPr>
          <w:b/>
          <w:bCs/>
          <w:szCs w:val="24"/>
        </w:rPr>
      </w:pPr>
      <w:bookmarkStart w:id="3" w:name="OLE_LINK10"/>
      <w:bookmarkStart w:id="4" w:name="OLE_LINK11"/>
      <w:r>
        <w:rPr>
          <w:b/>
          <w:bCs/>
        </w:rPr>
        <w:t>Synthesis of results</w:t>
      </w:r>
      <w:bookmarkEnd w:id="3"/>
      <w:bookmarkEnd w:id="4"/>
    </w:p>
    <w:p w:rsidR="00740AEB" w:rsidRDefault="00A54893">
      <w:pPr>
        <w:spacing w:line="360" w:lineRule="auto"/>
        <w:ind w:firstLineChars="0" w:firstLine="360"/>
        <w:rPr>
          <w:szCs w:val="24"/>
        </w:rPr>
      </w:pPr>
      <w:r>
        <w:rPr>
          <w:szCs w:val="24"/>
        </w:rPr>
        <w:t>Due to significant heterogeneity among the included studies, an effective meta-analysis could not be conducted. The specific sources of heterogeneity are as follows:</w:t>
      </w:r>
    </w:p>
    <w:p w:rsidR="00740AEB" w:rsidRDefault="00A54893">
      <w:pPr>
        <w:spacing w:line="360" w:lineRule="auto"/>
        <w:ind w:firstLineChars="0"/>
        <w:rPr>
          <w:rFonts w:cs="Times New Roman"/>
          <w:bCs/>
          <w:szCs w:val="24"/>
        </w:rPr>
      </w:pPr>
      <w:r>
        <w:rPr>
          <w:rFonts w:cs="Times New Roman"/>
          <w:szCs w:val="24"/>
        </w:rPr>
        <w:t xml:space="preserve">4.1 </w:t>
      </w:r>
      <w:r>
        <w:rPr>
          <w:rFonts w:cs="Times New Roman"/>
          <w:bCs/>
          <w:szCs w:val="24"/>
        </w:rPr>
        <w:t>Heterogeneity in Study Populations</w:t>
      </w:r>
    </w:p>
    <w:p w:rsidR="00740AEB" w:rsidRDefault="00A54893">
      <w:pPr>
        <w:spacing w:line="360" w:lineRule="auto"/>
        <w:ind w:firstLineChars="0" w:firstLine="480"/>
        <w:rPr>
          <w:rFonts w:cs="Times New Roman"/>
          <w:bCs/>
          <w:szCs w:val="24"/>
        </w:rPr>
      </w:pPr>
      <w:r>
        <w:rPr>
          <w:rFonts w:cs="Times New Roman"/>
          <w:bCs/>
          <w:szCs w:val="24"/>
        </w:rPr>
        <w:t>There are significant differences in demographic characteristics: the age inclusion criteria span a wide range, from a lower limit of</w:t>
      </w:r>
      <w:r w:rsidRPr="00B9619B">
        <w:rPr>
          <w:rFonts w:cs="Times New Roman"/>
          <w:bCs/>
          <w:szCs w:val="24"/>
        </w:rPr>
        <w:t xml:space="preserve"> ≥50 years [1] to ≥75 years[2], with the average age distribution ranging from 64.9 years [3]to 83.7 years[2]. The study population characteristics are highly heterogeneous, covering community-dwelling elderly individuals [6], nursing home residents[1], and multi-ethnic groups[4], among others. </w:t>
      </w:r>
    </w:p>
    <w:p w:rsidR="00740AEB" w:rsidRDefault="00A54893">
      <w:pPr>
        <w:spacing w:line="360" w:lineRule="auto"/>
        <w:ind w:firstLineChars="0"/>
        <w:rPr>
          <w:rFonts w:cs="Times New Roman"/>
          <w:bCs/>
          <w:szCs w:val="24"/>
        </w:rPr>
      </w:pPr>
      <w:r>
        <w:rPr>
          <w:rFonts w:cs="Times New Roman"/>
          <w:bCs/>
          <w:szCs w:val="24"/>
        </w:rPr>
        <w:t>4.2 Heterogeneity in Follow-up Design and Assessment Intervals</w:t>
      </w:r>
      <w:bookmarkStart w:id="5" w:name="_GoBack"/>
      <w:bookmarkEnd w:id="5"/>
    </w:p>
    <w:p w:rsidR="00740AEB" w:rsidRDefault="00A54893">
      <w:pPr>
        <w:spacing w:line="360" w:lineRule="auto"/>
        <w:ind w:firstLineChars="0" w:firstLine="0"/>
        <w:rPr>
          <w:rFonts w:cs="Times New Roman"/>
          <w:bCs/>
          <w:szCs w:val="24"/>
        </w:rPr>
      </w:pPr>
      <w:r>
        <w:rPr>
          <w:rFonts w:cs="Times New Roman"/>
          <w:bCs/>
          <w:szCs w:val="24"/>
        </w:rPr>
        <w:t>There are significant methodological differences in longitudinal study designs: the follow-up periods range from 1 year [5] to 21 years [6]. The assessment time points are also highly variable. For example, Erwin et al. (2021)</w:t>
      </w:r>
      <w:r w:rsidR="0082198A">
        <w:rPr>
          <w:rFonts w:cs="Times New Roman"/>
          <w:bCs/>
          <w:szCs w:val="24"/>
        </w:rPr>
        <w:t xml:space="preserve"> </w:t>
      </w:r>
      <w:r>
        <w:rPr>
          <w:rFonts w:cs="Times New Roman"/>
          <w:bCs/>
          <w:szCs w:val="24"/>
        </w:rPr>
        <w:t>[6] conducted assessments every 18 months, while Meng et al. (2023) [7]</w:t>
      </w:r>
      <w:r w:rsidR="0082198A">
        <w:rPr>
          <w:rFonts w:cs="Times New Roman"/>
          <w:bCs/>
          <w:szCs w:val="24"/>
        </w:rPr>
        <w:t xml:space="preserve"> </w:t>
      </w:r>
      <w:r>
        <w:rPr>
          <w:rFonts w:cs="Times New Roman"/>
          <w:bCs/>
          <w:szCs w:val="24"/>
        </w:rPr>
        <w:t>implemented only four assessments between 1996 and 2007 (with intervals of 3-4 years).</w:t>
      </w:r>
    </w:p>
    <w:p w:rsidR="00740AEB" w:rsidRDefault="00A54893">
      <w:pPr>
        <w:spacing w:line="360" w:lineRule="auto"/>
        <w:ind w:firstLineChars="100" w:firstLine="240"/>
        <w:rPr>
          <w:rFonts w:cs="Times New Roman"/>
          <w:bCs/>
          <w:szCs w:val="24"/>
        </w:rPr>
      </w:pPr>
      <w:r>
        <w:rPr>
          <w:rFonts w:cs="Times New Roman"/>
          <w:bCs/>
          <w:szCs w:val="24"/>
        </w:rPr>
        <w:t>4.3 Heterogeneity in IC Assessment Tools and Indicator Construction</w:t>
      </w:r>
    </w:p>
    <w:p w:rsidR="00740AEB" w:rsidRDefault="00A54893">
      <w:pPr>
        <w:spacing w:line="360" w:lineRule="auto"/>
        <w:ind w:firstLineChars="0" w:firstLine="420"/>
        <w:rPr>
          <w:rFonts w:cs="Times New Roman"/>
          <w:bCs/>
          <w:szCs w:val="24"/>
        </w:rPr>
      </w:pPr>
      <w:r>
        <w:rPr>
          <w:rFonts w:cs="Times New Roman"/>
          <w:bCs/>
          <w:szCs w:val="24"/>
        </w:rPr>
        <w:lastRenderedPageBreak/>
        <w:t>The measurement tools lack standardization: Cognitive domain were assessed using diverse scales, including the Mini-Mental State Examination (MMSE), Short Portable Mental Status Questionnaire (SPMSQ), and so on. Locomotion domain evaluations demonstrated greater methodological heterogeneity, incorporating the Short Physical Performance Battery (SPPB), five-times sit-to-stand tests [8], and so on, complicating data standardization (Detail information refer to Supplementary Table S1).</w:t>
      </w:r>
    </w:p>
    <w:p w:rsidR="00740AEB" w:rsidRDefault="00A54893">
      <w:pPr>
        <w:spacing w:line="360" w:lineRule="auto"/>
        <w:ind w:firstLineChars="100" w:firstLine="240"/>
        <w:rPr>
          <w:rFonts w:cs="Times New Roman"/>
          <w:bCs/>
          <w:szCs w:val="24"/>
        </w:rPr>
      </w:pPr>
      <w:r>
        <w:rPr>
          <w:rFonts w:cs="Times New Roman"/>
          <w:bCs/>
          <w:szCs w:val="24"/>
        </w:rPr>
        <w:t>4.4 Heterogeneity in Statistical Modeling Methods</w:t>
      </w:r>
    </w:p>
    <w:p w:rsidR="00740AEB" w:rsidRDefault="00A54893">
      <w:pPr>
        <w:spacing w:line="360" w:lineRule="auto"/>
        <w:ind w:firstLineChars="0" w:firstLine="420"/>
        <w:rPr>
          <w:rFonts w:cs="Times New Roman"/>
          <w:bCs/>
          <w:szCs w:val="24"/>
        </w:rPr>
      </w:pPr>
      <w:r>
        <w:rPr>
          <w:rFonts w:cs="Times New Roman"/>
          <w:bCs/>
          <w:szCs w:val="24"/>
        </w:rPr>
        <w:t>There is significant diversity in trajectory analysis methodology: it includes a variety of methods such as the Growth Mixture Model (GMM</w:t>
      </w:r>
      <w:r w:rsidR="0082198A">
        <w:rPr>
          <w:rFonts w:cs="Times New Roman"/>
          <w:bCs/>
          <w:szCs w:val="24"/>
        </w:rPr>
        <w:t>) [</w:t>
      </w:r>
      <w:r>
        <w:rPr>
          <w:rFonts w:cs="Times New Roman"/>
          <w:bCs/>
          <w:szCs w:val="24"/>
        </w:rPr>
        <w:t>3], Group-based Trajectory Model (GBTM)[8], Latent Transition Analysis (LTA)[5], and Sankey diagram[4]. Different models have varying basic assumptions about trajectory shapes. There is a lack of consistency in model selection criteria: some studies rely on information criteria (Akaike Information Criterion; BIC(AIC)/Bayesian Information Criterion(BIC</w:t>
      </w:r>
      <w:r w:rsidR="0082198A">
        <w:rPr>
          <w:rFonts w:cs="Times New Roman"/>
          <w:bCs/>
          <w:szCs w:val="24"/>
        </w:rPr>
        <w:t>) [</w:t>
      </w:r>
      <w:r>
        <w:rPr>
          <w:rFonts w:cs="Times New Roman"/>
          <w:bCs/>
          <w:szCs w:val="24"/>
        </w:rPr>
        <w:t>9], while others use comprehensive entropy values or likelihood ratio tests (LMR-</w:t>
      </w:r>
      <w:r w:rsidR="0082198A">
        <w:rPr>
          <w:rFonts w:cs="Times New Roman"/>
          <w:bCs/>
          <w:szCs w:val="24"/>
        </w:rPr>
        <w:t>LRT) [</w:t>
      </w:r>
      <w:r>
        <w:rPr>
          <w:rFonts w:cs="Times New Roman"/>
          <w:bCs/>
          <w:szCs w:val="24"/>
        </w:rPr>
        <w:t>3].</w:t>
      </w:r>
    </w:p>
    <w:p w:rsidR="00CC4141" w:rsidRPr="00CC4141" w:rsidRDefault="00CC4141" w:rsidP="00CC4141">
      <w:pPr>
        <w:spacing w:line="360" w:lineRule="auto"/>
        <w:ind w:firstLineChars="0"/>
        <w:rPr>
          <w:rFonts w:cs="Times New Roman"/>
          <w:bCs/>
          <w:szCs w:val="24"/>
        </w:rPr>
      </w:pPr>
      <w:r w:rsidRPr="00CC4141">
        <w:rPr>
          <w:rFonts w:cs="Times New Roman"/>
          <w:bCs/>
          <w:szCs w:val="24"/>
        </w:rPr>
        <w:t>4.5 Heterogeneity in IC Trajectory Classification</w:t>
      </w:r>
    </w:p>
    <w:p w:rsidR="00CC4141" w:rsidRPr="00CC4141" w:rsidRDefault="00CC4141" w:rsidP="00CC4141">
      <w:pPr>
        <w:spacing w:line="360" w:lineRule="auto"/>
        <w:ind w:firstLineChars="0" w:firstLine="420"/>
        <w:rPr>
          <w:rFonts w:cs="Times New Roman"/>
          <w:bCs/>
          <w:szCs w:val="24"/>
        </w:rPr>
      </w:pPr>
      <w:r w:rsidRPr="00CC4141">
        <w:rPr>
          <w:rFonts w:cs="Times New Roman"/>
          <w:bCs/>
          <w:szCs w:val="24"/>
        </w:rPr>
        <w:t>There is a marked heterogeneity in the classification of IC trajectories across different studies. When IC is integrated into a single value for trajectory exploration, the number of IC trajectory classifications varies among studies. For instance, Aaron et al. (</w:t>
      </w:r>
      <w:r w:rsidR="0082198A" w:rsidRPr="00CC4141">
        <w:rPr>
          <w:rFonts w:cs="Times New Roman"/>
          <w:bCs/>
          <w:szCs w:val="24"/>
        </w:rPr>
        <w:t>2022)</w:t>
      </w:r>
      <w:r w:rsidR="0082198A">
        <w:rPr>
          <w:rFonts w:cs="Times New Roman"/>
          <w:bCs/>
          <w:szCs w:val="24"/>
        </w:rPr>
        <w:t xml:space="preserve"> [</w:t>
      </w:r>
      <w:r w:rsidR="00A76B2F">
        <w:rPr>
          <w:rFonts w:cs="Times New Roman"/>
          <w:bCs/>
          <w:szCs w:val="24"/>
        </w:rPr>
        <w:t>10]</w:t>
      </w:r>
      <w:r w:rsidRPr="00CC4141">
        <w:rPr>
          <w:rFonts w:cs="Times New Roman"/>
          <w:bCs/>
          <w:szCs w:val="24"/>
        </w:rPr>
        <w:t xml:space="preserve"> categorized IC trajectories into three classes: low baseline IC with a steeply decreasing trajectory, moderate baseline IC with a slightly decreasing trajectory, and high baseline IC with a slightly increasing trajectory. In contrast, Lu et al. (2023) </w:t>
      </w:r>
      <w:r w:rsidR="00A76B2F">
        <w:rPr>
          <w:rFonts w:cs="Times New Roman"/>
          <w:bCs/>
          <w:szCs w:val="24"/>
        </w:rPr>
        <w:t>[</w:t>
      </w:r>
      <w:r w:rsidR="0082198A">
        <w:rPr>
          <w:rFonts w:cs="Times New Roman"/>
          <w:bCs/>
          <w:szCs w:val="24"/>
        </w:rPr>
        <w:t>11]</w:t>
      </w:r>
      <w:r w:rsidR="0082198A" w:rsidRPr="00CC4141">
        <w:rPr>
          <w:rFonts w:cs="Times New Roman"/>
          <w:bCs/>
          <w:szCs w:val="24"/>
        </w:rPr>
        <w:t xml:space="preserve"> identified</w:t>
      </w:r>
      <w:r w:rsidRPr="00CC4141">
        <w:rPr>
          <w:rFonts w:cs="Times New Roman"/>
          <w:bCs/>
          <w:szCs w:val="24"/>
        </w:rPr>
        <w:t xml:space="preserve"> four distinct trajectories: low baseline IC with a steep decline, moderate baseline IC with a moderate decline, moderate baseline IC with a slight decline, and high baseline IC with a very slight decline. This demonstrates that when IC is combined into a single value for analysis, different studies, based on their own samples and research objectives, have varying numbers of IC trajectory classifications, ranging from three to four. Moreover, this classification method focuses more on grasping the overall trend of IC trajectories.</w:t>
      </w:r>
    </w:p>
    <w:p w:rsidR="00CC4141" w:rsidRPr="00967B95" w:rsidRDefault="00CC4141" w:rsidP="00CC4141">
      <w:pPr>
        <w:spacing w:line="360" w:lineRule="auto"/>
        <w:ind w:firstLineChars="0" w:firstLine="420"/>
        <w:rPr>
          <w:rFonts w:cs="Times New Roman"/>
          <w:bCs/>
          <w:szCs w:val="24"/>
        </w:rPr>
      </w:pPr>
      <w:r w:rsidRPr="00CC4141">
        <w:rPr>
          <w:rFonts w:cs="Times New Roman"/>
          <w:bCs/>
          <w:szCs w:val="24"/>
        </w:rPr>
        <w:t>When exploring the trajectories of each IC domain, the number of IC trajectory classifications becomes even more complex and diverse. The study by Lu et al. (</w:t>
      </w:r>
      <w:r w:rsidR="0082198A" w:rsidRPr="00CC4141">
        <w:rPr>
          <w:rFonts w:cs="Times New Roman"/>
          <w:bCs/>
          <w:szCs w:val="24"/>
        </w:rPr>
        <w:t>2023)</w:t>
      </w:r>
      <w:r w:rsidR="0082198A">
        <w:rPr>
          <w:rFonts w:cs="Times New Roman"/>
          <w:bCs/>
          <w:szCs w:val="24"/>
        </w:rPr>
        <w:t xml:space="preserve"> [</w:t>
      </w:r>
      <w:r w:rsidR="00A76B2F">
        <w:rPr>
          <w:rFonts w:cs="Times New Roman"/>
          <w:bCs/>
          <w:szCs w:val="24"/>
        </w:rPr>
        <w:t>11]</w:t>
      </w:r>
      <w:r w:rsidRPr="00CC4141">
        <w:rPr>
          <w:rFonts w:cs="Times New Roman"/>
          <w:bCs/>
          <w:szCs w:val="24"/>
        </w:rPr>
        <w:t xml:space="preserve"> found multiple trajectory patterns, includ</w:t>
      </w:r>
      <w:r>
        <w:rPr>
          <w:rFonts w:cs="Times New Roman"/>
          <w:bCs/>
          <w:szCs w:val="24"/>
        </w:rPr>
        <w:t>ing trajectories with low in all domains, low</w:t>
      </w:r>
      <w:r w:rsidRPr="00CC4141">
        <w:rPr>
          <w:rFonts w:cs="Times New Roman"/>
          <w:bCs/>
          <w:szCs w:val="24"/>
        </w:rPr>
        <w:t xml:space="preserve"> </w:t>
      </w:r>
      <w:r w:rsidRPr="00CC4141">
        <w:rPr>
          <w:rFonts w:cs="Times New Roman"/>
          <w:bCs/>
          <w:szCs w:val="24"/>
        </w:rPr>
        <w:lastRenderedPageBreak/>
        <w:t>locomotion domain, low psychological domain, robust, and robust with high vitality. In addition, this method of classifying trajectories by each IC domain not only focuses on the changes in individual domains but also involves the combined changes in multiple domains. This allows for a more detailed reflection of the joint trends across multiple IC domains. However, due to its complexity, the number of trajectory classifications is larger and more varied.</w:t>
      </w:r>
    </w:p>
    <w:p w:rsidR="00740AEB" w:rsidRDefault="00CC4141">
      <w:pPr>
        <w:spacing w:line="360" w:lineRule="auto"/>
        <w:ind w:firstLineChars="0"/>
        <w:rPr>
          <w:rFonts w:cs="Times New Roman"/>
          <w:bCs/>
          <w:szCs w:val="24"/>
        </w:rPr>
      </w:pPr>
      <w:bookmarkStart w:id="6" w:name="OLE_LINK24"/>
      <w:bookmarkStart w:id="7" w:name="OLE_LINK22"/>
      <w:bookmarkStart w:id="8" w:name="OLE_LINK21"/>
      <w:bookmarkStart w:id="9" w:name="OLE_LINK23"/>
      <w:bookmarkStart w:id="10" w:name="OLE_LINK25"/>
      <w:bookmarkStart w:id="11" w:name="OLE_LINK20"/>
      <w:r>
        <w:rPr>
          <w:rFonts w:cs="Times New Roman"/>
          <w:bCs/>
          <w:szCs w:val="24"/>
        </w:rPr>
        <w:t>4.6</w:t>
      </w:r>
      <w:r w:rsidR="00A54893">
        <w:rPr>
          <w:rFonts w:cs="Times New Roman"/>
          <w:bCs/>
          <w:szCs w:val="24"/>
        </w:rPr>
        <w:t xml:space="preserve"> Heterogeneity in Outcome Indicators</w:t>
      </w:r>
    </w:p>
    <w:p w:rsidR="00740AEB" w:rsidRDefault="00A54893">
      <w:pPr>
        <w:spacing w:line="360" w:lineRule="auto"/>
        <w:ind w:firstLineChars="0" w:firstLine="420"/>
        <w:rPr>
          <w:rFonts w:cs="Times New Roman"/>
          <w:bCs/>
          <w:szCs w:val="24"/>
        </w:rPr>
      </w:pPr>
      <w:r>
        <w:rPr>
          <w:rFonts w:cs="Times New Roman"/>
          <w:bCs/>
          <w:szCs w:val="24"/>
        </w:rPr>
        <w:t xml:space="preserve">The selection of study endpoints shows high heterogeneity: the main outcome indicators cover a diverse range of dimensions, including Activities of Daily Living (ADL) impairment [6], frailty </w:t>
      </w:r>
      <w:r w:rsidR="0082198A">
        <w:rPr>
          <w:rFonts w:cs="Times New Roman"/>
          <w:bCs/>
          <w:szCs w:val="24"/>
        </w:rPr>
        <w:t>status [</w:t>
      </w:r>
      <w:r>
        <w:rPr>
          <w:rFonts w:cs="Times New Roman"/>
          <w:bCs/>
          <w:szCs w:val="24"/>
        </w:rPr>
        <w:t xml:space="preserve">4], mortality [5], and social determinants [8]. </w:t>
      </w:r>
    </w:p>
    <w:p w:rsidR="00740AEB" w:rsidRDefault="00A54893">
      <w:pPr>
        <w:spacing w:line="360" w:lineRule="auto"/>
        <w:ind w:firstLineChars="0" w:firstLine="420"/>
        <w:rPr>
          <w:rFonts w:cs="Times New Roman"/>
          <w:szCs w:val="24"/>
        </w:rPr>
      </w:pPr>
      <w:r>
        <w:rPr>
          <w:rFonts w:cs="Times New Roman"/>
          <w:szCs w:val="24"/>
        </w:rPr>
        <w:t>Given these multidimensional differences, meta-analysis is not feasible, and thus a qualitative analysis method is used to integrate the studies</w:t>
      </w:r>
      <w:bookmarkEnd w:id="6"/>
      <w:bookmarkEnd w:id="7"/>
      <w:bookmarkEnd w:id="8"/>
      <w:bookmarkEnd w:id="9"/>
      <w:bookmarkEnd w:id="10"/>
      <w:bookmarkEnd w:id="11"/>
      <w:r>
        <w:rPr>
          <w:rFonts w:cs="Times New Roman"/>
          <w:szCs w:val="24"/>
        </w:rPr>
        <w:t xml:space="preserve">. For the synthesis of results within this systematic review, we categorized the findings based on key parameters of IC, emphasizing the similarities and differences across studies. According to the IC index group report: IC composite as a single value of the trajectories group and according to the IC domain classification trajectories group. The synthesis method also involved a critical appraisal of the influencing factors on IC trajectories and paid close attention to the health outcomes associated with IC trajectories.                                                                                                                                                                                                                                                                                                                                                                   </w:t>
      </w:r>
    </w:p>
    <w:p w:rsidR="00740AEB" w:rsidRDefault="00740AEB">
      <w:pPr>
        <w:spacing w:line="360" w:lineRule="auto"/>
        <w:ind w:firstLineChars="0" w:firstLine="0"/>
        <w:rPr>
          <w:rFonts w:cs="Times New Roman"/>
          <w:szCs w:val="24"/>
        </w:rPr>
      </w:pPr>
    </w:p>
    <w:p w:rsidR="00740AEB" w:rsidRDefault="00A54893">
      <w:pPr>
        <w:spacing w:line="360" w:lineRule="auto"/>
        <w:ind w:firstLineChars="0" w:firstLine="0"/>
        <w:rPr>
          <w:rFonts w:cs="Times New Roman"/>
          <w:szCs w:val="24"/>
        </w:rPr>
      </w:pPr>
      <w:r>
        <w:rPr>
          <w:rFonts w:cs="Times New Roman"/>
          <w:szCs w:val="24"/>
        </w:rPr>
        <w:t>References</w:t>
      </w:r>
    </w:p>
    <w:p w:rsidR="00740AEB" w:rsidRDefault="00A54893" w:rsidP="0082198A">
      <w:pPr>
        <w:spacing w:line="360" w:lineRule="auto"/>
        <w:ind w:firstLineChars="0" w:firstLine="0"/>
        <w:rPr>
          <w:rFonts w:cs="Times New Roman"/>
          <w:szCs w:val="24"/>
        </w:rPr>
      </w:pPr>
      <w:r>
        <w:rPr>
          <w:rFonts w:cs="Times New Roman"/>
          <w:szCs w:val="24"/>
        </w:rPr>
        <w:t>[</w:t>
      </w:r>
      <w:r w:rsidR="0082198A">
        <w:rPr>
          <w:rFonts w:cs="Times New Roman"/>
          <w:szCs w:val="24"/>
        </w:rPr>
        <w:t>1] Chen</w:t>
      </w:r>
      <w:r>
        <w:rPr>
          <w:rFonts w:cs="Times New Roman"/>
          <w:szCs w:val="24"/>
        </w:rPr>
        <w:t xml:space="preserve"> JJ, Liu LF, Chang SM. </w:t>
      </w:r>
      <w:bookmarkStart w:id="12" w:name="OLE_LINK72"/>
      <w:bookmarkStart w:id="13" w:name="OLE_LINK71"/>
      <w:r>
        <w:rPr>
          <w:rFonts w:cs="Times New Roman"/>
          <w:szCs w:val="24"/>
        </w:rPr>
        <w:t>Approaching person-centered long-term care: The trajectories of intrinsic capacity and functional decline in Taiwan</w:t>
      </w:r>
      <w:bookmarkEnd w:id="12"/>
      <w:bookmarkEnd w:id="13"/>
      <w:r>
        <w:rPr>
          <w:rFonts w:cs="Times New Roman"/>
          <w:szCs w:val="24"/>
        </w:rPr>
        <w:t>. Geriatr Gerontol Int 2022, 22(7):516-522.</w:t>
      </w:r>
    </w:p>
    <w:p w:rsidR="00740AEB" w:rsidRDefault="00A54893" w:rsidP="0082198A">
      <w:pPr>
        <w:spacing w:line="360" w:lineRule="auto"/>
        <w:ind w:firstLineChars="0" w:firstLine="0"/>
        <w:rPr>
          <w:rFonts w:cs="Times New Roman"/>
          <w:szCs w:val="24"/>
        </w:rPr>
      </w:pPr>
      <w:r>
        <w:rPr>
          <w:rFonts w:cs="Times New Roman"/>
          <w:szCs w:val="24"/>
        </w:rPr>
        <w:t>[</w:t>
      </w:r>
      <w:r w:rsidR="0082198A">
        <w:rPr>
          <w:rFonts w:cs="Times New Roman"/>
          <w:szCs w:val="24"/>
        </w:rPr>
        <w:t>2] Liu</w:t>
      </w:r>
      <w:r>
        <w:rPr>
          <w:rFonts w:cs="Times New Roman"/>
          <w:szCs w:val="24"/>
        </w:rPr>
        <w:t xml:space="preserve"> S, Kang L, Liu X, Zhao S, Wang X, Li J, Jiang S. </w:t>
      </w:r>
      <w:bookmarkStart w:id="14" w:name="OLE_LINK57"/>
      <w:bookmarkStart w:id="15" w:name="OLE_LINK58"/>
      <w:r>
        <w:rPr>
          <w:rFonts w:cs="Times New Roman"/>
          <w:szCs w:val="24"/>
        </w:rPr>
        <w:t>Trajectory and correlation of intrinsic capacity and frailty in a beijing elderly community</w:t>
      </w:r>
      <w:bookmarkEnd w:id="14"/>
      <w:bookmarkEnd w:id="15"/>
      <w:r>
        <w:rPr>
          <w:rFonts w:cs="Times New Roman"/>
          <w:szCs w:val="24"/>
        </w:rPr>
        <w:t>. Front Med (Lausanne) 2021, 8:751586.</w:t>
      </w:r>
    </w:p>
    <w:p w:rsidR="00740AEB" w:rsidRDefault="00A54893" w:rsidP="0082198A">
      <w:pPr>
        <w:spacing w:line="360" w:lineRule="auto"/>
        <w:ind w:firstLineChars="0" w:firstLine="0"/>
        <w:rPr>
          <w:szCs w:val="24"/>
        </w:rPr>
      </w:pPr>
      <w:r>
        <w:rPr>
          <w:szCs w:val="24"/>
        </w:rPr>
        <w:t>[3]</w:t>
      </w:r>
      <w:r>
        <w:rPr>
          <w:szCs w:val="24"/>
        </w:rPr>
        <w:tab/>
        <w:t>Salinas-Rodríguez A, Fernández-Niño JA, Rivera-Almaraz A, Manrique-Espinoza B. Intrinsic capacity trajectories and socioeconomic inequalities in health: the contributions of wealth, education, gender, and ethnicity. Int J Equity Health 2024, 23(1):48.</w:t>
      </w:r>
    </w:p>
    <w:p w:rsidR="00740AEB" w:rsidRDefault="00A54893" w:rsidP="0082198A">
      <w:pPr>
        <w:spacing w:line="360" w:lineRule="auto"/>
        <w:ind w:firstLineChars="0" w:firstLine="0"/>
        <w:rPr>
          <w:rFonts w:cs="Times New Roman"/>
          <w:szCs w:val="24"/>
        </w:rPr>
      </w:pPr>
      <w:r>
        <w:rPr>
          <w:rFonts w:cs="Times New Roman"/>
          <w:szCs w:val="24"/>
        </w:rPr>
        <w:t>[4]</w:t>
      </w:r>
      <w:r w:rsidR="0082198A">
        <w:rPr>
          <w:rFonts w:cs="Times New Roman"/>
          <w:szCs w:val="24"/>
        </w:rPr>
        <w:t xml:space="preserve"> </w:t>
      </w:r>
      <w:r>
        <w:rPr>
          <w:rFonts w:cs="Times New Roman"/>
          <w:szCs w:val="24"/>
        </w:rPr>
        <w:t xml:space="preserve">Jia S, Zhao W, Ge M, Xia X, Hu F, Hao Q, Zhang Y, Yang M, Yue J, Dong B. </w:t>
      </w:r>
      <w:bookmarkStart w:id="16" w:name="OLE_LINK61"/>
      <w:bookmarkStart w:id="17" w:name="OLE_LINK62"/>
      <w:r>
        <w:rPr>
          <w:rFonts w:cs="Times New Roman"/>
          <w:szCs w:val="24"/>
        </w:rPr>
        <w:t>Associations between transitions of intrinsic capacity and frailty status, and 3-year disability</w:t>
      </w:r>
      <w:bookmarkEnd w:id="16"/>
      <w:bookmarkEnd w:id="17"/>
      <w:r>
        <w:rPr>
          <w:rFonts w:cs="Times New Roman"/>
          <w:szCs w:val="24"/>
        </w:rPr>
        <w:t>. BMC Geriatr 2023, 23(1):96.</w:t>
      </w:r>
    </w:p>
    <w:p w:rsidR="00740AEB" w:rsidRDefault="00A54893" w:rsidP="0082198A">
      <w:pPr>
        <w:spacing w:line="360" w:lineRule="auto"/>
        <w:ind w:firstLineChars="0" w:firstLine="0"/>
        <w:rPr>
          <w:rFonts w:cs="Times New Roman"/>
          <w:szCs w:val="24"/>
        </w:rPr>
      </w:pPr>
      <w:r>
        <w:rPr>
          <w:rFonts w:cs="Times New Roman"/>
          <w:szCs w:val="24"/>
        </w:rPr>
        <w:lastRenderedPageBreak/>
        <w:t>[5]</w:t>
      </w:r>
      <w:r w:rsidR="0082198A">
        <w:rPr>
          <w:rFonts w:cs="Times New Roman"/>
          <w:szCs w:val="24"/>
        </w:rPr>
        <w:t xml:space="preserve"> </w:t>
      </w:r>
      <w:r>
        <w:rPr>
          <w:rFonts w:cs="Times New Roman"/>
          <w:szCs w:val="24"/>
        </w:rPr>
        <w:t xml:space="preserve">Gonzalez-Bautista E, Llibre-Guerra JJ, Sosa AL, Acosta I, Andrieu S, Acosta D, Llibre-Rodríguez JJ, Prina M. </w:t>
      </w:r>
      <w:bookmarkStart w:id="18" w:name="OLE_LINK65"/>
      <w:bookmarkStart w:id="19" w:name="OLE_LINK66"/>
      <w:r>
        <w:rPr>
          <w:rFonts w:cs="Times New Roman"/>
          <w:szCs w:val="24"/>
        </w:rPr>
        <w:t>Exploring the natural history of intrinsic capacity impairments: longitudinal patterns in the 10/66 study</w:t>
      </w:r>
      <w:bookmarkEnd w:id="18"/>
      <w:bookmarkEnd w:id="19"/>
      <w:r>
        <w:rPr>
          <w:rFonts w:cs="Times New Roman"/>
          <w:szCs w:val="24"/>
        </w:rPr>
        <w:t>. Age Ageing 2023, 52(7).</w:t>
      </w:r>
    </w:p>
    <w:p w:rsidR="00740AEB" w:rsidRDefault="00A54893" w:rsidP="0082198A">
      <w:pPr>
        <w:spacing w:line="360" w:lineRule="auto"/>
        <w:ind w:firstLineChars="0" w:firstLine="0"/>
        <w:rPr>
          <w:szCs w:val="24"/>
        </w:rPr>
      </w:pPr>
      <w:r>
        <w:rPr>
          <w:szCs w:val="24"/>
        </w:rPr>
        <w:t>[6]</w:t>
      </w:r>
      <w:r w:rsidR="0082198A">
        <w:rPr>
          <w:szCs w:val="24"/>
        </w:rPr>
        <w:t xml:space="preserve"> </w:t>
      </w:r>
      <w:r>
        <w:rPr>
          <w:szCs w:val="24"/>
        </w:rPr>
        <w:t>Stolz E, Mayerl H, Freidl W, Roller-Wirnsberger R, Gill TM. Intrinsic Capacity Predicts Negative Health Outcomes in Older Adults. J Gerontol A Biol Sci Med Sci 2022, 77(1):101-105.</w:t>
      </w:r>
    </w:p>
    <w:p w:rsidR="00740AEB" w:rsidRDefault="00A76B2F" w:rsidP="0082198A">
      <w:pPr>
        <w:spacing w:line="360" w:lineRule="auto"/>
        <w:ind w:firstLineChars="0" w:firstLine="0"/>
        <w:rPr>
          <w:szCs w:val="24"/>
        </w:rPr>
      </w:pPr>
      <w:r>
        <w:rPr>
          <w:szCs w:val="24"/>
        </w:rPr>
        <w:t>[7]</w:t>
      </w:r>
      <w:r w:rsidR="0082198A">
        <w:rPr>
          <w:szCs w:val="24"/>
        </w:rPr>
        <w:t xml:space="preserve"> </w:t>
      </w:r>
      <w:r w:rsidR="00A54893">
        <w:rPr>
          <w:szCs w:val="24"/>
        </w:rPr>
        <w:t>Meng LC, Chuang HM, Lu WH, Lee WJ, Liang CK, Loh CH, Hsiao FY, Chen LK. Multi-Trajectories of Intrinsic Capacity Decline and Their Impact on Age-Related Outcomes: A 20-Year National Longitudinal Cohort Study. Aging Dis 2023,15(6):2697-2709.</w:t>
      </w:r>
    </w:p>
    <w:p w:rsidR="00740AEB" w:rsidRDefault="00A76B2F" w:rsidP="0082198A">
      <w:pPr>
        <w:spacing w:line="360" w:lineRule="auto"/>
        <w:ind w:firstLineChars="0" w:firstLine="0"/>
        <w:rPr>
          <w:szCs w:val="24"/>
        </w:rPr>
      </w:pPr>
      <w:r>
        <w:rPr>
          <w:szCs w:val="24"/>
        </w:rPr>
        <w:t>[8]</w:t>
      </w:r>
      <w:r w:rsidR="0082198A">
        <w:rPr>
          <w:szCs w:val="24"/>
        </w:rPr>
        <w:t xml:space="preserve"> </w:t>
      </w:r>
      <w:r w:rsidR="00A54893">
        <w:rPr>
          <w:szCs w:val="24"/>
        </w:rPr>
        <w:t>Zhao Y, Chen Y, Xiao LD, Liu Q, Nan J, Li X, Feng H. Intrinsic capacity trajectories, predictors and associations with care dependence in community-dwelling older adults: A social determinant of health perspective. Geriatr Nurs 2024, 56:46-54.</w:t>
      </w:r>
    </w:p>
    <w:p w:rsidR="00740AEB" w:rsidRPr="00A76B2F" w:rsidRDefault="00A54893" w:rsidP="0082198A">
      <w:pPr>
        <w:spacing w:line="360" w:lineRule="auto"/>
        <w:ind w:firstLineChars="0" w:firstLine="0"/>
        <w:rPr>
          <w:rFonts w:cs="Times New Roman"/>
          <w:szCs w:val="24"/>
        </w:rPr>
      </w:pPr>
      <w:r>
        <w:rPr>
          <w:rFonts w:cs="Times New Roman"/>
          <w:szCs w:val="24"/>
        </w:rPr>
        <w:t>[9]</w:t>
      </w:r>
      <w:r w:rsidR="0082198A">
        <w:rPr>
          <w:rFonts w:cs="Times New Roman"/>
          <w:szCs w:val="24"/>
        </w:rPr>
        <w:t xml:space="preserve"> </w:t>
      </w:r>
      <w:r>
        <w:rPr>
          <w:rFonts w:cs="Times New Roman"/>
          <w:szCs w:val="24"/>
        </w:rPr>
        <w:t xml:space="preserve">Yu R, Lai D, Leung G, Woo J. </w:t>
      </w:r>
      <w:bookmarkStart w:id="20" w:name="OLE_LINK69"/>
      <w:bookmarkStart w:id="21" w:name="OLE_LINK70"/>
      <w:r>
        <w:rPr>
          <w:rFonts w:cs="Times New Roman"/>
          <w:szCs w:val="24"/>
        </w:rPr>
        <w:t>Trajectories of intrinsic capacity: determinants and associations with disability</w:t>
      </w:r>
      <w:bookmarkEnd w:id="20"/>
      <w:bookmarkEnd w:id="21"/>
      <w:r>
        <w:rPr>
          <w:rFonts w:cs="Times New Roman"/>
          <w:szCs w:val="24"/>
        </w:rPr>
        <w:t>. J Nutr Health Aging 2023, 27(3):174-181.</w:t>
      </w:r>
    </w:p>
    <w:p w:rsidR="00A76B2F" w:rsidRPr="00A76B2F" w:rsidRDefault="00A76B2F" w:rsidP="0082198A">
      <w:pPr>
        <w:spacing w:line="360" w:lineRule="auto"/>
        <w:ind w:firstLineChars="0" w:firstLine="0"/>
        <w:rPr>
          <w:szCs w:val="24"/>
        </w:rPr>
      </w:pPr>
      <w:r w:rsidRPr="00A76B2F">
        <w:rPr>
          <w:szCs w:val="24"/>
        </w:rPr>
        <w:t>[10]</w:t>
      </w:r>
      <w:r w:rsidR="0082198A">
        <w:rPr>
          <w:szCs w:val="24"/>
        </w:rPr>
        <w:t xml:space="preserve"> </w:t>
      </w:r>
      <w:r w:rsidRPr="00A76B2F">
        <w:rPr>
          <w:szCs w:val="24"/>
        </w:rPr>
        <w:t>Salinas-Rodríguez A, González-Bautista E, Rivera-Almaraz A, Manrique-Espinoza B. Longitudinal trajectories of intrinsic capacity and their association with quality of life and disability. Maturitas 2022, 161:49-54.</w:t>
      </w:r>
    </w:p>
    <w:p w:rsidR="00A76B2F" w:rsidRPr="00A76B2F" w:rsidRDefault="00A76B2F" w:rsidP="0082198A">
      <w:pPr>
        <w:spacing w:line="360" w:lineRule="auto"/>
        <w:ind w:firstLineChars="0" w:firstLine="0"/>
        <w:rPr>
          <w:szCs w:val="24"/>
        </w:rPr>
      </w:pPr>
      <w:r w:rsidRPr="00A76B2F">
        <w:rPr>
          <w:szCs w:val="24"/>
        </w:rPr>
        <w:t>[11]</w:t>
      </w:r>
      <w:r w:rsidR="0082198A">
        <w:rPr>
          <w:szCs w:val="24"/>
        </w:rPr>
        <w:t xml:space="preserve"> </w:t>
      </w:r>
      <w:r w:rsidRPr="00A76B2F">
        <w:rPr>
          <w:szCs w:val="24"/>
        </w:rPr>
        <w:t xml:space="preserve">Lu WH, Guyonnet S, Martinez LO, Lucas A, Parini A, Vellas B, de Souto Barreto P. </w:t>
      </w:r>
      <w:bookmarkStart w:id="22" w:name="OLE_LINK67"/>
      <w:bookmarkStart w:id="23" w:name="OLE_LINK68"/>
      <w:r w:rsidRPr="00A76B2F">
        <w:rPr>
          <w:szCs w:val="24"/>
        </w:rPr>
        <w:t>Association between aging-related biomarkers and longitudinal trajectories of intrinsic capacity in older adults</w:t>
      </w:r>
      <w:bookmarkEnd w:id="22"/>
      <w:bookmarkEnd w:id="23"/>
      <w:r w:rsidRPr="00A76B2F">
        <w:rPr>
          <w:szCs w:val="24"/>
        </w:rPr>
        <w:t>. Geroscience 2023, 45(6):3409-3418.</w:t>
      </w:r>
    </w:p>
    <w:p w:rsidR="00A76B2F" w:rsidRPr="00A76B2F" w:rsidRDefault="00A76B2F">
      <w:pPr>
        <w:spacing w:line="480" w:lineRule="auto"/>
        <w:ind w:firstLineChars="0" w:firstLine="0"/>
        <w:rPr>
          <w:rFonts w:asciiTheme="minorHAnsi" w:eastAsiaTheme="minorEastAsia" w:hAnsiTheme="minorHAnsi"/>
          <w:color w:val="FF0000"/>
          <w:sz w:val="21"/>
        </w:rPr>
        <w:sectPr w:rsidR="00A76B2F" w:rsidRPr="00A76B2F">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851" w:footer="992" w:gutter="0"/>
          <w:cols w:space="425"/>
          <w:docGrid w:type="lines" w:linePitch="312"/>
        </w:sectPr>
      </w:pPr>
    </w:p>
    <w:tbl>
      <w:tblPr>
        <w:tblStyle w:val="ab"/>
        <w:tblW w:w="96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333"/>
        <w:gridCol w:w="427"/>
        <w:gridCol w:w="6164"/>
        <w:gridCol w:w="1762"/>
      </w:tblGrid>
      <w:tr w:rsidR="00740AEB">
        <w:trPr>
          <w:trHeight w:val="369"/>
          <w:jc w:val="center"/>
        </w:trPr>
        <w:tc>
          <w:tcPr>
            <w:tcW w:w="9686" w:type="dxa"/>
            <w:gridSpan w:val="4"/>
          </w:tcPr>
          <w:p w:rsidR="00740AEB" w:rsidRDefault="00A54893">
            <w:pPr>
              <w:spacing w:line="276" w:lineRule="auto"/>
              <w:ind w:firstLineChars="0" w:firstLine="0"/>
              <w:jc w:val="left"/>
              <w:rPr>
                <w:rFonts w:eastAsiaTheme="minorEastAsia" w:cs="Times New Roman"/>
                <w:b/>
                <w:bCs/>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1</w:t>
            </w:r>
            <w:r>
              <w:rPr>
                <w:rFonts w:eastAsiaTheme="minorEastAsia" w:cs="Times New Roman" w:hint="eastAsia"/>
                <w:b/>
                <w:bCs/>
                <w:szCs w:val="24"/>
              </w:rPr>
              <w:t xml:space="preserve"> </w:t>
            </w:r>
            <w:r>
              <w:rPr>
                <w:rFonts w:eastAsiaTheme="minorEastAsia" w:cs="Times New Roman" w:hint="eastAsia"/>
                <w:szCs w:val="24"/>
              </w:rPr>
              <w:t>Search</w:t>
            </w:r>
            <w:r>
              <w:rPr>
                <w:rFonts w:eastAsiaTheme="minorEastAsia" w:cs="Times New Roman"/>
                <w:szCs w:val="24"/>
              </w:rPr>
              <w:t xml:space="preserve"> strategy.</w:t>
            </w:r>
          </w:p>
        </w:tc>
      </w:tr>
      <w:tr w:rsidR="00740AEB">
        <w:trPr>
          <w:trHeight w:val="369"/>
          <w:jc w:val="center"/>
        </w:trPr>
        <w:tc>
          <w:tcPr>
            <w:tcW w:w="1333" w:type="dxa"/>
            <w:tcBorders>
              <w:top w:val="single" w:sz="8" w:space="0" w:color="auto"/>
              <w:bottom w:val="single" w:sz="8" w:space="0" w:color="auto"/>
            </w:tcBorders>
          </w:tcPr>
          <w:p w:rsidR="00740AEB" w:rsidRDefault="00A54893">
            <w:pPr>
              <w:spacing w:line="276" w:lineRule="auto"/>
              <w:ind w:firstLineChars="0" w:firstLine="0"/>
              <w:jc w:val="center"/>
              <w:rPr>
                <w:rFonts w:eastAsiaTheme="minorEastAsia" w:cs="Times New Roman"/>
                <w:b/>
                <w:bCs/>
                <w:szCs w:val="24"/>
              </w:rPr>
            </w:pPr>
            <w:r>
              <w:rPr>
                <w:rFonts w:eastAsiaTheme="minorEastAsia" w:cs="Times New Roman"/>
                <w:b/>
                <w:bCs/>
                <w:szCs w:val="24"/>
              </w:rPr>
              <w:t>Database</w:t>
            </w:r>
          </w:p>
        </w:tc>
        <w:tc>
          <w:tcPr>
            <w:tcW w:w="427" w:type="dxa"/>
            <w:tcBorders>
              <w:top w:val="single" w:sz="8" w:space="0" w:color="auto"/>
              <w:bottom w:val="single" w:sz="8" w:space="0" w:color="auto"/>
            </w:tcBorders>
          </w:tcPr>
          <w:p w:rsidR="00740AEB" w:rsidRDefault="00740AEB">
            <w:pPr>
              <w:spacing w:line="276" w:lineRule="auto"/>
              <w:ind w:firstLineChars="0" w:firstLine="0"/>
              <w:jc w:val="center"/>
              <w:rPr>
                <w:rFonts w:eastAsiaTheme="minorEastAsia" w:cs="Times New Roman"/>
                <w:b/>
                <w:bCs/>
                <w:szCs w:val="24"/>
              </w:rPr>
            </w:pPr>
          </w:p>
        </w:tc>
        <w:tc>
          <w:tcPr>
            <w:tcW w:w="6164" w:type="dxa"/>
            <w:tcBorders>
              <w:top w:val="single" w:sz="8" w:space="0" w:color="auto"/>
              <w:bottom w:val="single" w:sz="8" w:space="0" w:color="auto"/>
            </w:tcBorders>
          </w:tcPr>
          <w:p w:rsidR="00740AEB" w:rsidRDefault="00A54893">
            <w:pPr>
              <w:spacing w:line="276" w:lineRule="auto"/>
              <w:ind w:firstLineChars="0" w:firstLine="0"/>
              <w:jc w:val="center"/>
              <w:rPr>
                <w:rFonts w:eastAsiaTheme="minorEastAsia" w:cs="Times New Roman"/>
                <w:b/>
                <w:bCs/>
                <w:szCs w:val="24"/>
              </w:rPr>
            </w:pPr>
            <w:r>
              <w:rPr>
                <w:rFonts w:eastAsiaTheme="minorEastAsia" w:cs="Times New Roman"/>
                <w:b/>
                <w:bCs/>
                <w:szCs w:val="24"/>
              </w:rPr>
              <w:t>Combinations of Search Terms</w:t>
            </w:r>
          </w:p>
        </w:tc>
        <w:tc>
          <w:tcPr>
            <w:tcW w:w="1762" w:type="dxa"/>
            <w:tcBorders>
              <w:top w:val="single" w:sz="8" w:space="0" w:color="auto"/>
              <w:bottom w:val="single" w:sz="8" w:space="0" w:color="auto"/>
            </w:tcBorders>
          </w:tcPr>
          <w:p w:rsidR="00740AEB" w:rsidRDefault="00A54893">
            <w:pPr>
              <w:spacing w:line="276" w:lineRule="auto"/>
              <w:ind w:firstLineChars="0" w:firstLine="0"/>
              <w:jc w:val="center"/>
              <w:rPr>
                <w:rFonts w:eastAsiaTheme="minorEastAsia" w:cs="Times New Roman"/>
                <w:b/>
                <w:bCs/>
                <w:szCs w:val="24"/>
              </w:rPr>
            </w:pPr>
            <w:r>
              <w:rPr>
                <w:rFonts w:eastAsiaTheme="minorEastAsia" w:cs="Times New Roman"/>
                <w:b/>
                <w:bCs/>
                <w:szCs w:val="24"/>
              </w:rPr>
              <w:t>Quantity</w:t>
            </w:r>
          </w:p>
        </w:tc>
      </w:tr>
      <w:tr w:rsidR="00740AEB">
        <w:trPr>
          <w:trHeight w:val="317"/>
          <w:jc w:val="center"/>
        </w:trPr>
        <w:tc>
          <w:tcPr>
            <w:tcW w:w="1333" w:type="dxa"/>
            <w:tcBorders>
              <w:top w:val="single" w:sz="8" w:space="0" w:color="auto"/>
            </w:tcBorders>
          </w:tcPr>
          <w:p w:rsidR="00740AEB" w:rsidRDefault="00A54893">
            <w:pPr>
              <w:spacing w:line="240" w:lineRule="auto"/>
              <w:ind w:firstLineChars="0" w:firstLine="0"/>
              <w:jc w:val="center"/>
              <w:rPr>
                <w:rFonts w:eastAsiaTheme="minorEastAsia" w:cs="Times New Roman"/>
                <w:b/>
                <w:bCs/>
                <w:szCs w:val="24"/>
              </w:rPr>
            </w:pPr>
            <w:r>
              <w:rPr>
                <w:rFonts w:eastAsiaTheme="minorEastAsia" w:cs="Times New Roman"/>
                <w:b/>
                <w:bCs/>
                <w:szCs w:val="24"/>
              </w:rPr>
              <w:t>PubMed</w:t>
            </w:r>
          </w:p>
        </w:tc>
        <w:tc>
          <w:tcPr>
            <w:tcW w:w="427" w:type="dxa"/>
            <w:tcBorders>
              <w:top w:val="single" w:sz="8" w:space="0" w:color="auto"/>
            </w:tcBorders>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1</w:t>
            </w:r>
          </w:p>
        </w:tc>
        <w:tc>
          <w:tcPr>
            <w:tcW w:w="6164" w:type="dxa"/>
            <w:tcBorders>
              <w:top w:val="single" w:sz="8" w:space="0" w:color="auto"/>
            </w:tcBorders>
          </w:tcPr>
          <w:p w:rsidR="00740AEB" w:rsidRDefault="00A54893">
            <w:pPr>
              <w:spacing w:line="240" w:lineRule="auto"/>
              <w:ind w:firstLineChars="0" w:firstLine="0"/>
              <w:jc w:val="left"/>
              <w:rPr>
                <w:rFonts w:eastAsiaTheme="minorEastAsia" w:cs="Times New Roman"/>
                <w:sz w:val="21"/>
                <w:szCs w:val="21"/>
              </w:rPr>
            </w:pPr>
            <w:r>
              <w:rPr>
                <w:rFonts w:eastAsiaTheme="minorEastAsia" w:cs="Times New Roman"/>
                <w:sz w:val="21"/>
                <w:szCs w:val="21"/>
              </w:rPr>
              <w:t>"latent class analysis"[MeSH Terms]</w:t>
            </w:r>
          </w:p>
        </w:tc>
        <w:tc>
          <w:tcPr>
            <w:tcW w:w="1762" w:type="dxa"/>
            <w:tcBorders>
              <w:top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szCs w:val="24"/>
              </w:rPr>
              <w:t>3,221</w:t>
            </w:r>
          </w:p>
        </w:tc>
      </w:tr>
      <w:tr w:rsidR="00740AEB">
        <w:trPr>
          <w:trHeight w:val="2235"/>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rPr>
                <w:rFonts w:eastAsiaTheme="minorEastAsia" w:cs="Times New Roman"/>
                <w:sz w:val="21"/>
                <w:szCs w:val="21"/>
              </w:rPr>
            </w:pPr>
            <w:r>
              <w:rPr>
                <w:rFonts w:eastAsiaTheme="minorEastAsia" w:cs="Times New Roman" w:hint="eastAsia"/>
                <w:sz w:val="21"/>
                <w:szCs w:val="21"/>
              </w:rPr>
              <w:t xml:space="preserve"> </w:t>
            </w:r>
            <w:r>
              <w:rPr>
                <w:rFonts w:eastAsiaTheme="minorEastAsia" w:cs="Times New Roman"/>
                <w:sz w:val="21"/>
                <w:szCs w:val="21"/>
              </w:rPr>
              <w:t>2</w:t>
            </w:r>
          </w:p>
        </w:tc>
        <w:tc>
          <w:tcPr>
            <w:tcW w:w="6164" w:type="dxa"/>
          </w:tcPr>
          <w:p w:rsidR="00740AEB" w:rsidRDefault="00A54893">
            <w:pPr>
              <w:spacing w:line="240" w:lineRule="auto"/>
              <w:ind w:firstLineChars="0" w:firstLine="0"/>
              <w:jc w:val="left"/>
              <w:rPr>
                <w:rFonts w:eastAsiaTheme="minorEastAsia" w:cs="Times New Roman"/>
                <w:sz w:val="21"/>
                <w:szCs w:val="21"/>
              </w:rPr>
            </w:pPr>
            <w:r>
              <w:rPr>
                <w:rFonts w:eastAsiaTheme="minorEastAsia" w:cs="Times New Roman"/>
                <w:sz w:val="21"/>
                <w:szCs w:val="21"/>
              </w:rPr>
              <w:t>"traject*"[Title/Abstract] OR "group based"[Title/Abstract] OR "latent profile"[Title/Abstract] OR "latent class"[Title/Abstract] OR "latent growth"[Title/Abstract] OR "latent curve"[Title/Abstract] OR "latent transition"[Title/Abstract] OR "mixture model*"[Title/Abstract] OR "growth model*"[Title/Abstract] OR "mixture analys*"[Title/Abstract] OR "growth analys*"[Title/Abstract]</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szCs w:val="24"/>
              </w:rPr>
              <w:t>160,314</w:t>
            </w:r>
          </w:p>
        </w:tc>
      </w:tr>
      <w:tr w:rsidR="00740AEB">
        <w:trPr>
          <w:trHeight w:val="963"/>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3</w:t>
            </w:r>
          </w:p>
        </w:tc>
        <w:tc>
          <w:tcPr>
            <w:tcW w:w="6164" w:type="dxa"/>
          </w:tcPr>
          <w:p w:rsidR="00740AEB" w:rsidRDefault="00A54893">
            <w:pPr>
              <w:spacing w:line="240" w:lineRule="auto"/>
              <w:ind w:firstLineChars="0" w:firstLine="0"/>
              <w:jc w:val="left"/>
              <w:rPr>
                <w:rFonts w:eastAsiaTheme="minorEastAsia" w:cs="Times New Roman"/>
                <w:sz w:val="21"/>
                <w:szCs w:val="21"/>
              </w:rPr>
            </w:pPr>
            <w:r>
              <w:rPr>
                <w:rFonts w:eastAsiaTheme="minorEastAsia" w:cs="Times New Roman"/>
                <w:sz w:val="21"/>
                <w:szCs w:val="21"/>
              </w:rPr>
              <w:t>"traject*"[Title/Abstract] OR "longitudinal stud*"[Title/Abstract] OR "longitudinal survey*"[Title/Abstract] OR "prospective stud*"[Title/Abstract]</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szCs w:val="24"/>
              </w:rPr>
              <w:t>161,750</w:t>
            </w:r>
          </w:p>
        </w:tc>
      </w:tr>
      <w:tr w:rsidR="00740AEB">
        <w:trPr>
          <w:trHeight w:val="317"/>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4</w:t>
            </w:r>
          </w:p>
        </w:tc>
        <w:tc>
          <w:tcPr>
            <w:tcW w:w="6164" w:type="dxa"/>
          </w:tcPr>
          <w:p w:rsidR="00740AEB" w:rsidRDefault="00A54893">
            <w:pPr>
              <w:spacing w:line="240" w:lineRule="auto"/>
              <w:ind w:firstLineChars="0" w:firstLine="0"/>
              <w:jc w:val="left"/>
              <w:rPr>
                <w:rFonts w:eastAsiaTheme="minorEastAsia" w:cs="Times New Roman"/>
                <w:sz w:val="21"/>
                <w:szCs w:val="21"/>
              </w:rPr>
            </w:pPr>
            <w:r>
              <w:rPr>
                <w:rFonts w:eastAsiaTheme="minorEastAsia" w:cs="Times New Roman"/>
                <w:sz w:val="21"/>
                <w:szCs w:val="21"/>
              </w:rPr>
              <w:t>1 OR 2 OR 3</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4</w:t>
            </w:r>
            <w:r>
              <w:rPr>
                <w:rFonts w:eastAsiaTheme="minorEastAsia" w:cs="Times New Roman"/>
                <w:szCs w:val="24"/>
              </w:rPr>
              <w:t>87,097</w:t>
            </w:r>
          </w:p>
        </w:tc>
      </w:tr>
      <w:tr w:rsidR="00740AEB">
        <w:trPr>
          <w:trHeight w:val="646"/>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5</w:t>
            </w:r>
          </w:p>
        </w:tc>
        <w:tc>
          <w:tcPr>
            <w:tcW w:w="6164" w:type="dxa"/>
          </w:tcPr>
          <w:p w:rsidR="00740AEB" w:rsidRDefault="00A54893">
            <w:pPr>
              <w:spacing w:line="240" w:lineRule="auto"/>
              <w:ind w:firstLineChars="0" w:firstLine="0"/>
              <w:jc w:val="left"/>
              <w:rPr>
                <w:rFonts w:eastAsiaTheme="minorEastAsia" w:cs="Times New Roman"/>
                <w:sz w:val="21"/>
                <w:szCs w:val="21"/>
              </w:rPr>
            </w:pPr>
            <w:r>
              <w:rPr>
                <w:rFonts w:eastAsiaTheme="minorEastAsia" w:cs="Times New Roman"/>
                <w:sz w:val="21"/>
                <w:szCs w:val="21"/>
              </w:rPr>
              <w:t>"intrinsic capacit*" [Title/Abstract]OR "intrinsic capacity"[Title/Abstract]</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1</w:t>
            </w:r>
            <w:r>
              <w:rPr>
                <w:rFonts w:eastAsiaTheme="minorEastAsia" w:cs="Times New Roman"/>
                <w:szCs w:val="24"/>
              </w:rPr>
              <w:t>,189</w:t>
            </w:r>
          </w:p>
        </w:tc>
      </w:tr>
      <w:tr w:rsidR="00740AEB">
        <w:trPr>
          <w:trHeight w:val="317"/>
          <w:jc w:val="center"/>
        </w:trPr>
        <w:tc>
          <w:tcPr>
            <w:tcW w:w="1333" w:type="dxa"/>
            <w:tcBorders>
              <w:bottom w:val="single" w:sz="8" w:space="0" w:color="auto"/>
            </w:tcBorders>
          </w:tcPr>
          <w:p w:rsidR="00740AEB" w:rsidRDefault="00740AEB">
            <w:pPr>
              <w:spacing w:line="240" w:lineRule="auto"/>
              <w:ind w:firstLineChars="0" w:firstLine="0"/>
              <w:jc w:val="center"/>
              <w:rPr>
                <w:rFonts w:eastAsiaTheme="minorEastAsia" w:cs="Times New Roman"/>
                <w:b/>
                <w:bCs/>
                <w:szCs w:val="24"/>
              </w:rPr>
            </w:pPr>
          </w:p>
        </w:tc>
        <w:tc>
          <w:tcPr>
            <w:tcW w:w="427" w:type="dxa"/>
            <w:tcBorders>
              <w:bottom w:val="single" w:sz="8" w:space="0" w:color="auto"/>
            </w:tcBorders>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6</w:t>
            </w:r>
          </w:p>
        </w:tc>
        <w:tc>
          <w:tcPr>
            <w:tcW w:w="6164" w:type="dxa"/>
            <w:tcBorders>
              <w:bottom w:val="single" w:sz="8" w:space="0" w:color="auto"/>
            </w:tcBorders>
          </w:tcPr>
          <w:p w:rsidR="00740AEB" w:rsidRDefault="00A54893">
            <w:pPr>
              <w:spacing w:line="240" w:lineRule="auto"/>
              <w:ind w:firstLineChars="0" w:firstLine="0"/>
              <w:jc w:val="left"/>
              <w:rPr>
                <w:rFonts w:eastAsiaTheme="minorEastAsia" w:cs="Times New Roman"/>
                <w:sz w:val="21"/>
                <w:szCs w:val="21"/>
              </w:rPr>
            </w:pPr>
            <w:r>
              <w:rPr>
                <w:rFonts w:eastAsiaTheme="minorEastAsia" w:cs="Times New Roman"/>
                <w:sz w:val="21"/>
                <w:szCs w:val="21"/>
              </w:rPr>
              <w:t>4 AND 5</w:t>
            </w:r>
          </w:p>
        </w:tc>
        <w:tc>
          <w:tcPr>
            <w:tcW w:w="1762" w:type="dxa"/>
            <w:tcBorders>
              <w:bottom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5</w:t>
            </w:r>
            <w:r>
              <w:rPr>
                <w:rFonts w:eastAsiaTheme="minorEastAsia" w:cs="Times New Roman"/>
                <w:szCs w:val="24"/>
              </w:rPr>
              <w:t>2</w:t>
            </w:r>
          </w:p>
        </w:tc>
      </w:tr>
      <w:tr w:rsidR="00740AEB">
        <w:trPr>
          <w:trHeight w:val="953"/>
          <w:jc w:val="center"/>
        </w:trPr>
        <w:tc>
          <w:tcPr>
            <w:tcW w:w="1333" w:type="dxa"/>
            <w:tcBorders>
              <w:top w:val="single" w:sz="8" w:space="0" w:color="auto"/>
            </w:tcBorders>
          </w:tcPr>
          <w:p w:rsidR="00740AEB" w:rsidRDefault="00A54893">
            <w:pPr>
              <w:spacing w:line="240" w:lineRule="auto"/>
              <w:ind w:firstLineChars="0" w:firstLine="0"/>
              <w:jc w:val="center"/>
              <w:rPr>
                <w:rFonts w:eastAsiaTheme="minorEastAsia" w:cs="Times New Roman"/>
                <w:b/>
                <w:bCs/>
                <w:szCs w:val="24"/>
              </w:rPr>
            </w:pPr>
            <w:r>
              <w:rPr>
                <w:rFonts w:eastAsiaTheme="minorEastAsia" w:cs="Times New Roman" w:hint="eastAsia"/>
                <w:b/>
                <w:bCs/>
                <w:szCs w:val="24"/>
              </w:rPr>
              <w:t>Embase</w:t>
            </w:r>
          </w:p>
        </w:tc>
        <w:tc>
          <w:tcPr>
            <w:tcW w:w="427" w:type="dxa"/>
            <w:tcBorders>
              <w:top w:val="single" w:sz="8" w:space="0" w:color="auto"/>
            </w:tcBorders>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1</w:t>
            </w:r>
          </w:p>
        </w:tc>
        <w:tc>
          <w:tcPr>
            <w:tcW w:w="6164" w:type="dxa"/>
            <w:tcBorders>
              <w:top w:val="single" w:sz="8" w:space="0" w:color="auto"/>
            </w:tcBorders>
          </w:tcPr>
          <w:p w:rsidR="00740AEB" w:rsidRDefault="00A54893">
            <w:pPr>
              <w:spacing w:line="240" w:lineRule="auto"/>
              <w:ind w:firstLineChars="0" w:firstLine="0"/>
              <w:jc w:val="left"/>
              <w:rPr>
                <w:rFonts w:eastAsiaTheme="minorEastAsia" w:cs="Times New Roman"/>
                <w:szCs w:val="24"/>
              </w:rPr>
            </w:pPr>
            <w:r>
              <w:rPr>
                <w:rFonts w:eastAsiaTheme="minorEastAsia" w:cs="Times New Roman"/>
                <w:szCs w:val="24"/>
              </w:rPr>
              <w:t>'trajectory'/exp OR 'trajectory analysis'/exp OR 'group based trajectory modeling'/exp OR 'latent class growth analysis'/exp OR 'latent class analysis'/exp</w:t>
            </w:r>
          </w:p>
        </w:tc>
        <w:tc>
          <w:tcPr>
            <w:tcW w:w="1762" w:type="dxa"/>
            <w:tcBorders>
              <w:top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szCs w:val="24"/>
              </w:rPr>
              <w:t>95,854</w:t>
            </w:r>
          </w:p>
        </w:tc>
      </w:tr>
      <w:tr w:rsidR="00740AEB">
        <w:trPr>
          <w:trHeight w:val="1927"/>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2</w:t>
            </w:r>
          </w:p>
        </w:tc>
        <w:tc>
          <w:tcPr>
            <w:tcW w:w="6164" w:type="dxa"/>
          </w:tcPr>
          <w:p w:rsidR="00740AEB" w:rsidRDefault="00A54893">
            <w:pPr>
              <w:spacing w:line="240" w:lineRule="auto"/>
              <w:ind w:firstLineChars="0" w:firstLine="0"/>
              <w:jc w:val="left"/>
              <w:rPr>
                <w:rFonts w:eastAsiaTheme="minorEastAsia" w:cs="Times New Roman"/>
                <w:szCs w:val="24"/>
              </w:rPr>
            </w:pPr>
            <w:r>
              <w:rPr>
                <w:rFonts w:eastAsiaTheme="minorEastAsia" w:cs="Times New Roman"/>
                <w:szCs w:val="24"/>
              </w:rPr>
              <w:t>traject*:ti,ab,kw OR 'group based':ti,ab,kw OR 'latent profile':ti,ab,kw OR 'latent class':ti,ab,kw OR 'latent growth':ti,ab,kw OR 'latent curve':ti,ab,kw OR 'latent transition':ti,ab,kw OR 'mixture model*':ti,ab,kw OR 'growth model*':ti,ab,kw OR 'mixture analys*':ti,ab,kw OR 'growth analys*':ti,ab,kw</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1</w:t>
            </w:r>
            <w:r>
              <w:rPr>
                <w:rFonts w:eastAsiaTheme="minorEastAsia" w:cs="Times New Roman"/>
                <w:szCs w:val="24"/>
              </w:rPr>
              <w:t>91,222</w:t>
            </w:r>
          </w:p>
        </w:tc>
      </w:tr>
      <w:tr w:rsidR="00740AEB">
        <w:trPr>
          <w:trHeight w:val="317"/>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3</w:t>
            </w:r>
          </w:p>
        </w:tc>
        <w:tc>
          <w:tcPr>
            <w:tcW w:w="6164" w:type="dxa"/>
          </w:tcPr>
          <w:p w:rsidR="00740AEB" w:rsidRDefault="00A54893">
            <w:pPr>
              <w:spacing w:line="240" w:lineRule="auto"/>
              <w:ind w:firstLineChars="0" w:firstLine="0"/>
              <w:jc w:val="left"/>
              <w:rPr>
                <w:rFonts w:eastAsiaTheme="minorEastAsia" w:cs="Times New Roman"/>
                <w:szCs w:val="24"/>
              </w:rPr>
            </w:pPr>
            <w:r>
              <w:rPr>
                <w:rFonts w:eastAsiaTheme="minorEastAsia" w:cs="Times New Roman"/>
                <w:szCs w:val="24"/>
              </w:rPr>
              <w:t>1 OR 2</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1</w:t>
            </w:r>
            <w:r>
              <w:rPr>
                <w:rFonts w:eastAsiaTheme="minorEastAsia" w:cs="Times New Roman"/>
                <w:szCs w:val="24"/>
              </w:rPr>
              <w:t>92,963</w:t>
            </w:r>
          </w:p>
        </w:tc>
      </w:tr>
      <w:tr w:rsidR="00740AEB">
        <w:trPr>
          <w:trHeight w:val="317"/>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4</w:t>
            </w:r>
          </w:p>
        </w:tc>
        <w:tc>
          <w:tcPr>
            <w:tcW w:w="6164" w:type="dxa"/>
          </w:tcPr>
          <w:p w:rsidR="00740AEB" w:rsidRDefault="00A54893">
            <w:pPr>
              <w:spacing w:line="240" w:lineRule="auto"/>
              <w:ind w:firstLineChars="0" w:firstLine="0"/>
              <w:jc w:val="left"/>
              <w:rPr>
                <w:rFonts w:eastAsiaTheme="minorEastAsia" w:cs="Times New Roman"/>
                <w:szCs w:val="24"/>
              </w:rPr>
            </w:pPr>
            <w:r>
              <w:rPr>
                <w:szCs w:val="24"/>
              </w:rPr>
              <w:t>'intrinsic capacity'/exp</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4</w:t>
            </w:r>
            <w:r>
              <w:rPr>
                <w:rFonts w:eastAsiaTheme="minorEastAsia" w:cs="Times New Roman"/>
                <w:szCs w:val="24"/>
              </w:rPr>
              <w:t>9</w:t>
            </w:r>
          </w:p>
        </w:tc>
      </w:tr>
      <w:tr w:rsidR="00740AEB">
        <w:trPr>
          <w:trHeight w:val="317"/>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sz w:val="21"/>
                <w:szCs w:val="21"/>
              </w:rPr>
              <w:t>5</w:t>
            </w:r>
          </w:p>
        </w:tc>
        <w:tc>
          <w:tcPr>
            <w:tcW w:w="6164" w:type="dxa"/>
          </w:tcPr>
          <w:p w:rsidR="00740AEB" w:rsidRDefault="00A54893">
            <w:pPr>
              <w:spacing w:line="240" w:lineRule="auto"/>
              <w:ind w:firstLineChars="0" w:firstLine="0"/>
              <w:jc w:val="left"/>
              <w:rPr>
                <w:rFonts w:eastAsiaTheme="minorEastAsia" w:cs="Times New Roman"/>
                <w:szCs w:val="24"/>
              </w:rPr>
            </w:pPr>
            <w:r>
              <w:rPr>
                <w:szCs w:val="24"/>
              </w:rPr>
              <w:t>'intrinsic capacity':ti,ab,kw OR 'intrinsic capacit*':ti,ab,kw</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1</w:t>
            </w:r>
            <w:r>
              <w:rPr>
                <w:rFonts w:eastAsiaTheme="minorEastAsia" w:cs="Times New Roman"/>
                <w:szCs w:val="24"/>
              </w:rPr>
              <w:t>,389</w:t>
            </w:r>
          </w:p>
        </w:tc>
      </w:tr>
      <w:tr w:rsidR="00740AEB">
        <w:trPr>
          <w:trHeight w:val="317"/>
          <w:jc w:val="center"/>
        </w:trPr>
        <w:tc>
          <w:tcPr>
            <w:tcW w:w="1333" w:type="dxa"/>
          </w:tcPr>
          <w:p w:rsidR="00740AEB" w:rsidRDefault="00740AEB">
            <w:pPr>
              <w:spacing w:line="240" w:lineRule="auto"/>
              <w:ind w:firstLineChars="0" w:firstLine="0"/>
              <w:jc w:val="center"/>
              <w:rPr>
                <w:rFonts w:eastAsiaTheme="minorEastAsia" w:cs="Times New Roman"/>
                <w:b/>
                <w:bCs/>
                <w:szCs w:val="24"/>
              </w:rPr>
            </w:pPr>
          </w:p>
        </w:tc>
        <w:tc>
          <w:tcPr>
            <w:tcW w:w="427" w:type="dxa"/>
          </w:tcPr>
          <w:p w:rsidR="00740AEB" w:rsidRDefault="00A54893">
            <w:pPr>
              <w:spacing w:line="240" w:lineRule="auto"/>
              <w:ind w:firstLineChars="0" w:firstLine="0"/>
              <w:jc w:val="center"/>
              <w:rPr>
                <w:rFonts w:eastAsiaTheme="minorEastAsia" w:cs="Times New Roman"/>
                <w:sz w:val="21"/>
                <w:szCs w:val="21"/>
              </w:rPr>
            </w:pPr>
            <w:r>
              <w:rPr>
                <w:rFonts w:eastAsiaTheme="minorEastAsia" w:cs="Times New Roman" w:hint="eastAsia"/>
                <w:sz w:val="21"/>
                <w:szCs w:val="21"/>
              </w:rPr>
              <w:t>6</w:t>
            </w:r>
          </w:p>
        </w:tc>
        <w:tc>
          <w:tcPr>
            <w:tcW w:w="6164" w:type="dxa"/>
            <w:vAlign w:val="center"/>
          </w:tcPr>
          <w:p w:rsidR="00740AEB" w:rsidRDefault="00A54893">
            <w:pPr>
              <w:spacing w:line="240" w:lineRule="auto"/>
              <w:ind w:firstLineChars="0" w:firstLine="0"/>
              <w:jc w:val="left"/>
              <w:rPr>
                <w:szCs w:val="24"/>
              </w:rPr>
            </w:pPr>
            <w:r>
              <w:rPr>
                <w:rFonts w:cs="Times New Roman"/>
                <w:color w:val="000000"/>
                <w:szCs w:val="24"/>
              </w:rPr>
              <w:t>4 OR 5</w:t>
            </w:r>
          </w:p>
        </w:tc>
        <w:tc>
          <w:tcPr>
            <w:tcW w:w="1762" w:type="dxa"/>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1</w:t>
            </w:r>
            <w:r>
              <w:rPr>
                <w:rFonts w:eastAsiaTheme="minorEastAsia" w:cs="Times New Roman"/>
                <w:szCs w:val="24"/>
              </w:rPr>
              <w:t>,390</w:t>
            </w:r>
          </w:p>
        </w:tc>
      </w:tr>
      <w:tr w:rsidR="00740AEB">
        <w:trPr>
          <w:trHeight w:val="328"/>
          <w:jc w:val="center"/>
        </w:trPr>
        <w:tc>
          <w:tcPr>
            <w:tcW w:w="1333" w:type="dxa"/>
            <w:tcBorders>
              <w:bottom w:val="single" w:sz="8" w:space="0" w:color="auto"/>
            </w:tcBorders>
          </w:tcPr>
          <w:p w:rsidR="00740AEB" w:rsidRDefault="00740AEB">
            <w:pPr>
              <w:spacing w:line="240" w:lineRule="auto"/>
              <w:ind w:firstLineChars="0" w:firstLine="0"/>
              <w:jc w:val="center"/>
              <w:rPr>
                <w:rFonts w:eastAsiaTheme="minorEastAsia" w:cs="Times New Roman"/>
                <w:bCs/>
                <w:szCs w:val="24"/>
              </w:rPr>
            </w:pPr>
          </w:p>
        </w:tc>
        <w:tc>
          <w:tcPr>
            <w:tcW w:w="427" w:type="dxa"/>
            <w:tcBorders>
              <w:bottom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7</w:t>
            </w:r>
          </w:p>
        </w:tc>
        <w:tc>
          <w:tcPr>
            <w:tcW w:w="6164" w:type="dxa"/>
            <w:tcBorders>
              <w:bottom w:val="single" w:sz="8" w:space="0" w:color="auto"/>
            </w:tcBorders>
            <w:vAlign w:val="center"/>
          </w:tcPr>
          <w:p w:rsidR="00740AEB" w:rsidRDefault="00A54893">
            <w:pPr>
              <w:spacing w:line="240" w:lineRule="auto"/>
              <w:ind w:firstLineChars="0" w:firstLine="0"/>
              <w:jc w:val="left"/>
              <w:rPr>
                <w:rFonts w:eastAsiaTheme="minorEastAsia" w:cs="Times New Roman"/>
                <w:bCs/>
                <w:szCs w:val="24"/>
              </w:rPr>
            </w:pPr>
            <w:r>
              <w:rPr>
                <w:rFonts w:eastAsiaTheme="minorEastAsia" w:cs="Times New Roman"/>
                <w:bCs/>
                <w:szCs w:val="24"/>
              </w:rPr>
              <w:t>3 AND 6</w:t>
            </w:r>
          </w:p>
        </w:tc>
        <w:tc>
          <w:tcPr>
            <w:tcW w:w="1762" w:type="dxa"/>
            <w:tcBorders>
              <w:bottom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6</w:t>
            </w:r>
            <w:r>
              <w:rPr>
                <w:rFonts w:eastAsiaTheme="minorEastAsia" w:cs="Times New Roman"/>
                <w:bCs/>
                <w:szCs w:val="24"/>
              </w:rPr>
              <w:t>0</w:t>
            </w:r>
          </w:p>
        </w:tc>
      </w:tr>
      <w:tr w:rsidR="00740AEB">
        <w:trPr>
          <w:trHeight w:val="328"/>
          <w:jc w:val="center"/>
        </w:trPr>
        <w:tc>
          <w:tcPr>
            <w:tcW w:w="1333" w:type="dxa"/>
            <w:tcBorders>
              <w:top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b/>
                <w:bCs/>
                <w:szCs w:val="24"/>
              </w:rPr>
              <w:t>Web of Science</w:t>
            </w:r>
          </w:p>
        </w:tc>
        <w:tc>
          <w:tcPr>
            <w:tcW w:w="427" w:type="dxa"/>
            <w:tcBorders>
              <w:top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1</w:t>
            </w:r>
          </w:p>
        </w:tc>
        <w:tc>
          <w:tcPr>
            <w:tcW w:w="6164" w:type="dxa"/>
            <w:tcBorders>
              <w:top w:val="single" w:sz="8" w:space="0" w:color="auto"/>
            </w:tcBorders>
            <w:vAlign w:val="center"/>
          </w:tcPr>
          <w:p w:rsidR="00740AEB" w:rsidRDefault="00A54893">
            <w:pPr>
              <w:spacing w:line="240" w:lineRule="auto"/>
              <w:ind w:firstLineChars="0" w:firstLine="0"/>
              <w:jc w:val="left"/>
              <w:rPr>
                <w:rFonts w:eastAsiaTheme="minorEastAsia" w:cs="Times New Roman"/>
                <w:bCs/>
                <w:szCs w:val="24"/>
              </w:rPr>
            </w:pPr>
            <w:r>
              <w:rPr>
                <w:rFonts w:eastAsiaTheme="minorEastAsia" w:cs="Times New Roman"/>
                <w:bCs/>
                <w:szCs w:val="24"/>
              </w:rPr>
              <w:t>TS = (traject* OR “group based” OR “latent profile” OR “latent class” OR “latent growth” OR “latent curve” OR “latent transition” OR “mixture model*” OR “growth model*” OR “mixture analys*” OR “growth analys*”)</w:t>
            </w:r>
          </w:p>
        </w:tc>
        <w:tc>
          <w:tcPr>
            <w:tcW w:w="1762" w:type="dxa"/>
            <w:tcBorders>
              <w:top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bCs/>
                <w:szCs w:val="24"/>
              </w:rPr>
              <w:t>641,252</w:t>
            </w:r>
          </w:p>
        </w:tc>
      </w:tr>
      <w:tr w:rsidR="00740AEB">
        <w:trPr>
          <w:trHeight w:val="328"/>
          <w:jc w:val="center"/>
        </w:trPr>
        <w:tc>
          <w:tcPr>
            <w:tcW w:w="1333" w:type="dxa"/>
          </w:tcPr>
          <w:p w:rsidR="00740AEB" w:rsidRDefault="00740AEB">
            <w:pPr>
              <w:spacing w:line="240" w:lineRule="auto"/>
              <w:ind w:firstLineChars="0" w:firstLine="0"/>
              <w:jc w:val="center"/>
              <w:rPr>
                <w:rFonts w:eastAsiaTheme="minorEastAsia" w:cs="Times New Roman"/>
                <w:bCs/>
                <w:szCs w:val="24"/>
              </w:rPr>
            </w:pPr>
          </w:p>
        </w:tc>
        <w:tc>
          <w:tcPr>
            <w:tcW w:w="427" w:type="dxa"/>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2</w:t>
            </w:r>
          </w:p>
        </w:tc>
        <w:tc>
          <w:tcPr>
            <w:tcW w:w="6164" w:type="dxa"/>
            <w:vAlign w:val="center"/>
          </w:tcPr>
          <w:p w:rsidR="00740AEB" w:rsidRDefault="00A54893">
            <w:pPr>
              <w:spacing w:line="240" w:lineRule="auto"/>
              <w:ind w:firstLineChars="0" w:firstLine="0"/>
              <w:jc w:val="left"/>
              <w:rPr>
                <w:rFonts w:eastAsiaTheme="minorEastAsia" w:cs="Times New Roman"/>
                <w:bCs/>
                <w:szCs w:val="24"/>
              </w:rPr>
            </w:pPr>
            <w:r>
              <w:rPr>
                <w:rFonts w:eastAsiaTheme="minorEastAsia" w:cs="Times New Roman"/>
                <w:bCs/>
                <w:szCs w:val="24"/>
              </w:rPr>
              <w:t>TS=("intrinsic capacity" OR "intrinsic capacit*")</w:t>
            </w:r>
          </w:p>
        </w:tc>
        <w:tc>
          <w:tcPr>
            <w:tcW w:w="1762" w:type="dxa"/>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bCs/>
                <w:szCs w:val="24"/>
              </w:rPr>
              <w:t>1,707</w:t>
            </w:r>
          </w:p>
        </w:tc>
      </w:tr>
      <w:tr w:rsidR="00740AEB">
        <w:trPr>
          <w:trHeight w:val="328"/>
          <w:jc w:val="center"/>
        </w:trPr>
        <w:tc>
          <w:tcPr>
            <w:tcW w:w="1333" w:type="dxa"/>
            <w:tcBorders>
              <w:bottom w:val="single" w:sz="8" w:space="0" w:color="auto"/>
            </w:tcBorders>
          </w:tcPr>
          <w:p w:rsidR="00740AEB" w:rsidRDefault="00740AEB">
            <w:pPr>
              <w:spacing w:line="240" w:lineRule="auto"/>
              <w:ind w:firstLineChars="0" w:firstLine="0"/>
              <w:jc w:val="center"/>
              <w:rPr>
                <w:rFonts w:eastAsiaTheme="minorEastAsia" w:cs="Times New Roman"/>
                <w:bCs/>
                <w:szCs w:val="24"/>
              </w:rPr>
            </w:pPr>
          </w:p>
        </w:tc>
        <w:tc>
          <w:tcPr>
            <w:tcW w:w="427" w:type="dxa"/>
            <w:tcBorders>
              <w:bottom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3</w:t>
            </w:r>
          </w:p>
        </w:tc>
        <w:tc>
          <w:tcPr>
            <w:tcW w:w="6164" w:type="dxa"/>
            <w:tcBorders>
              <w:bottom w:val="single" w:sz="8" w:space="0" w:color="auto"/>
            </w:tcBorders>
            <w:vAlign w:val="center"/>
          </w:tcPr>
          <w:p w:rsidR="00740AEB" w:rsidRDefault="00A54893">
            <w:pPr>
              <w:spacing w:line="240" w:lineRule="auto"/>
              <w:ind w:firstLineChars="0" w:firstLine="0"/>
              <w:jc w:val="left"/>
              <w:rPr>
                <w:rFonts w:eastAsiaTheme="minorEastAsia" w:cs="Times New Roman"/>
                <w:bCs/>
                <w:szCs w:val="24"/>
              </w:rPr>
            </w:pPr>
            <w:r>
              <w:rPr>
                <w:rFonts w:eastAsiaTheme="minorEastAsia" w:cs="Times New Roman"/>
                <w:bCs/>
                <w:szCs w:val="24"/>
              </w:rPr>
              <w:t>1 AND 2</w:t>
            </w:r>
          </w:p>
        </w:tc>
        <w:tc>
          <w:tcPr>
            <w:tcW w:w="1762" w:type="dxa"/>
            <w:tcBorders>
              <w:bottom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3</w:t>
            </w:r>
            <w:r>
              <w:rPr>
                <w:rFonts w:eastAsiaTheme="minorEastAsia" w:cs="Times New Roman"/>
                <w:bCs/>
                <w:szCs w:val="24"/>
              </w:rPr>
              <w:t>9</w:t>
            </w:r>
          </w:p>
        </w:tc>
      </w:tr>
      <w:tr w:rsidR="00740AEB">
        <w:trPr>
          <w:trHeight w:val="328"/>
          <w:jc w:val="center"/>
        </w:trPr>
        <w:tc>
          <w:tcPr>
            <w:tcW w:w="1333" w:type="dxa"/>
            <w:tcBorders>
              <w:top w:val="single" w:sz="8" w:space="0" w:color="auto"/>
              <w:bottom w:val="single" w:sz="8" w:space="0" w:color="auto"/>
            </w:tcBorders>
          </w:tcPr>
          <w:p w:rsidR="00740AEB" w:rsidRDefault="00A54893">
            <w:pPr>
              <w:spacing w:line="240" w:lineRule="auto"/>
              <w:ind w:firstLineChars="0" w:firstLine="0"/>
              <w:jc w:val="center"/>
              <w:rPr>
                <w:rFonts w:eastAsiaTheme="minorEastAsia" w:cs="Times New Roman"/>
                <w:b/>
                <w:bCs/>
                <w:szCs w:val="24"/>
              </w:rPr>
            </w:pPr>
            <w:r>
              <w:rPr>
                <w:rFonts w:eastAsiaTheme="minorEastAsia" w:cs="Times New Roman"/>
                <w:b/>
                <w:bCs/>
                <w:szCs w:val="24"/>
              </w:rPr>
              <w:t>Ovid</w:t>
            </w:r>
          </w:p>
        </w:tc>
        <w:tc>
          <w:tcPr>
            <w:tcW w:w="427" w:type="dxa"/>
            <w:tcBorders>
              <w:top w:val="single" w:sz="8" w:space="0" w:color="auto"/>
              <w:bottom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1</w:t>
            </w:r>
          </w:p>
        </w:tc>
        <w:tc>
          <w:tcPr>
            <w:tcW w:w="6164" w:type="dxa"/>
            <w:tcBorders>
              <w:top w:val="single" w:sz="8" w:space="0" w:color="auto"/>
              <w:bottom w:val="single" w:sz="8" w:space="0" w:color="auto"/>
            </w:tcBorders>
          </w:tcPr>
          <w:p w:rsidR="00740AEB" w:rsidRDefault="00A54893">
            <w:pPr>
              <w:spacing w:line="240" w:lineRule="auto"/>
              <w:ind w:firstLineChars="0" w:firstLine="0"/>
              <w:jc w:val="left"/>
              <w:rPr>
                <w:rFonts w:eastAsiaTheme="minorEastAsia" w:cs="Times New Roman"/>
                <w:bCs/>
                <w:szCs w:val="24"/>
              </w:rPr>
            </w:pPr>
            <w:r>
              <w:t xml:space="preserve">(traject* or "group based" or "latent profile" or "latent class" or "latent growth" or "latent curve" or "latent transition" or "mixture model" or "growth model" or "mixture analysis" or "growth analysis").mp. [mp=title, abstract, full text, caption text]    </w:t>
            </w:r>
          </w:p>
        </w:tc>
        <w:tc>
          <w:tcPr>
            <w:tcW w:w="1762" w:type="dxa"/>
            <w:tcBorders>
              <w:top w:val="single" w:sz="8" w:space="0" w:color="auto"/>
              <w:bottom w:val="single" w:sz="8" w:space="0" w:color="auto"/>
            </w:tcBorders>
          </w:tcPr>
          <w:p w:rsidR="00740AEB" w:rsidRDefault="00A54893">
            <w:pPr>
              <w:spacing w:line="240" w:lineRule="auto"/>
              <w:ind w:firstLineChars="0" w:firstLine="0"/>
              <w:jc w:val="center"/>
              <w:rPr>
                <w:rFonts w:eastAsiaTheme="minorEastAsia" w:cs="Times New Roman"/>
                <w:bCs/>
                <w:szCs w:val="24"/>
              </w:rPr>
            </w:pPr>
            <w:r>
              <w:rPr>
                <w:rFonts w:eastAsiaTheme="minorEastAsia" w:cs="Times New Roman" w:hint="eastAsia"/>
                <w:bCs/>
                <w:szCs w:val="24"/>
              </w:rPr>
              <w:t>3</w:t>
            </w:r>
            <w:r>
              <w:rPr>
                <w:rFonts w:eastAsiaTheme="minorEastAsia" w:cs="Times New Roman"/>
                <w:bCs/>
                <w:szCs w:val="24"/>
              </w:rPr>
              <w:t>9,549</w:t>
            </w:r>
          </w:p>
        </w:tc>
      </w:tr>
    </w:tbl>
    <w:p w:rsidR="00740AEB" w:rsidRDefault="00740AEB">
      <w:pPr>
        <w:ind w:firstLineChars="0" w:firstLine="0"/>
        <w:rPr>
          <w:szCs w:val="24"/>
        </w:rPr>
        <w:sectPr w:rsidR="00740AEB">
          <w:pgSz w:w="11906" w:h="16838"/>
          <w:pgMar w:top="1418" w:right="1418" w:bottom="1418" w:left="1418" w:header="851" w:footer="992" w:gutter="0"/>
          <w:cols w:space="425"/>
          <w:docGrid w:type="lines" w:linePitch="312"/>
        </w:sectPr>
      </w:pPr>
    </w:p>
    <w:tbl>
      <w:tblPr>
        <w:tblStyle w:val="ab"/>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630"/>
        <w:gridCol w:w="398"/>
        <w:gridCol w:w="5698"/>
        <w:gridCol w:w="1630"/>
      </w:tblGrid>
      <w:tr w:rsidR="00740AEB">
        <w:trPr>
          <w:tblHeader/>
          <w:jc w:val="center"/>
        </w:trPr>
        <w:tc>
          <w:tcPr>
            <w:tcW w:w="9356" w:type="dxa"/>
            <w:gridSpan w:val="4"/>
            <w:tcBorders>
              <w:bottom w:val="single" w:sz="8" w:space="0" w:color="auto"/>
            </w:tcBorders>
          </w:tcPr>
          <w:p w:rsidR="00740AEB" w:rsidRDefault="00A54893">
            <w:pPr>
              <w:spacing w:line="276" w:lineRule="auto"/>
              <w:ind w:firstLineChars="0" w:firstLine="0"/>
              <w:jc w:val="left"/>
              <w:rPr>
                <w:rFonts w:eastAsiaTheme="minorEastAsia" w:cs="Times New Roman"/>
                <w:i/>
                <w:iCs/>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 xml:space="preserve">Table </w:t>
            </w:r>
            <w:r>
              <w:rPr>
                <w:rFonts w:eastAsiaTheme="minorEastAsia" w:cs="Times New Roman"/>
                <w:b/>
                <w:bCs/>
                <w:szCs w:val="24"/>
              </w:rPr>
              <w:t>S1</w:t>
            </w:r>
            <w:r>
              <w:rPr>
                <w:rFonts w:eastAsiaTheme="minorEastAsia" w:cs="Times New Roman" w:hint="eastAsia"/>
                <w:b/>
                <w:bCs/>
                <w:szCs w:val="24"/>
              </w:rPr>
              <w:t xml:space="preserve"> </w:t>
            </w:r>
            <w:r>
              <w:rPr>
                <w:rFonts w:eastAsiaTheme="minorEastAsia" w:cs="Times New Roman"/>
                <w:i/>
                <w:iCs/>
                <w:szCs w:val="24"/>
              </w:rPr>
              <w:t>(continued)</w:t>
            </w:r>
          </w:p>
        </w:tc>
      </w:tr>
      <w:tr w:rsidR="00740AEB">
        <w:trPr>
          <w:jc w:val="center"/>
        </w:trPr>
        <w:tc>
          <w:tcPr>
            <w:tcW w:w="1630" w:type="dxa"/>
            <w:tcBorders>
              <w:top w:val="single" w:sz="8" w:space="0" w:color="auto"/>
            </w:tcBorders>
          </w:tcPr>
          <w:p w:rsidR="00740AEB" w:rsidRDefault="00740AEB">
            <w:pPr>
              <w:spacing w:line="240" w:lineRule="auto"/>
              <w:ind w:firstLineChars="0" w:firstLine="0"/>
              <w:jc w:val="center"/>
              <w:rPr>
                <w:rFonts w:eastAsiaTheme="minorEastAsia" w:cs="Times New Roman"/>
                <w:b/>
                <w:bCs/>
                <w:szCs w:val="24"/>
              </w:rPr>
            </w:pPr>
          </w:p>
        </w:tc>
        <w:tc>
          <w:tcPr>
            <w:tcW w:w="398" w:type="dxa"/>
            <w:tcBorders>
              <w:top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2</w:t>
            </w:r>
          </w:p>
        </w:tc>
        <w:tc>
          <w:tcPr>
            <w:tcW w:w="5698" w:type="dxa"/>
            <w:tcBorders>
              <w:top w:val="single" w:sz="8" w:space="0" w:color="auto"/>
            </w:tcBorders>
          </w:tcPr>
          <w:p w:rsidR="00740AEB" w:rsidRDefault="00A54893">
            <w:pPr>
              <w:spacing w:line="240" w:lineRule="auto"/>
              <w:ind w:firstLineChars="0" w:firstLine="0"/>
              <w:jc w:val="left"/>
              <w:rPr>
                <w:rFonts w:eastAsiaTheme="minorEastAsia" w:cs="Times New Roman"/>
                <w:szCs w:val="24"/>
              </w:rPr>
            </w:pPr>
            <w:r>
              <w:t xml:space="preserve">("intrinsic capacity" or "intrinsic capacit*").mp. [mp=title, abstract, full text, caption text]    </w:t>
            </w:r>
          </w:p>
        </w:tc>
        <w:tc>
          <w:tcPr>
            <w:tcW w:w="1630" w:type="dxa"/>
            <w:tcBorders>
              <w:top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szCs w:val="24"/>
              </w:rPr>
              <w:t>314</w:t>
            </w:r>
          </w:p>
        </w:tc>
      </w:tr>
      <w:tr w:rsidR="00740AEB">
        <w:trPr>
          <w:jc w:val="center"/>
        </w:trPr>
        <w:tc>
          <w:tcPr>
            <w:tcW w:w="1630" w:type="dxa"/>
            <w:tcBorders>
              <w:bottom w:val="single" w:sz="8" w:space="0" w:color="auto"/>
            </w:tcBorders>
          </w:tcPr>
          <w:p w:rsidR="00740AEB" w:rsidRDefault="00740AEB">
            <w:pPr>
              <w:spacing w:line="240" w:lineRule="auto"/>
              <w:ind w:firstLineChars="0" w:firstLine="0"/>
              <w:jc w:val="center"/>
              <w:rPr>
                <w:rFonts w:eastAsiaTheme="minorEastAsia" w:cs="Times New Roman"/>
                <w:b/>
                <w:bCs/>
                <w:szCs w:val="24"/>
              </w:rPr>
            </w:pPr>
          </w:p>
        </w:tc>
        <w:tc>
          <w:tcPr>
            <w:tcW w:w="398" w:type="dxa"/>
            <w:tcBorders>
              <w:bottom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hint="eastAsia"/>
                <w:szCs w:val="24"/>
              </w:rPr>
              <w:t>3</w:t>
            </w:r>
          </w:p>
        </w:tc>
        <w:tc>
          <w:tcPr>
            <w:tcW w:w="5698" w:type="dxa"/>
            <w:tcBorders>
              <w:bottom w:val="single" w:sz="8" w:space="0" w:color="auto"/>
            </w:tcBorders>
          </w:tcPr>
          <w:p w:rsidR="00740AEB" w:rsidRDefault="00A54893">
            <w:pPr>
              <w:spacing w:line="240" w:lineRule="auto"/>
              <w:ind w:firstLineChars="0" w:firstLine="0"/>
              <w:jc w:val="left"/>
              <w:rPr>
                <w:rFonts w:eastAsiaTheme="minorEastAsia" w:cs="Times New Roman"/>
                <w:szCs w:val="24"/>
              </w:rPr>
            </w:pPr>
            <w:r>
              <w:t>1 AND 2</w:t>
            </w:r>
          </w:p>
        </w:tc>
        <w:tc>
          <w:tcPr>
            <w:tcW w:w="1630" w:type="dxa"/>
            <w:tcBorders>
              <w:bottom w:val="single" w:sz="8" w:space="0" w:color="auto"/>
            </w:tcBorders>
          </w:tcPr>
          <w:p w:rsidR="00740AEB" w:rsidRDefault="00A54893">
            <w:pPr>
              <w:spacing w:line="240" w:lineRule="auto"/>
              <w:ind w:firstLineChars="0" w:firstLine="0"/>
              <w:jc w:val="center"/>
              <w:rPr>
                <w:rFonts w:eastAsiaTheme="minorEastAsia" w:cs="Times New Roman"/>
                <w:szCs w:val="24"/>
              </w:rPr>
            </w:pPr>
            <w:r>
              <w:rPr>
                <w:rFonts w:eastAsiaTheme="minorEastAsia" w:cs="Times New Roman"/>
                <w:szCs w:val="24"/>
              </w:rPr>
              <w:t>22</w:t>
            </w:r>
          </w:p>
        </w:tc>
      </w:tr>
    </w:tbl>
    <w:p w:rsidR="00740AEB" w:rsidRDefault="00740AEB">
      <w:pPr>
        <w:ind w:firstLineChars="0" w:firstLine="0"/>
        <w:rPr>
          <w:szCs w:val="24"/>
        </w:rPr>
        <w:sectPr w:rsidR="00740AEB">
          <w:pgSz w:w="11906" w:h="16838"/>
          <w:pgMar w:top="1418" w:right="1418" w:bottom="1418" w:left="1418" w:header="851" w:footer="992" w:gutter="0"/>
          <w:cols w:space="425"/>
          <w:docGrid w:type="lines" w:linePitch="312"/>
        </w:sectPr>
      </w:pPr>
    </w:p>
    <w:p w:rsidR="00740AEB" w:rsidRDefault="00A54893">
      <w:pPr>
        <w:ind w:firstLineChars="0" w:firstLine="0"/>
        <w:rPr>
          <w:rFonts w:eastAsiaTheme="minorEastAsia" w:cs="Times New Roman"/>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2</w:t>
      </w:r>
      <w:r>
        <w:rPr>
          <w:rFonts w:eastAsiaTheme="minorEastAsia" w:cs="Times New Roman" w:hint="eastAsia"/>
          <w:b/>
          <w:bCs/>
          <w:szCs w:val="24"/>
        </w:rPr>
        <w:t xml:space="preserve"> </w:t>
      </w:r>
      <w:r w:rsidR="004969E2">
        <w:rPr>
          <w:rFonts w:eastAsiaTheme="minorEastAsia" w:cs="Times New Roman"/>
          <w:szCs w:val="24"/>
        </w:rPr>
        <w:t>Summary table of intrinsic capacity assessment t</w:t>
      </w:r>
      <w:r>
        <w:rPr>
          <w:rFonts w:eastAsiaTheme="minorEastAsia" w:cs="Times New Roman"/>
          <w:szCs w:val="24"/>
        </w:rPr>
        <w:t>ools</w:t>
      </w:r>
    </w:p>
    <w:tbl>
      <w:tblPr>
        <w:tblStyle w:val="ab"/>
        <w:tblW w:w="158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2835"/>
        <w:gridCol w:w="1984"/>
        <w:gridCol w:w="1701"/>
        <w:gridCol w:w="3260"/>
        <w:gridCol w:w="2268"/>
        <w:gridCol w:w="2410"/>
      </w:tblGrid>
      <w:tr w:rsidR="00740AEB">
        <w:trPr>
          <w:jc w:val="center"/>
        </w:trPr>
        <w:tc>
          <w:tcPr>
            <w:tcW w:w="1419" w:type="dxa"/>
            <w:vMerge w:val="restart"/>
            <w:tcBorders>
              <w:top w:val="single" w:sz="8" w:space="0" w:color="auto"/>
              <w:bottom w:val="single" w:sz="8" w:space="0" w:color="auto"/>
            </w:tcBorders>
          </w:tcPr>
          <w:p w:rsidR="00740AEB" w:rsidRDefault="00A54893">
            <w:pPr>
              <w:ind w:firstLineChars="0" w:firstLine="0"/>
              <w:rPr>
                <w:b/>
                <w:sz w:val="20"/>
                <w:szCs w:val="20"/>
              </w:rPr>
            </w:pPr>
            <w:r>
              <w:rPr>
                <w:b/>
                <w:sz w:val="20"/>
                <w:szCs w:val="20"/>
              </w:rPr>
              <w:t>Study, Time</w:t>
            </w:r>
          </w:p>
        </w:tc>
        <w:tc>
          <w:tcPr>
            <w:tcW w:w="12048" w:type="dxa"/>
            <w:gridSpan w:val="5"/>
            <w:tcBorders>
              <w:top w:val="single" w:sz="8" w:space="0" w:color="auto"/>
              <w:bottom w:val="single" w:sz="8" w:space="0" w:color="auto"/>
            </w:tcBorders>
          </w:tcPr>
          <w:p w:rsidR="00740AEB" w:rsidRDefault="00A54893">
            <w:pPr>
              <w:ind w:firstLineChars="0" w:firstLine="0"/>
              <w:rPr>
                <w:b/>
                <w:sz w:val="20"/>
                <w:szCs w:val="20"/>
              </w:rPr>
            </w:pPr>
            <w:r>
              <w:rPr>
                <w:b/>
                <w:sz w:val="20"/>
                <w:szCs w:val="20"/>
              </w:rPr>
              <w:t>IC Assessment Tools</w:t>
            </w:r>
          </w:p>
        </w:tc>
        <w:tc>
          <w:tcPr>
            <w:tcW w:w="2410" w:type="dxa"/>
            <w:vMerge w:val="restart"/>
            <w:tcBorders>
              <w:top w:val="single" w:sz="8" w:space="0" w:color="auto"/>
              <w:bottom w:val="single" w:sz="8" w:space="0" w:color="auto"/>
            </w:tcBorders>
          </w:tcPr>
          <w:p w:rsidR="00740AEB" w:rsidRDefault="00A54893">
            <w:pPr>
              <w:ind w:firstLineChars="0" w:firstLine="0"/>
              <w:rPr>
                <w:b/>
                <w:sz w:val="20"/>
                <w:szCs w:val="20"/>
              </w:rPr>
            </w:pPr>
            <w:r>
              <w:rPr>
                <w:b/>
                <w:sz w:val="20"/>
                <w:szCs w:val="20"/>
              </w:rPr>
              <w:t>IC index</w:t>
            </w:r>
          </w:p>
        </w:tc>
      </w:tr>
      <w:tr w:rsidR="00740AEB">
        <w:trPr>
          <w:jc w:val="center"/>
        </w:trPr>
        <w:tc>
          <w:tcPr>
            <w:tcW w:w="1419" w:type="dxa"/>
            <w:vMerge/>
            <w:tcBorders>
              <w:top w:val="single" w:sz="8" w:space="0" w:color="auto"/>
              <w:bottom w:val="single" w:sz="8" w:space="0" w:color="auto"/>
            </w:tcBorders>
          </w:tcPr>
          <w:p w:rsidR="00740AEB" w:rsidRDefault="00740AEB">
            <w:pPr>
              <w:ind w:firstLineChars="0" w:firstLine="0"/>
              <w:rPr>
                <w:sz w:val="20"/>
                <w:szCs w:val="20"/>
              </w:rPr>
            </w:pPr>
          </w:p>
        </w:tc>
        <w:tc>
          <w:tcPr>
            <w:tcW w:w="2835" w:type="dxa"/>
            <w:tcBorders>
              <w:top w:val="single" w:sz="8" w:space="0" w:color="auto"/>
              <w:bottom w:val="single" w:sz="8" w:space="0" w:color="auto"/>
            </w:tcBorders>
          </w:tcPr>
          <w:p w:rsidR="00740AEB" w:rsidRDefault="00A54893">
            <w:pPr>
              <w:ind w:firstLineChars="0" w:firstLine="0"/>
              <w:rPr>
                <w:b/>
                <w:sz w:val="20"/>
                <w:szCs w:val="20"/>
              </w:rPr>
            </w:pPr>
            <w:r>
              <w:rPr>
                <w:b/>
                <w:sz w:val="20"/>
                <w:szCs w:val="20"/>
              </w:rPr>
              <w:t>Cognition</w:t>
            </w:r>
          </w:p>
        </w:tc>
        <w:tc>
          <w:tcPr>
            <w:tcW w:w="1984" w:type="dxa"/>
            <w:tcBorders>
              <w:top w:val="single" w:sz="8" w:space="0" w:color="auto"/>
              <w:bottom w:val="single" w:sz="8" w:space="0" w:color="auto"/>
            </w:tcBorders>
          </w:tcPr>
          <w:p w:rsidR="00740AEB" w:rsidRDefault="00A54893">
            <w:pPr>
              <w:ind w:firstLineChars="0" w:firstLine="0"/>
              <w:rPr>
                <w:b/>
                <w:sz w:val="20"/>
                <w:szCs w:val="20"/>
              </w:rPr>
            </w:pPr>
            <w:r>
              <w:rPr>
                <w:b/>
                <w:sz w:val="20"/>
                <w:szCs w:val="20"/>
              </w:rPr>
              <w:t>Vitality</w:t>
            </w:r>
          </w:p>
        </w:tc>
        <w:tc>
          <w:tcPr>
            <w:tcW w:w="1701" w:type="dxa"/>
            <w:tcBorders>
              <w:top w:val="single" w:sz="8" w:space="0" w:color="auto"/>
              <w:bottom w:val="single" w:sz="8" w:space="0" w:color="auto"/>
            </w:tcBorders>
          </w:tcPr>
          <w:p w:rsidR="00740AEB" w:rsidRDefault="00A54893">
            <w:pPr>
              <w:ind w:firstLineChars="0" w:firstLine="0"/>
              <w:rPr>
                <w:b/>
                <w:sz w:val="20"/>
                <w:szCs w:val="20"/>
              </w:rPr>
            </w:pPr>
            <w:r>
              <w:rPr>
                <w:b/>
                <w:sz w:val="20"/>
                <w:szCs w:val="20"/>
              </w:rPr>
              <w:t xml:space="preserve">Sensory </w:t>
            </w:r>
          </w:p>
        </w:tc>
        <w:tc>
          <w:tcPr>
            <w:tcW w:w="3260" w:type="dxa"/>
            <w:tcBorders>
              <w:top w:val="single" w:sz="8" w:space="0" w:color="auto"/>
              <w:bottom w:val="single" w:sz="8" w:space="0" w:color="auto"/>
            </w:tcBorders>
          </w:tcPr>
          <w:p w:rsidR="00740AEB" w:rsidRDefault="00A54893">
            <w:pPr>
              <w:ind w:firstLineChars="0" w:firstLine="0"/>
              <w:rPr>
                <w:b/>
                <w:sz w:val="20"/>
                <w:szCs w:val="20"/>
              </w:rPr>
            </w:pPr>
            <w:r>
              <w:rPr>
                <w:b/>
                <w:sz w:val="20"/>
                <w:szCs w:val="20"/>
              </w:rPr>
              <w:t>Locomotion</w:t>
            </w:r>
          </w:p>
        </w:tc>
        <w:tc>
          <w:tcPr>
            <w:tcW w:w="2268" w:type="dxa"/>
            <w:tcBorders>
              <w:top w:val="single" w:sz="8" w:space="0" w:color="auto"/>
              <w:bottom w:val="single" w:sz="8" w:space="0" w:color="auto"/>
            </w:tcBorders>
          </w:tcPr>
          <w:p w:rsidR="00740AEB" w:rsidRDefault="00A54893">
            <w:pPr>
              <w:ind w:firstLineChars="0" w:firstLine="0"/>
              <w:rPr>
                <w:b/>
                <w:sz w:val="20"/>
                <w:szCs w:val="20"/>
              </w:rPr>
            </w:pPr>
            <w:r>
              <w:rPr>
                <w:b/>
                <w:sz w:val="20"/>
                <w:szCs w:val="20"/>
              </w:rPr>
              <w:t>Psychological</w:t>
            </w:r>
          </w:p>
        </w:tc>
        <w:tc>
          <w:tcPr>
            <w:tcW w:w="2410" w:type="dxa"/>
            <w:vMerge/>
            <w:tcBorders>
              <w:top w:val="single" w:sz="8" w:space="0" w:color="auto"/>
              <w:bottom w:val="single" w:sz="8" w:space="0" w:color="auto"/>
            </w:tcBorders>
          </w:tcPr>
          <w:p w:rsidR="00740AEB" w:rsidRDefault="00740AEB">
            <w:pPr>
              <w:ind w:firstLineChars="0" w:firstLine="0"/>
              <w:rPr>
                <w:sz w:val="20"/>
                <w:szCs w:val="20"/>
              </w:rPr>
            </w:pPr>
          </w:p>
        </w:tc>
      </w:tr>
      <w:tr w:rsidR="00740AEB">
        <w:trPr>
          <w:jc w:val="center"/>
        </w:trPr>
        <w:tc>
          <w:tcPr>
            <w:tcW w:w="1419"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Erwin et al,2021</w:t>
            </w:r>
          </w:p>
        </w:tc>
        <w:tc>
          <w:tcPr>
            <w:tcW w:w="2835"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MMSE</w:t>
            </w:r>
          </w:p>
        </w:tc>
        <w:tc>
          <w:tcPr>
            <w:tcW w:w="1984"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 xml:space="preserve">handgrip strength </w:t>
            </w:r>
          </w:p>
          <w:p w:rsidR="00740AEB" w:rsidRDefault="00A54893">
            <w:pPr>
              <w:spacing w:line="240" w:lineRule="auto"/>
              <w:ind w:firstLineChars="0" w:firstLine="0"/>
              <w:rPr>
                <w:rFonts w:cs="Times New Roman"/>
                <w:sz w:val="18"/>
                <w:szCs w:val="18"/>
              </w:rPr>
            </w:pPr>
            <w:r>
              <w:rPr>
                <w:rFonts w:cs="Times New Roman"/>
                <w:sz w:val="18"/>
                <w:szCs w:val="18"/>
              </w:rPr>
              <w:t>respiratory functioning</w:t>
            </w:r>
          </w:p>
        </w:tc>
        <w:tc>
          <w:tcPr>
            <w:tcW w:w="1701"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vision-Jaeger chart</w:t>
            </w:r>
          </w:p>
          <w:p w:rsidR="00740AEB" w:rsidRDefault="00A54893">
            <w:pPr>
              <w:spacing w:line="240" w:lineRule="auto"/>
              <w:ind w:firstLineChars="0" w:firstLine="0"/>
              <w:rPr>
                <w:rFonts w:cs="Times New Roman"/>
                <w:sz w:val="18"/>
                <w:szCs w:val="18"/>
              </w:rPr>
            </w:pPr>
            <w:r>
              <w:rPr>
                <w:rFonts w:cs="Times New Roman"/>
                <w:sz w:val="18"/>
                <w:szCs w:val="18"/>
              </w:rPr>
              <w:t>hearing-Audioscope</w:t>
            </w:r>
          </w:p>
        </w:tc>
        <w:tc>
          <w:tcPr>
            <w:tcW w:w="3260"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SPPB</w:t>
            </w:r>
          </w:p>
        </w:tc>
        <w:tc>
          <w:tcPr>
            <w:tcW w:w="2268"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CES-D</w:t>
            </w:r>
          </w:p>
        </w:tc>
        <w:tc>
          <w:tcPr>
            <w:tcW w:w="2410" w:type="dxa"/>
            <w:tcBorders>
              <w:top w:val="single" w:sz="8" w:space="0" w:color="auto"/>
            </w:tcBorders>
            <w:vAlign w:val="center"/>
          </w:tcPr>
          <w:p w:rsidR="00740AEB" w:rsidRDefault="00A54893">
            <w:pPr>
              <w:spacing w:line="240" w:lineRule="auto"/>
              <w:ind w:firstLineChars="0" w:firstLine="0"/>
              <w:rPr>
                <w:rFonts w:cs="Times New Roman"/>
                <w:sz w:val="18"/>
                <w:szCs w:val="18"/>
              </w:rPr>
            </w:pPr>
            <w:r>
              <w:rPr>
                <w:rFonts w:cs="Times New Roman"/>
                <w:sz w:val="18"/>
                <w:szCs w:val="18"/>
              </w:rPr>
              <w:t>Average five domians, rescaled 0-100</w:t>
            </w:r>
          </w:p>
        </w:tc>
      </w:tr>
      <w:tr w:rsidR="00740AEB">
        <w:trPr>
          <w:jc w:val="center"/>
        </w:trPr>
        <w:tc>
          <w:tcPr>
            <w:tcW w:w="1419" w:type="dxa"/>
            <w:vAlign w:val="center"/>
          </w:tcPr>
          <w:p w:rsidR="00740AEB" w:rsidRDefault="00A54893">
            <w:pPr>
              <w:spacing w:line="240" w:lineRule="auto"/>
              <w:ind w:firstLineChars="0" w:firstLine="0"/>
              <w:rPr>
                <w:rFonts w:cs="Times New Roman"/>
                <w:sz w:val="18"/>
                <w:szCs w:val="18"/>
              </w:rPr>
            </w:pPr>
            <w:r>
              <w:rPr>
                <w:rFonts w:cs="Times New Roman"/>
                <w:sz w:val="18"/>
                <w:szCs w:val="18"/>
              </w:rPr>
              <w:t>Chen et al, 2022</w:t>
            </w:r>
          </w:p>
        </w:tc>
        <w:tc>
          <w:tcPr>
            <w:tcW w:w="2835" w:type="dxa"/>
            <w:vAlign w:val="center"/>
          </w:tcPr>
          <w:p w:rsidR="00740AEB" w:rsidRDefault="00A54893">
            <w:pPr>
              <w:spacing w:line="240" w:lineRule="auto"/>
              <w:ind w:firstLineChars="0" w:firstLine="0"/>
              <w:rPr>
                <w:rFonts w:cs="Times New Roman"/>
                <w:sz w:val="18"/>
                <w:szCs w:val="18"/>
              </w:rPr>
            </w:pPr>
            <w:bookmarkStart w:id="24" w:name="OLE_LINK9"/>
            <w:bookmarkStart w:id="25" w:name="OLE_LINK8"/>
            <w:r>
              <w:rPr>
                <w:rFonts w:cs="Times New Roman"/>
                <w:sz w:val="18"/>
                <w:szCs w:val="18"/>
              </w:rPr>
              <w:t>SPMSQ</w:t>
            </w:r>
            <w:bookmarkEnd w:id="24"/>
            <w:bookmarkEnd w:id="25"/>
          </w:p>
        </w:tc>
        <w:tc>
          <w:tcPr>
            <w:tcW w:w="1984" w:type="dxa"/>
            <w:vAlign w:val="center"/>
          </w:tcPr>
          <w:p w:rsidR="00740AEB" w:rsidRDefault="00A54893">
            <w:pPr>
              <w:spacing w:line="240" w:lineRule="auto"/>
              <w:ind w:firstLineChars="0" w:firstLine="0"/>
              <w:rPr>
                <w:rFonts w:cs="Times New Roman"/>
                <w:sz w:val="18"/>
                <w:szCs w:val="18"/>
              </w:rPr>
            </w:pPr>
            <w:r>
              <w:rPr>
                <w:rFonts w:cs="Times New Roman"/>
                <w:sz w:val="18"/>
                <w:szCs w:val="18"/>
              </w:rPr>
              <w:t>BMI</w:t>
            </w:r>
          </w:p>
        </w:tc>
        <w:tc>
          <w:tcPr>
            <w:tcW w:w="1701" w:type="dxa"/>
            <w:vAlign w:val="center"/>
          </w:tcPr>
          <w:p w:rsidR="00740AEB" w:rsidRDefault="00A54893">
            <w:pPr>
              <w:spacing w:line="240" w:lineRule="auto"/>
              <w:ind w:firstLineChars="0" w:firstLine="0"/>
              <w:rPr>
                <w:rFonts w:cs="Times New Roman"/>
                <w:sz w:val="18"/>
                <w:szCs w:val="18"/>
              </w:rPr>
            </w:pPr>
            <w:r>
              <w:rPr>
                <w:rFonts w:cs="Times New Roman"/>
                <w:sz w:val="18"/>
                <w:szCs w:val="18"/>
              </w:rPr>
              <w:t>Self-report</w:t>
            </w:r>
          </w:p>
        </w:tc>
        <w:tc>
          <w:tcPr>
            <w:tcW w:w="3260" w:type="dxa"/>
            <w:vAlign w:val="center"/>
          </w:tcPr>
          <w:p w:rsidR="00740AEB" w:rsidRDefault="00A54893">
            <w:pPr>
              <w:spacing w:line="240" w:lineRule="auto"/>
              <w:ind w:firstLineChars="0" w:firstLine="0"/>
              <w:rPr>
                <w:rFonts w:cs="Times New Roman"/>
                <w:sz w:val="18"/>
                <w:szCs w:val="18"/>
              </w:rPr>
            </w:pPr>
            <w:r>
              <w:rPr>
                <w:rFonts w:cs="Times New Roman"/>
                <w:sz w:val="18"/>
                <w:szCs w:val="18"/>
              </w:rPr>
              <w:t>locomotion was assessed based on assistive devices</w:t>
            </w:r>
          </w:p>
        </w:tc>
        <w:tc>
          <w:tcPr>
            <w:tcW w:w="2268" w:type="dxa"/>
            <w:vAlign w:val="center"/>
          </w:tcPr>
          <w:p w:rsidR="00740AEB" w:rsidRDefault="00A54893">
            <w:pPr>
              <w:spacing w:line="240" w:lineRule="auto"/>
              <w:ind w:firstLineChars="0" w:firstLine="0"/>
              <w:rPr>
                <w:rFonts w:cs="Times New Roman"/>
                <w:sz w:val="18"/>
                <w:szCs w:val="18"/>
              </w:rPr>
            </w:pPr>
            <w:r>
              <w:rPr>
                <w:rFonts w:cs="Times New Roman"/>
                <w:sz w:val="18"/>
                <w:szCs w:val="18"/>
              </w:rPr>
              <w:t>CES-D</w:t>
            </w:r>
          </w:p>
        </w:tc>
        <w:tc>
          <w:tcPr>
            <w:tcW w:w="2410" w:type="dxa"/>
            <w:vAlign w:val="center"/>
          </w:tcPr>
          <w:p w:rsidR="00740AEB" w:rsidRDefault="00A54893">
            <w:pPr>
              <w:spacing w:line="240" w:lineRule="auto"/>
              <w:ind w:firstLineChars="0" w:firstLine="0"/>
              <w:rPr>
                <w:rFonts w:cs="Times New Roman"/>
                <w:sz w:val="18"/>
                <w:szCs w:val="18"/>
              </w:rPr>
            </w:pPr>
            <w:r>
              <w:rPr>
                <w:rFonts w:cs="Times New Roman"/>
                <w:sz w:val="18"/>
                <w:szCs w:val="18"/>
              </w:rPr>
              <w:t>sum of dichotomised domian measure(0-6)</w:t>
            </w:r>
          </w:p>
        </w:tc>
      </w:tr>
      <w:tr w:rsidR="00740AEB">
        <w:trPr>
          <w:jc w:val="center"/>
        </w:trPr>
        <w:tc>
          <w:tcPr>
            <w:tcW w:w="1419" w:type="dxa"/>
            <w:vAlign w:val="center"/>
          </w:tcPr>
          <w:p w:rsidR="00740AEB" w:rsidRDefault="00A54893">
            <w:pPr>
              <w:spacing w:line="240" w:lineRule="auto"/>
              <w:ind w:firstLineChars="0" w:firstLine="0"/>
              <w:rPr>
                <w:rFonts w:cs="Times New Roman"/>
                <w:sz w:val="18"/>
                <w:szCs w:val="18"/>
              </w:rPr>
            </w:pPr>
            <w:r>
              <w:rPr>
                <w:rFonts w:cs="Times New Roman"/>
                <w:sz w:val="18"/>
                <w:szCs w:val="18"/>
              </w:rPr>
              <w:t>Aaron et al,2022</w:t>
            </w:r>
          </w:p>
        </w:tc>
        <w:tc>
          <w:tcPr>
            <w:tcW w:w="2835" w:type="dxa"/>
            <w:vAlign w:val="center"/>
          </w:tcPr>
          <w:p w:rsidR="00740AEB" w:rsidRDefault="00A54893">
            <w:pPr>
              <w:spacing w:line="240" w:lineRule="auto"/>
              <w:ind w:firstLineChars="0" w:firstLine="0"/>
              <w:rPr>
                <w:rFonts w:cs="Times New Roman"/>
                <w:sz w:val="18"/>
                <w:szCs w:val="18"/>
              </w:rPr>
            </w:pPr>
            <w:r>
              <w:rPr>
                <w:rFonts w:cs="Times New Roman"/>
                <w:sz w:val="18"/>
                <w:szCs w:val="18"/>
              </w:rPr>
              <w:t>Immediate and delayed verbal recall</w:t>
            </w:r>
          </w:p>
          <w:p w:rsidR="00740AEB" w:rsidRDefault="00A54893">
            <w:pPr>
              <w:spacing w:line="240" w:lineRule="auto"/>
              <w:ind w:firstLineChars="0" w:firstLine="0"/>
              <w:rPr>
                <w:rFonts w:cs="Times New Roman"/>
                <w:sz w:val="18"/>
                <w:szCs w:val="18"/>
              </w:rPr>
            </w:pPr>
            <w:r>
              <w:rPr>
                <w:rFonts w:cs="Times New Roman"/>
                <w:sz w:val="18"/>
                <w:szCs w:val="18"/>
              </w:rPr>
              <w:t>Forward and backward digit span</w:t>
            </w:r>
          </w:p>
          <w:p w:rsidR="00740AEB" w:rsidRDefault="00A54893">
            <w:pPr>
              <w:spacing w:line="240" w:lineRule="auto"/>
              <w:ind w:firstLineChars="0" w:firstLine="0"/>
              <w:rPr>
                <w:rFonts w:cs="Times New Roman"/>
                <w:sz w:val="18"/>
                <w:szCs w:val="18"/>
              </w:rPr>
            </w:pPr>
            <w:r>
              <w:rPr>
                <w:rFonts w:cs="Times New Roman"/>
                <w:sz w:val="18"/>
                <w:szCs w:val="18"/>
              </w:rPr>
              <w:t>Verbal fluency test.</w:t>
            </w:r>
          </w:p>
        </w:tc>
        <w:tc>
          <w:tcPr>
            <w:tcW w:w="1984" w:type="dxa"/>
            <w:vAlign w:val="center"/>
          </w:tcPr>
          <w:p w:rsidR="00740AEB" w:rsidRDefault="00A54893">
            <w:pPr>
              <w:spacing w:line="240" w:lineRule="auto"/>
              <w:ind w:firstLineChars="0" w:firstLine="0"/>
              <w:rPr>
                <w:rFonts w:cs="Times New Roman"/>
                <w:sz w:val="18"/>
                <w:szCs w:val="18"/>
              </w:rPr>
            </w:pPr>
            <w:r>
              <w:rPr>
                <w:rFonts w:cs="Times New Roman"/>
                <w:sz w:val="18"/>
                <w:szCs w:val="18"/>
              </w:rPr>
              <w:t xml:space="preserve">BMI and </w:t>
            </w:r>
          </w:p>
          <w:p w:rsidR="00740AEB" w:rsidRDefault="00A54893">
            <w:pPr>
              <w:spacing w:line="240" w:lineRule="auto"/>
              <w:ind w:firstLineChars="0" w:firstLine="0"/>
              <w:rPr>
                <w:rFonts w:cs="Times New Roman"/>
                <w:sz w:val="18"/>
                <w:szCs w:val="18"/>
              </w:rPr>
            </w:pPr>
            <w:r>
              <w:rPr>
                <w:rFonts w:cs="Times New Roman"/>
                <w:sz w:val="18"/>
                <w:szCs w:val="18"/>
              </w:rPr>
              <w:t>handgrip strength</w:t>
            </w:r>
          </w:p>
        </w:tc>
        <w:tc>
          <w:tcPr>
            <w:tcW w:w="1701" w:type="dxa"/>
            <w:vAlign w:val="center"/>
          </w:tcPr>
          <w:p w:rsidR="00740AEB" w:rsidRDefault="00A54893">
            <w:pPr>
              <w:spacing w:line="240" w:lineRule="auto"/>
              <w:ind w:firstLineChars="0" w:firstLine="0"/>
              <w:rPr>
                <w:rFonts w:cs="Times New Roman"/>
                <w:sz w:val="18"/>
                <w:szCs w:val="18"/>
              </w:rPr>
            </w:pPr>
            <w:r>
              <w:rPr>
                <w:rFonts w:cs="Times New Roman"/>
                <w:sz w:val="18"/>
                <w:szCs w:val="18"/>
              </w:rPr>
              <w:t>Self-report</w:t>
            </w:r>
          </w:p>
        </w:tc>
        <w:tc>
          <w:tcPr>
            <w:tcW w:w="3260" w:type="dxa"/>
            <w:vAlign w:val="center"/>
          </w:tcPr>
          <w:p w:rsidR="00740AEB" w:rsidRDefault="00A54893">
            <w:pPr>
              <w:spacing w:line="240" w:lineRule="auto"/>
              <w:ind w:firstLineChars="0" w:firstLine="0"/>
              <w:rPr>
                <w:rFonts w:cs="Times New Roman"/>
                <w:sz w:val="18"/>
                <w:szCs w:val="18"/>
              </w:rPr>
            </w:pPr>
            <w:r>
              <w:rPr>
                <w:rFonts w:cs="Times New Roman"/>
                <w:sz w:val="18"/>
                <w:szCs w:val="18"/>
              </w:rPr>
              <w:t>the gait speed</w:t>
            </w:r>
          </w:p>
        </w:tc>
        <w:tc>
          <w:tcPr>
            <w:tcW w:w="2268" w:type="dxa"/>
            <w:vAlign w:val="center"/>
          </w:tcPr>
          <w:p w:rsidR="00740AEB" w:rsidRDefault="00A54893">
            <w:pPr>
              <w:spacing w:line="240" w:lineRule="auto"/>
              <w:ind w:firstLineChars="0" w:firstLine="0"/>
              <w:rPr>
                <w:rFonts w:cs="Times New Roman"/>
                <w:sz w:val="18"/>
                <w:szCs w:val="18"/>
              </w:rPr>
            </w:pPr>
            <w:r>
              <w:rPr>
                <w:rFonts w:cs="Times New Roman"/>
                <w:sz w:val="18"/>
                <w:szCs w:val="18"/>
              </w:rPr>
              <w:t>WMH</w:t>
            </w:r>
          </w:p>
        </w:tc>
        <w:tc>
          <w:tcPr>
            <w:tcW w:w="2410" w:type="dxa"/>
            <w:vAlign w:val="center"/>
          </w:tcPr>
          <w:p w:rsidR="00740AEB" w:rsidRDefault="00A54893">
            <w:pPr>
              <w:spacing w:line="240" w:lineRule="auto"/>
              <w:ind w:firstLineChars="0" w:firstLine="0"/>
              <w:rPr>
                <w:rFonts w:cs="Times New Roman"/>
                <w:sz w:val="18"/>
                <w:szCs w:val="18"/>
              </w:rPr>
            </w:pPr>
            <w:r>
              <w:rPr>
                <w:rFonts w:cs="Times New Roman"/>
                <w:sz w:val="18"/>
                <w:szCs w:val="18"/>
              </w:rPr>
              <w:t>Score generated from IRT</w:t>
            </w:r>
          </w:p>
        </w:tc>
      </w:tr>
      <w:tr w:rsidR="00740AEB">
        <w:trPr>
          <w:jc w:val="center"/>
        </w:trPr>
        <w:tc>
          <w:tcPr>
            <w:tcW w:w="1419" w:type="dxa"/>
            <w:vAlign w:val="center"/>
          </w:tcPr>
          <w:p w:rsidR="00740AEB" w:rsidRDefault="00A54893">
            <w:pPr>
              <w:spacing w:line="240" w:lineRule="auto"/>
              <w:ind w:firstLineChars="0" w:firstLine="0"/>
              <w:rPr>
                <w:rFonts w:cs="Times New Roman"/>
                <w:sz w:val="18"/>
                <w:szCs w:val="18"/>
              </w:rPr>
            </w:pPr>
            <w:bookmarkStart w:id="26" w:name="_Hlk183532725"/>
            <w:r>
              <w:rPr>
                <w:rFonts w:cs="Times New Roman"/>
                <w:sz w:val="16"/>
                <w:szCs w:val="16"/>
              </w:rPr>
              <w:t>Gonzalez-Bautista</w:t>
            </w:r>
            <w:r>
              <w:rPr>
                <w:rFonts w:cs="Times New Roman"/>
                <w:sz w:val="18"/>
                <w:szCs w:val="18"/>
              </w:rPr>
              <w:t xml:space="preserve"> et al,2023</w:t>
            </w:r>
          </w:p>
        </w:tc>
        <w:tc>
          <w:tcPr>
            <w:tcW w:w="2835" w:type="dxa"/>
            <w:vAlign w:val="center"/>
          </w:tcPr>
          <w:p w:rsidR="00740AEB" w:rsidRDefault="00A54893">
            <w:pPr>
              <w:spacing w:line="240" w:lineRule="auto"/>
              <w:ind w:firstLineChars="0" w:firstLine="0"/>
              <w:rPr>
                <w:rFonts w:cs="Times New Roman"/>
                <w:sz w:val="18"/>
                <w:szCs w:val="18"/>
              </w:rPr>
            </w:pPr>
            <w:r>
              <w:rPr>
                <w:rFonts w:cs="Times New Roman"/>
                <w:sz w:val="18"/>
                <w:szCs w:val="18"/>
              </w:rPr>
              <w:t>CSI-D</w:t>
            </w:r>
          </w:p>
        </w:tc>
        <w:tc>
          <w:tcPr>
            <w:tcW w:w="1984" w:type="dxa"/>
            <w:vAlign w:val="center"/>
          </w:tcPr>
          <w:p w:rsidR="00740AEB" w:rsidRDefault="00A54893">
            <w:pPr>
              <w:spacing w:line="240" w:lineRule="auto"/>
              <w:ind w:firstLineChars="0" w:firstLine="0"/>
              <w:rPr>
                <w:rFonts w:cs="Times New Roman"/>
                <w:sz w:val="18"/>
                <w:szCs w:val="18"/>
              </w:rPr>
            </w:pPr>
            <w:r>
              <w:rPr>
                <w:rFonts w:cs="Times New Roman"/>
                <w:sz w:val="18"/>
                <w:szCs w:val="18"/>
              </w:rPr>
              <w:t>self-report of weight loss of ≥4.5kginthe last 3 months</w:t>
            </w:r>
          </w:p>
          <w:p w:rsidR="00740AEB" w:rsidRDefault="00A54893">
            <w:pPr>
              <w:spacing w:line="240" w:lineRule="auto"/>
              <w:ind w:firstLineChars="0" w:firstLine="0"/>
              <w:rPr>
                <w:rFonts w:cs="Times New Roman"/>
                <w:sz w:val="18"/>
                <w:szCs w:val="18"/>
              </w:rPr>
            </w:pPr>
            <w:r>
              <w:rPr>
                <w:rFonts w:cs="Times New Roman"/>
                <w:sz w:val="18"/>
                <w:szCs w:val="18"/>
              </w:rPr>
              <w:t>or if their mid-upper arm circumference was measured to be &lt;22 cm</w:t>
            </w:r>
          </w:p>
        </w:tc>
        <w:tc>
          <w:tcPr>
            <w:tcW w:w="1701" w:type="dxa"/>
            <w:vAlign w:val="center"/>
          </w:tcPr>
          <w:p w:rsidR="00740AEB" w:rsidRDefault="00A54893">
            <w:pPr>
              <w:spacing w:line="240" w:lineRule="auto"/>
              <w:ind w:firstLineChars="0" w:firstLine="0"/>
              <w:rPr>
                <w:rFonts w:cs="Times New Roman"/>
                <w:sz w:val="18"/>
                <w:szCs w:val="18"/>
              </w:rPr>
            </w:pPr>
            <w:r>
              <w:rPr>
                <w:rFonts w:cs="Times New Roman"/>
                <w:sz w:val="18"/>
                <w:szCs w:val="18"/>
              </w:rPr>
              <w:t>Self-report</w:t>
            </w:r>
          </w:p>
        </w:tc>
        <w:tc>
          <w:tcPr>
            <w:tcW w:w="3260" w:type="dxa"/>
            <w:vAlign w:val="center"/>
          </w:tcPr>
          <w:p w:rsidR="00740AEB" w:rsidRDefault="00A54893">
            <w:pPr>
              <w:spacing w:line="240" w:lineRule="auto"/>
              <w:ind w:firstLineChars="0" w:firstLine="0"/>
              <w:rPr>
                <w:rFonts w:cs="Times New Roman"/>
                <w:sz w:val="18"/>
                <w:szCs w:val="18"/>
              </w:rPr>
            </w:pPr>
            <w:r>
              <w:rPr>
                <w:rFonts w:cs="Times New Roman"/>
                <w:sz w:val="18"/>
                <w:szCs w:val="18"/>
              </w:rPr>
              <w:t>a timed walking test</w:t>
            </w:r>
          </w:p>
        </w:tc>
        <w:tc>
          <w:tcPr>
            <w:tcW w:w="2268" w:type="dxa"/>
            <w:vAlign w:val="center"/>
          </w:tcPr>
          <w:p w:rsidR="00740AEB" w:rsidRDefault="00A54893">
            <w:pPr>
              <w:spacing w:line="240" w:lineRule="auto"/>
              <w:ind w:firstLineChars="0" w:firstLine="0"/>
              <w:rPr>
                <w:rFonts w:cs="Times New Roman"/>
                <w:sz w:val="18"/>
                <w:szCs w:val="18"/>
              </w:rPr>
            </w:pPr>
            <w:bookmarkStart w:id="27" w:name="OLE_LINK5"/>
            <w:bookmarkStart w:id="28" w:name="OLE_LINK4"/>
            <w:r>
              <w:rPr>
                <w:rFonts w:cs="Times New Roman"/>
                <w:sz w:val="18"/>
                <w:szCs w:val="18"/>
              </w:rPr>
              <w:t xml:space="preserve">EURO-D </w:t>
            </w:r>
            <w:bookmarkEnd w:id="27"/>
            <w:bookmarkEnd w:id="28"/>
          </w:p>
        </w:tc>
        <w:tc>
          <w:tcPr>
            <w:tcW w:w="2410" w:type="dxa"/>
            <w:vAlign w:val="center"/>
          </w:tcPr>
          <w:p w:rsidR="00740AEB" w:rsidRDefault="00A54893">
            <w:pPr>
              <w:spacing w:line="240" w:lineRule="auto"/>
              <w:ind w:firstLineChars="0" w:firstLine="0"/>
              <w:rPr>
                <w:rFonts w:cs="Times New Roman"/>
                <w:sz w:val="18"/>
                <w:szCs w:val="18"/>
              </w:rPr>
            </w:pPr>
            <w:r>
              <w:rPr>
                <w:rFonts w:cs="Times New Roman"/>
                <w:sz w:val="18"/>
                <w:szCs w:val="18"/>
              </w:rPr>
              <w:t>NR</w:t>
            </w:r>
          </w:p>
        </w:tc>
      </w:tr>
      <w:bookmarkEnd w:id="26"/>
      <w:tr w:rsidR="00740AEB">
        <w:trPr>
          <w:jc w:val="center"/>
        </w:trPr>
        <w:tc>
          <w:tcPr>
            <w:tcW w:w="1419" w:type="dxa"/>
            <w:vAlign w:val="center"/>
          </w:tcPr>
          <w:p w:rsidR="00740AEB" w:rsidRDefault="00A54893">
            <w:pPr>
              <w:ind w:firstLineChars="0" w:firstLine="0"/>
              <w:rPr>
                <w:sz w:val="18"/>
                <w:szCs w:val="18"/>
              </w:rPr>
            </w:pPr>
            <w:r>
              <w:rPr>
                <w:sz w:val="18"/>
                <w:szCs w:val="18"/>
              </w:rPr>
              <w:t>Lu et al,2023</w:t>
            </w:r>
          </w:p>
        </w:tc>
        <w:tc>
          <w:tcPr>
            <w:tcW w:w="2835" w:type="dxa"/>
            <w:vAlign w:val="center"/>
          </w:tcPr>
          <w:p w:rsidR="00740AEB" w:rsidRDefault="00A54893">
            <w:pPr>
              <w:spacing w:line="240" w:lineRule="auto"/>
              <w:ind w:firstLineChars="0" w:firstLine="0"/>
              <w:rPr>
                <w:sz w:val="18"/>
                <w:szCs w:val="18"/>
              </w:rPr>
            </w:pPr>
            <w:r>
              <w:rPr>
                <w:sz w:val="18"/>
                <w:szCs w:val="18"/>
              </w:rPr>
              <w:t>MMSE</w:t>
            </w:r>
          </w:p>
        </w:tc>
        <w:tc>
          <w:tcPr>
            <w:tcW w:w="1984" w:type="dxa"/>
            <w:vAlign w:val="center"/>
          </w:tcPr>
          <w:p w:rsidR="00740AEB" w:rsidRDefault="00A54893">
            <w:pPr>
              <w:spacing w:line="240" w:lineRule="auto"/>
              <w:ind w:firstLineChars="0" w:firstLine="0"/>
              <w:rPr>
                <w:sz w:val="18"/>
                <w:szCs w:val="18"/>
              </w:rPr>
            </w:pPr>
            <w:r>
              <w:rPr>
                <w:sz w:val="18"/>
                <w:szCs w:val="18"/>
              </w:rPr>
              <w:t>handgrip strength</w:t>
            </w:r>
          </w:p>
        </w:tc>
        <w:tc>
          <w:tcPr>
            <w:tcW w:w="1701" w:type="dxa"/>
            <w:vAlign w:val="center"/>
          </w:tcPr>
          <w:p w:rsidR="00740AEB" w:rsidRDefault="00A54893">
            <w:pPr>
              <w:spacing w:line="240" w:lineRule="auto"/>
              <w:ind w:firstLineChars="0" w:firstLine="0"/>
              <w:rPr>
                <w:sz w:val="18"/>
                <w:szCs w:val="18"/>
              </w:rPr>
            </w:pPr>
            <w:r>
              <w:rPr>
                <w:sz w:val="18"/>
                <w:szCs w:val="18"/>
              </w:rPr>
              <w:t>NR</w:t>
            </w:r>
          </w:p>
        </w:tc>
        <w:tc>
          <w:tcPr>
            <w:tcW w:w="3260" w:type="dxa"/>
            <w:vAlign w:val="center"/>
          </w:tcPr>
          <w:p w:rsidR="00740AEB" w:rsidRDefault="00A54893">
            <w:pPr>
              <w:spacing w:line="240" w:lineRule="auto"/>
              <w:ind w:firstLineChars="0" w:firstLine="0"/>
              <w:rPr>
                <w:sz w:val="18"/>
                <w:szCs w:val="18"/>
              </w:rPr>
            </w:pPr>
            <w:r>
              <w:rPr>
                <w:sz w:val="18"/>
                <w:szCs w:val="18"/>
              </w:rPr>
              <w:t>SPPB</w:t>
            </w:r>
          </w:p>
        </w:tc>
        <w:tc>
          <w:tcPr>
            <w:tcW w:w="2268" w:type="dxa"/>
            <w:vAlign w:val="center"/>
          </w:tcPr>
          <w:p w:rsidR="00740AEB" w:rsidRDefault="00A54893">
            <w:pPr>
              <w:spacing w:line="240" w:lineRule="auto"/>
              <w:ind w:firstLineChars="0" w:firstLine="0"/>
              <w:rPr>
                <w:sz w:val="18"/>
                <w:szCs w:val="18"/>
              </w:rPr>
            </w:pPr>
            <w:r>
              <w:rPr>
                <w:sz w:val="18"/>
                <w:szCs w:val="18"/>
              </w:rPr>
              <w:t>GDS-15</w:t>
            </w:r>
          </w:p>
        </w:tc>
        <w:tc>
          <w:tcPr>
            <w:tcW w:w="2410" w:type="dxa"/>
            <w:vAlign w:val="center"/>
          </w:tcPr>
          <w:p w:rsidR="00740AEB" w:rsidRDefault="00A54893">
            <w:pPr>
              <w:spacing w:line="240" w:lineRule="auto"/>
              <w:ind w:firstLineChars="0" w:firstLine="0"/>
              <w:rPr>
                <w:sz w:val="18"/>
                <w:szCs w:val="18"/>
              </w:rPr>
            </w:pPr>
            <w:r>
              <w:rPr>
                <w:sz w:val="18"/>
                <w:szCs w:val="18"/>
              </w:rPr>
              <w:t>Composite score</w:t>
            </w:r>
          </w:p>
          <w:p w:rsidR="00740AEB" w:rsidRDefault="00A54893">
            <w:pPr>
              <w:spacing w:line="240" w:lineRule="auto"/>
              <w:ind w:firstLineChars="0" w:firstLine="0"/>
              <w:rPr>
                <w:sz w:val="18"/>
                <w:szCs w:val="18"/>
              </w:rPr>
            </w:pPr>
            <w:r>
              <w:rPr>
                <w:sz w:val="18"/>
                <w:szCs w:val="18"/>
              </w:rPr>
              <w:t>average of five domians, rescaled as 0-100</w:t>
            </w:r>
          </w:p>
        </w:tc>
      </w:tr>
      <w:tr w:rsidR="00740AEB">
        <w:trPr>
          <w:jc w:val="center"/>
        </w:trPr>
        <w:tc>
          <w:tcPr>
            <w:tcW w:w="1419" w:type="dxa"/>
            <w:vAlign w:val="center"/>
          </w:tcPr>
          <w:p w:rsidR="00740AEB" w:rsidRDefault="00A54893">
            <w:pPr>
              <w:ind w:firstLineChars="0" w:firstLine="0"/>
              <w:rPr>
                <w:sz w:val="18"/>
                <w:szCs w:val="18"/>
              </w:rPr>
            </w:pPr>
            <w:bookmarkStart w:id="29" w:name="_Hlk183533004"/>
            <w:r>
              <w:rPr>
                <w:sz w:val="18"/>
                <w:szCs w:val="18"/>
              </w:rPr>
              <w:t>Meng et al,2023</w:t>
            </w:r>
          </w:p>
        </w:tc>
        <w:tc>
          <w:tcPr>
            <w:tcW w:w="2835" w:type="dxa"/>
            <w:vAlign w:val="center"/>
          </w:tcPr>
          <w:p w:rsidR="00740AEB" w:rsidRDefault="00A54893">
            <w:pPr>
              <w:spacing w:line="240" w:lineRule="auto"/>
              <w:ind w:firstLineChars="0" w:firstLine="0"/>
              <w:rPr>
                <w:sz w:val="18"/>
                <w:szCs w:val="18"/>
              </w:rPr>
            </w:pPr>
            <w:r>
              <w:rPr>
                <w:sz w:val="18"/>
                <w:szCs w:val="18"/>
              </w:rPr>
              <w:t>SPMSQ</w:t>
            </w:r>
          </w:p>
        </w:tc>
        <w:tc>
          <w:tcPr>
            <w:tcW w:w="1984" w:type="dxa"/>
            <w:vAlign w:val="center"/>
          </w:tcPr>
          <w:p w:rsidR="00740AEB" w:rsidRDefault="00A54893">
            <w:pPr>
              <w:spacing w:line="240" w:lineRule="auto"/>
              <w:ind w:firstLineChars="0" w:firstLine="0"/>
              <w:rPr>
                <w:sz w:val="18"/>
                <w:szCs w:val="18"/>
              </w:rPr>
            </w:pPr>
            <w:r>
              <w:rPr>
                <w:sz w:val="18"/>
                <w:szCs w:val="18"/>
              </w:rPr>
              <w:t>appetite loss was used to represent nutritional status</w:t>
            </w:r>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People with difficulty walking 200-300 m are considered to have limited movement</w:t>
            </w:r>
          </w:p>
        </w:tc>
        <w:tc>
          <w:tcPr>
            <w:tcW w:w="2268" w:type="dxa"/>
            <w:vAlign w:val="center"/>
          </w:tcPr>
          <w:p w:rsidR="00740AEB" w:rsidRDefault="00A54893">
            <w:pPr>
              <w:spacing w:line="240" w:lineRule="auto"/>
              <w:ind w:firstLineChars="0" w:firstLine="0"/>
              <w:rPr>
                <w:sz w:val="18"/>
                <w:szCs w:val="18"/>
              </w:rPr>
            </w:pPr>
            <w:r>
              <w:rPr>
                <w:sz w:val="18"/>
                <w:szCs w:val="18"/>
              </w:rPr>
              <w:t>CES-D</w:t>
            </w:r>
          </w:p>
        </w:tc>
        <w:tc>
          <w:tcPr>
            <w:tcW w:w="2410" w:type="dxa"/>
            <w:vAlign w:val="center"/>
          </w:tcPr>
          <w:p w:rsidR="00740AEB" w:rsidRDefault="00A54893">
            <w:pPr>
              <w:spacing w:line="240" w:lineRule="auto"/>
              <w:ind w:firstLineChars="0" w:firstLine="0"/>
              <w:rPr>
                <w:sz w:val="18"/>
                <w:szCs w:val="18"/>
              </w:rPr>
            </w:pPr>
            <w:r>
              <w:rPr>
                <w:sz w:val="18"/>
                <w:szCs w:val="18"/>
              </w:rPr>
              <w:t>NR</w:t>
            </w:r>
          </w:p>
        </w:tc>
      </w:tr>
      <w:bookmarkEnd w:id="29"/>
      <w:tr w:rsidR="00740AEB">
        <w:trPr>
          <w:jc w:val="center"/>
        </w:trPr>
        <w:tc>
          <w:tcPr>
            <w:tcW w:w="1419" w:type="dxa"/>
            <w:vAlign w:val="center"/>
          </w:tcPr>
          <w:p w:rsidR="00740AEB" w:rsidRDefault="00A54893">
            <w:pPr>
              <w:ind w:firstLineChars="0" w:firstLine="0"/>
              <w:rPr>
                <w:sz w:val="18"/>
                <w:szCs w:val="18"/>
              </w:rPr>
            </w:pPr>
            <w:r>
              <w:rPr>
                <w:sz w:val="18"/>
                <w:szCs w:val="18"/>
              </w:rPr>
              <w:t>Yu et al,2023</w:t>
            </w:r>
          </w:p>
        </w:tc>
        <w:tc>
          <w:tcPr>
            <w:tcW w:w="2835" w:type="dxa"/>
            <w:vAlign w:val="center"/>
          </w:tcPr>
          <w:p w:rsidR="00740AEB" w:rsidRDefault="00A54893">
            <w:pPr>
              <w:spacing w:line="240" w:lineRule="auto"/>
              <w:ind w:firstLineChars="0" w:firstLine="0"/>
              <w:rPr>
                <w:sz w:val="18"/>
                <w:szCs w:val="18"/>
              </w:rPr>
            </w:pPr>
            <w:r>
              <w:rPr>
                <w:sz w:val="18"/>
                <w:szCs w:val="18"/>
              </w:rPr>
              <w:t>AMIC</w:t>
            </w:r>
          </w:p>
        </w:tc>
        <w:tc>
          <w:tcPr>
            <w:tcW w:w="1984" w:type="dxa"/>
            <w:vAlign w:val="center"/>
          </w:tcPr>
          <w:p w:rsidR="00740AEB" w:rsidRDefault="00A54893">
            <w:pPr>
              <w:spacing w:line="240" w:lineRule="auto"/>
              <w:ind w:firstLineChars="0" w:firstLine="0"/>
              <w:rPr>
                <w:sz w:val="18"/>
                <w:szCs w:val="18"/>
              </w:rPr>
            </w:pPr>
            <w:r>
              <w:rPr>
                <w:sz w:val="18"/>
                <w:szCs w:val="18"/>
              </w:rPr>
              <w:t>the SARC-F scale</w:t>
            </w:r>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assess the individual's ability to walk and go up and down stairs without aid</w:t>
            </w:r>
          </w:p>
        </w:tc>
        <w:tc>
          <w:tcPr>
            <w:tcW w:w="2268" w:type="dxa"/>
            <w:vAlign w:val="center"/>
          </w:tcPr>
          <w:p w:rsidR="00740AEB" w:rsidRDefault="00A54893">
            <w:pPr>
              <w:spacing w:line="240" w:lineRule="auto"/>
              <w:ind w:firstLineChars="0" w:firstLine="0"/>
              <w:rPr>
                <w:sz w:val="18"/>
                <w:szCs w:val="18"/>
              </w:rPr>
            </w:pPr>
            <w:r>
              <w:rPr>
                <w:sz w:val="18"/>
                <w:szCs w:val="18"/>
              </w:rPr>
              <w:t>two questions about life satisfied and purpose or meaning to life</w:t>
            </w:r>
          </w:p>
        </w:tc>
        <w:tc>
          <w:tcPr>
            <w:tcW w:w="2410" w:type="dxa"/>
            <w:vAlign w:val="center"/>
          </w:tcPr>
          <w:p w:rsidR="00740AEB" w:rsidRDefault="00A54893">
            <w:pPr>
              <w:spacing w:line="240" w:lineRule="auto"/>
              <w:ind w:firstLineChars="0" w:firstLine="0"/>
              <w:rPr>
                <w:sz w:val="18"/>
                <w:szCs w:val="18"/>
              </w:rPr>
            </w:pPr>
            <w:r>
              <w:rPr>
                <w:sz w:val="18"/>
                <w:szCs w:val="18"/>
              </w:rPr>
              <w:t>A bi-factor model was used to generate IC scores</w:t>
            </w:r>
          </w:p>
        </w:tc>
      </w:tr>
      <w:tr w:rsidR="00740AEB">
        <w:trPr>
          <w:jc w:val="center"/>
        </w:trPr>
        <w:tc>
          <w:tcPr>
            <w:tcW w:w="1419" w:type="dxa"/>
            <w:vAlign w:val="center"/>
          </w:tcPr>
          <w:p w:rsidR="00740AEB" w:rsidRDefault="00A54893">
            <w:pPr>
              <w:ind w:firstLineChars="0" w:firstLine="0"/>
              <w:rPr>
                <w:sz w:val="18"/>
                <w:szCs w:val="18"/>
              </w:rPr>
            </w:pPr>
            <w:r>
              <w:rPr>
                <w:sz w:val="18"/>
                <w:szCs w:val="18"/>
              </w:rPr>
              <w:t>Aaron et al,2022</w:t>
            </w:r>
          </w:p>
        </w:tc>
        <w:tc>
          <w:tcPr>
            <w:tcW w:w="2835" w:type="dxa"/>
            <w:vAlign w:val="center"/>
          </w:tcPr>
          <w:p w:rsidR="00740AEB" w:rsidRDefault="00A54893">
            <w:pPr>
              <w:spacing w:line="240" w:lineRule="auto"/>
              <w:ind w:firstLineChars="0" w:firstLine="0"/>
              <w:rPr>
                <w:sz w:val="18"/>
                <w:szCs w:val="18"/>
              </w:rPr>
            </w:pPr>
            <w:r>
              <w:rPr>
                <w:sz w:val="18"/>
                <w:szCs w:val="18"/>
              </w:rPr>
              <w:t>Immediate and delayed verbal recall</w:t>
            </w:r>
          </w:p>
          <w:p w:rsidR="00740AEB" w:rsidRDefault="00A54893">
            <w:pPr>
              <w:spacing w:line="240" w:lineRule="auto"/>
              <w:ind w:firstLineChars="0" w:firstLine="0"/>
              <w:rPr>
                <w:sz w:val="18"/>
                <w:szCs w:val="18"/>
              </w:rPr>
            </w:pPr>
            <w:r>
              <w:rPr>
                <w:sz w:val="18"/>
                <w:szCs w:val="18"/>
              </w:rPr>
              <w:t>Forward and backward digit span</w:t>
            </w:r>
          </w:p>
          <w:p w:rsidR="00740AEB" w:rsidRDefault="00A54893">
            <w:pPr>
              <w:spacing w:line="240" w:lineRule="auto"/>
              <w:ind w:firstLineChars="0" w:firstLine="0"/>
              <w:rPr>
                <w:sz w:val="18"/>
                <w:szCs w:val="18"/>
              </w:rPr>
            </w:pPr>
            <w:r>
              <w:rPr>
                <w:sz w:val="18"/>
                <w:szCs w:val="18"/>
              </w:rPr>
              <w:t>Verbal fluency test.</w:t>
            </w:r>
          </w:p>
        </w:tc>
        <w:tc>
          <w:tcPr>
            <w:tcW w:w="1984" w:type="dxa"/>
            <w:vAlign w:val="center"/>
          </w:tcPr>
          <w:p w:rsidR="00740AEB" w:rsidRDefault="00A54893">
            <w:pPr>
              <w:spacing w:line="240" w:lineRule="auto"/>
              <w:ind w:firstLineChars="0" w:firstLine="0"/>
              <w:rPr>
                <w:sz w:val="18"/>
                <w:szCs w:val="18"/>
              </w:rPr>
            </w:pPr>
            <w:r>
              <w:rPr>
                <w:sz w:val="18"/>
                <w:szCs w:val="18"/>
              </w:rPr>
              <w:t>BMI and</w:t>
            </w:r>
          </w:p>
          <w:p w:rsidR="00740AEB" w:rsidRDefault="00A54893">
            <w:pPr>
              <w:spacing w:line="240" w:lineRule="auto"/>
              <w:ind w:firstLineChars="0" w:firstLine="0"/>
              <w:rPr>
                <w:sz w:val="18"/>
                <w:szCs w:val="18"/>
              </w:rPr>
            </w:pPr>
            <w:r>
              <w:rPr>
                <w:sz w:val="18"/>
                <w:szCs w:val="18"/>
              </w:rPr>
              <w:t>handgrip strength</w:t>
            </w:r>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the gait speed</w:t>
            </w:r>
          </w:p>
        </w:tc>
        <w:tc>
          <w:tcPr>
            <w:tcW w:w="2268" w:type="dxa"/>
            <w:vAlign w:val="center"/>
          </w:tcPr>
          <w:p w:rsidR="00740AEB" w:rsidRDefault="00A54893">
            <w:pPr>
              <w:spacing w:line="240" w:lineRule="auto"/>
              <w:ind w:firstLineChars="0" w:firstLine="0"/>
              <w:rPr>
                <w:sz w:val="18"/>
                <w:szCs w:val="18"/>
              </w:rPr>
            </w:pPr>
            <w:r>
              <w:rPr>
                <w:sz w:val="18"/>
                <w:szCs w:val="18"/>
              </w:rPr>
              <w:t>WMH</w:t>
            </w:r>
          </w:p>
        </w:tc>
        <w:tc>
          <w:tcPr>
            <w:tcW w:w="2410" w:type="dxa"/>
            <w:vAlign w:val="center"/>
          </w:tcPr>
          <w:p w:rsidR="00740AEB" w:rsidRDefault="00A54893">
            <w:pPr>
              <w:spacing w:line="240" w:lineRule="auto"/>
              <w:ind w:firstLineChars="0" w:firstLine="0"/>
              <w:rPr>
                <w:sz w:val="18"/>
                <w:szCs w:val="18"/>
              </w:rPr>
            </w:pPr>
            <w:r>
              <w:rPr>
                <w:sz w:val="18"/>
                <w:szCs w:val="18"/>
              </w:rPr>
              <w:t>Composite z-scores</w:t>
            </w:r>
          </w:p>
        </w:tc>
      </w:tr>
      <w:tr w:rsidR="00740AEB">
        <w:trPr>
          <w:jc w:val="center"/>
        </w:trPr>
        <w:tc>
          <w:tcPr>
            <w:tcW w:w="1419" w:type="dxa"/>
            <w:vAlign w:val="center"/>
          </w:tcPr>
          <w:p w:rsidR="00740AEB" w:rsidRDefault="00A54893">
            <w:pPr>
              <w:ind w:firstLineChars="0" w:firstLine="0"/>
              <w:rPr>
                <w:sz w:val="18"/>
                <w:szCs w:val="18"/>
              </w:rPr>
            </w:pPr>
            <w:r>
              <w:rPr>
                <w:sz w:val="18"/>
                <w:szCs w:val="18"/>
              </w:rPr>
              <w:t>Zhao et al,2024</w:t>
            </w:r>
          </w:p>
        </w:tc>
        <w:tc>
          <w:tcPr>
            <w:tcW w:w="2835" w:type="dxa"/>
            <w:vAlign w:val="center"/>
          </w:tcPr>
          <w:p w:rsidR="00740AEB" w:rsidRDefault="00A54893">
            <w:pPr>
              <w:spacing w:line="240" w:lineRule="auto"/>
              <w:ind w:firstLineChars="0" w:firstLine="0"/>
              <w:rPr>
                <w:sz w:val="18"/>
                <w:szCs w:val="18"/>
              </w:rPr>
            </w:pPr>
            <w:r>
              <w:rPr>
                <w:sz w:val="18"/>
                <w:szCs w:val="18"/>
              </w:rPr>
              <w:t>two questions regarding orientation in time and space, and their ability to recall a set of three words</w:t>
            </w:r>
          </w:p>
        </w:tc>
        <w:tc>
          <w:tcPr>
            <w:tcW w:w="1984" w:type="dxa"/>
            <w:vAlign w:val="center"/>
          </w:tcPr>
          <w:p w:rsidR="00740AEB" w:rsidRDefault="00A54893">
            <w:pPr>
              <w:spacing w:line="240" w:lineRule="auto"/>
              <w:ind w:firstLineChars="0" w:firstLine="0"/>
              <w:rPr>
                <w:sz w:val="18"/>
                <w:szCs w:val="18"/>
              </w:rPr>
            </w:pPr>
            <w:r>
              <w:rPr>
                <w:sz w:val="18"/>
                <w:szCs w:val="18"/>
              </w:rPr>
              <w:t>handgrip strength</w:t>
            </w:r>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five times sit-to-stand tests independently in 14s</w:t>
            </w:r>
          </w:p>
        </w:tc>
        <w:tc>
          <w:tcPr>
            <w:tcW w:w="2268" w:type="dxa"/>
            <w:vAlign w:val="center"/>
          </w:tcPr>
          <w:p w:rsidR="00740AEB" w:rsidRDefault="00A54893">
            <w:pPr>
              <w:spacing w:line="240" w:lineRule="auto"/>
              <w:ind w:firstLineChars="0" w:firstLine="0"/>
              <w:rPr>
                <w:sz w:val="18"/>
                <w:szCs w:val="18"/>
              </w:rPr>
            </w:pPr>
            <w:r>
              <w:rPr>
                <w:sz w:val="18"/>
                <w:szCs w:val="18"/>
              </w:rPr>
              <w:t>Self-assessment of changes in mood and interest over the past two weeks</w:t>
            </w:r>
          </w:p>
        </w:tc>
        <w:tc>
          <w:tcPr>
            <w:tcW w:w="2410" w:type="dxa"/>
            <w:vAlign w:val="center"/>
          </w:tcPr>
          <w:p w:rsidR="00740AEB" w:rsidRDefault="00A54893">
            <w:pPr>
              <w:spacing w:line="240" w:lineRule="auto"/>
              <w:ind w:firstLineChars="0" w:firstLine="0"/>
              <w:rPr>
                <w:sz w:val="18"/>
                <w:szCs w:val="18"/>
              </w:rPr>
            </w:pPr>
            <w:r>
              <w:rPr>
                <w:sz w:val="18"/>
                <w:szCs w:val="18"/>
              </w:rPr>
              <w:t>The sum of scores for each domain</w:t>
            </w:r>
          </w:p>
        </w:tc>
      </w:tr>
      <w:tr w:rsidR="00740AEB">
        <w:trPr>
          <w:jc w:val="center"/>
        </w:trPr>
        <w:tc>
          <w:tcPr>
            <w:tcW w:w="1419" w:type="dxa"/>
            <w:vAlign w:val="center"/>
          </w:tcPr>
          <w:p w:rsidR="00740AEB" w:rsidRDefault="00A54893">
            <w:pPr>
              <w:ind w:firstLineChars="0" w:firstLine="0"/>
              <w:rPr>
                <w:sz w:val="18"/>
                <w:szCs w:val="18"/>
              </w:rPr>
            </w:pPr>
            <w:r>
              <w:rPr>
                <w:sz w:val="18"/>
                <w:szCs w:val="18"/>
              </w:rPr>
              <w:t>Jia et al,2023</w:t>
            </w:r>
          </w:p>
        </w:tc>
        <w:tc>
          <w:tcPr>
            <w:tcW w:w="2835" w:type="dxa"/>
            <w:vAlign w:val="center"/>
          </w:tcPr>
          <w:p w:rsidR="00740AEB" w:rsidRDefault="00A54893">
            <w:pPr>
              <w:spacing w:line="240" w:lineRule="auto"/>
              <w:ind w:firstLineChars="0" w:firstLine="0"/>
              <w:rPr>
                <w:sz w:val="18"/>
                <w:szCs w:val="18"/>
              </w:rPr>
            </w:pPr>
            <w:r>
              <w:rPr>
                <w:sz w:val="18"/>
                <w:szCs w:val="18"/>
              </w:rPr>
              <w:t>SPMSQ</w:t>
            </w:r>
          </w:p>
        </w:tc>
        <w:tc>
          <w:tcPr>
            <w:tcW w:w="1984" w:type="dxa"/>
            <w:vAlign w:val="center"/>
          </w:tcPr>
          <w:p w:rsidR="00740AEB" w:rsidRDefault="00A54893">
            <w:pPr>
              <w:spacing w:line="240" w:lineRule="auto"/>
              <w:ind w:firstLineChars="0" w:firstLine="0"/>
              <w:rPr>
                <w:sz w:val="18"/>
                <w:szCs w:val="18"/>
              </w:rPr>
            </w:pPr>
            <w:bookmarkStart w:id="30" w:name="OLE_LINK12"/>
            <w:bookmarkStart w:id="31" w:name="OLE_LINK13"/>
            <w:r>
              <w:rPr>
                <w:sz w:val="18"/>
                <w:szCs w:val="18"/>
              </w:rPr>
              <w:t>MNA-SF</w:t>
            </w:r>
            <w:bookmarkEnd w:id="30"/>
            <w:bookmarkEnd w:id="31"/>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SPPB</w:t>
            </w:r>
          </w:p>
        </w:tc>
        <w:tc>
          <w:tcPr>
            <w:tcW w:w="2268" w:type="dxa"/>
            <w:vAlign w:val="center"/>
          </w:tcPr>
          <w:p w:rsidR="00740AEB" w:rsidRDefault="00A54893">
            <w:pPr>
              <w:spacing w:line="240" w:lineRule="auto"/>
              <w:ind w:firstLineChars="0" w:firstLine="0"/>
              <w:rPr>
                <w:sz w:val="18"/>
                <w:szCs w:val="18"/>
              </w:rPr>
            </w:pPr>
            <w:r>
              <w:rPr>
                <w:sz w:val="18"/>
                <w:szCs w:val="18"/>
              </w:rPr>
              <w:t>GDS-15</w:t>
            </w:r>
          </w:p>
        </w:tc>
        <w:tc>
          <w:tcPr>
            <w:tcW w:w="2410" w:type="dxa"/>
            <w:vAlign w:val="center"/>
          </w:tcPr>
          <w:p w:rsidR="00740AEB" w:rsidRDefault="00A54893">
            <w:pPr>
              <w:spacing w:line="240" w:lineRule="auto"/>
              <w:ind w:firstLineChars="0" w:firstLine="0"/>
              <w:rPr>
                <w:sz w:val="18"/>
                <w:szCs w:val="18"/>
              </w:rPr>
            </w:pPr>
            <w:r>
              <w:rPr>
                <w:sz w:val="18"/>
                <w:szCs w:val="18"/>
              </w:rPr>
              <w:t>The sum of scores for each domain</w:t>
            </w:r>
          </w:p>
        </w:tc>
      </w:tr>
      <w:tr w:rsidR="00740AEB">
        <w:trPr>
          <w:jc w:val="center"/>
        </w:trPr>
        <w:tc>
          <w:tcPr>
            <w:tcW w:w="1419" w:type="dxa"/>
            <w:vAlign w:val="center"/>
          </w:tcPr>
          <w:p w:rsidR="00740AEB" w:rsidRDefault="00A54893">
            <w:pPr>
              <w:ind w:firstLineChars="0" w:firstLine="0"/>
              <w:rPr>
                <w:sz w:val="18"/>
                <w:szCs w:val="18"/>
              </w:rPr>
            </w:pPr>
            <w:r>
              <w:rPr>
                <w:sz w:val="18"/>
                <w:szCs w:val="18"/>
              </w:rPr>
              <w:t>zhou et al,2024</w:t>
            </w:r>
          </w:p>
        </w:tc>
        <w:tc>
          <w:tcPr>
            <w:tcW w:w="2835" w:type="dxa"/>
            <w:vAlign w:val="center"/>
          </w:tcPr>
          <w:p w:rsidR="00740AEB" w:rsidRDefault="00A54893">
            <w:pPr>
              <w:spacing w:line="240" w:lineRule="auto"/>
              <w:ind w:firstLineChars="0" w:firstLine="0"/>
              <w:rPr>
                <w:sz w:val="18"/>
                <w:szCs w:val="18"/>
              </w:rPr>
            </w:pPr>
            <w:r>
              <w:rPr>
                <w:sz w:val="18"/>
                <w:szCs w:val="18"/>
              </w:rPr>
              <w:t>memory ability and mental status</w:t>
            </w:r>
          </w:p>
        </w:tc>
        <w:tc>
          <w:tcPr>
            <w:tcW w:w="1984" w:type="dxa"/>
            <w:vAlign w:val="center"/>
          </w:tcPr>
          <w:p w:rsidR="00740AEB" w:rsidRDefault="00A54893">
            <w:pPr>
              <w:spacing w:line="240" w:lineRule="auto"/>
              <w:ind w:firstLineChars="0" w:firstLine="0"/>
              <w:rPr>
                <w:sz w:val="18"/>
                <w:szCs w:val="18"/>
              </w:rPr>
            </w:pPr>
            <w:r>
              <w:rPr>
                <w:sz w:val="18"/>
                <w:szCs w:val="18"/>
              </w:rPr>
              <w:t>BMI</w:t>
            </w:r>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five times sit-to-stand tests independently in 14s</w:t>
            </w:r>
          </w:p>
        </w:tc>
        <w:tc>
          <w:tcPr>
            <w:tcW w:w="2268" w:type="dxa"/>
            <w:vAlign w:val="center"/>
          </w:tcPr>
          <w:p w:rsidR="00740AEB" w:rsidRDefault="00A54893">
            <w:pPr>
              <w:spacing w:line="240" w:lineRule="auto"/>
              <w:ind w:firstLineChars="0" w:firstLine="0"/>
              <w:rPr>
                <w:sz w:val="18"/>
                <w:szCs w:val="18"/>
              </w:rPr>
            </w:pPr>
            <w:r>
              <w:rPr>
                <w:sz w:val="18"/>
                <w:szCs w:val="18"/>
              </w:rPr>
              <w:t>CES-D</w:t>
            </w:r>
          </w:p>
        </w:tc>
        <w:tc>
          <w:tcPr>
            <w:tcW w:w="2410" w:type="dxa"/>
            <w:vAlign w:val="center"/>
          </w:tcPr>
          <w:p w:rsidR="00740AEB" w:rsidRDefault="00A54893">
            <w:pPr>
              <w:spacing w:line="240" w:lineRule="auto"/>
              <w:ind w:firstLineChars="0" w:firstLine="0"/>
              <w:rPr>
                <w:sz w:val="18"/>
                <w:szCs w:val="18"/>
              </w:rPr>
            </w:pPr>
            <w:r>
              <w:rPr>
                <w:sz w:val="18"/>
                <w:szCs w:val="18"/>
              </w:rPr>
              <w:t>The sum of scores for each domain(0-5)</w:t>
            </w:r>
          </w:p>
        </w:tc>
      </w:tr>
      <w:tr w:rsidR="00740AEB">
        <w:trPr>
          <w:jc w:val="center"/>
        </w:trPr>
        <w:tc>
          <w:tcPr>
            <w:tcW w:w="1419" w:type="dxa"/>
            <w:vAlign w:val="center"/>
          </w:tcPr>
          <w:p w:rsidR="00740AEB" w:rsidRDefault="00A54893">
            <w:pPr>
              <w:ind w:firstLineChars="0" w:firstLine="0"/>
              <w:rPr>
                <w:sz w:val="18"/>
                <w:szCs w:val="18"/>
              </w:rPr>
            </w:pPr>
            <w:r>
              <w:rPr>
                <w:sz w:val="18"/>
                <w:szCs w:val="18"/>
              </w:rPr>
              <w:t>Liu et al,2021</w:t>
            </w:r>
          </w:p>
        </w:tc>
        <w:tc>
          <w:tcPr>
            <w:tcW w:w="2835" w:type="dxa"/>
            <w:vAlign w:val="center"/>
          </w:tcPr>
          <w:p w:rsidR="00740AEB" w:rsidRDefault="00A54893">
            <w:pPr>
              <w:spacing w:line="240" w:lineRule="auto"/>
              <w:ind w:firstLineChars="0" w:firstLine="0"/>
              <w:rPr>
                <w:sz w:val="18"/>
                <w:szCs w:val="18"/>
              </w:rPr>
            </w:pPr>
            <w:r>
              <w:rPr>
                <w:sz w:val="18"/>
                <w:szCs w:val="18"/>
              </w:rPr>
              <w:t>MMSE</w:t>
            </w:r>
          </w:p>
        </w:tc>
        <w:tc>
          <w:tcPr>
            <w:tcW w:w="1984" w:type="dxa"/>
            <w:vAlign w:val="center"/>
          </w:tcPr>
          <w:p w:rsidR="00740AEB" w:rsidRDefault="00A54893">
            <w:pPr>
              <w:spacing w:line="240" w:lineRule="auto"/>
              <w:ind w:firstLineChars="0" w:firstLine="0"/>
              <w:rPr>
                <w:sz w:val="18"/>
                <w:szCs w:val="18"/>
              </w:rPr>
            </w:pPr>
            <w:r>
              <w:rPr>
                <w:sz w:val="18"/>
                <w:szCs w:val="18"/>
              </w:rPr>
              <w:t>MNA-SF</w:t>
            </w:r>
          </w:p>
        </w:tc>
        <w:tc>
          <w:tcPr>
            <w:tcW w:w="1701" w:type="dxa"/>
            <w:vAlign w:val="center"/>
          </w:tcPr>
          <w:p w:rsidR="00740AEB" w:rsidRDefault="00A54893">
            <w:pPr>
              <w:spacing w:line="240" w:lineRule="auto"/>
              <w:ind w:firstLineChars="0" w:firstLine="0"/>
              <w:rPr>
                <w:sz w:val="18"/>
                <w:szCs w:val="18"/>
              </w:rPr>
            </w:pPr>
            <w:r>
              <w:rPr>
                <w:sz w:val="18"/>
                <w:szCs w:val="18"/>
              </w:rPr>
              <w:t>Self-report</w:t>
            </w:r>
          </w:p>
        </w:tc>
        <w:tc>
          <w:tcPr>
            <w:tcW w:w="3260" w:type="dxa"/>
            <w:vAlign w:val="center"/>
          </w:tcPr>
          <w:p w:rsidR="00740AEB" w:rsidRDefault="00A54893">
            <w:pPr>
              <w:spacing w:line="240" w:lineRule="auto"/>
              <w:ind w:firstLineChars="0" w:firstLine="0"/>
              <w:rPr>
                <w:sz w:val="18"/>
                <w:szCs w:val="18"/>
              </w:rPr>
            </w:pPr>
            <w:r>
              <w:rPr>
                <w:sz w:val="18"/>
                <w:szCs w:val="18"/>
              </w:rPr>
              <w:t>SPPB</w:t>
            </w:r>
          </w:p>
        </w:tc>
        <w:tc>
          <w:tcPr>
            <w:tcW w:w="2268" w:type="dxa"/>
            <w:vAlign w:val="center"/>
          </w:tcPr>
          <w:p w:rsidR="00740AEB" w:rsidRDefault="00A54893">
            <w:pPr>
              <w:spacing w:line="240" w:lineRule="auto"/>
              <w:ind w:firstLineChars="0" w:firstLine="0"/>
              <w:rPr>
                <w:sz w:val="18"/>
                <w:szCs w:val="18"/>
              </w:rPr>
            </w:pPr>
            <w:r>
              <w:rPr>
                <w:sz w:val="18"/>
                <w:szCs w:val="18"/>
              </w:rPr>
              <w:t>GDS-15</w:t>
            </w:r>
          </w:p>
        </w:tc>
        <w:tc>
          <w:tcPr>
            <w:tcW w:w="2410" w:type="dxa"/>
            <w:vAlign w:val="center"/>
          </w:tcPr>
          <w:p w:rsidR="00740AEB" w:rsidRDefault="00A54893">
            <w:pPr>
              <w:spacing w:line="240" w:lineRule="auto"/>
              <w:ind w:firstLineChars="0" w:firstLine="0"/>
              <w:rPr>
                <w:sz w:val="18"/>
                <w:szCs w:val="18"/>
              </w:rPr>
            </w:pPr>
            <w:r>
              <w:rPr>
                <w:sz w:val="18"/>
                <w:szCs w:val="18"/>
              </w:rPr>
              <w:t>The sum of scores for each  domain(0-5)</w:t>
            </w:r>
          </w:p>
        </w:tc>
      </w:tr>
      <w:tr w:rsidR="00740AEB">
        <w:trPr>
          <w:jc w:val="center"/>
        </w:trPr>
        <w:tc>
          <w:tcPr>
            <w:tcW w:w="1419" w:type="dxa"/>
            <w:tcBorders>
              <w:bottom w:val="single" w:sz="8" w:space="0" w:color="auto"/>
            </w:tcBorders>
            <w:vAlign w:val="center"/>
          </w:tcPr>
          <w:p w:rsidR="00740AEB" w:rsidRDefault="00A54893">
            <w:pPr>
              <w:ind w:firstLineChars="0" w:firstLine="0"/>
              <w:rPr>
                <w:sz w:val="18"/>
                <w:szCs w:val="18"/>
              </w:rPr>
            </w:pPr>
            <w:r>
              <w:rPr>
                <w:sz w:val="18"/>
                <w:szCs w:val="18"/>
              </w:rPr>
              <w:t>Yu et al,2024</w:t>
            </w:r>
          </w:p>
        </w:tc>
        <w:tc>
          <w:tcPr>
            <w:tcW w:w="2835" w:type="dxa"/>
            <w:tcBorders>
              <w:bottom w:val="single" w:sz="8" w:space="0" w:color="auto"/>
            </w:tcBorders>
            <w:vAlign w:val="center"/>
          </w:tcPr>
          <w:p w:rsidR="00740AEB" w:rsidRDefault="00A54893">
            <w:pPr>
              <w:spacing w:line="240" w:lineRule="auto"/>
              <w:ind w:firstLineChars="0" w:firstLine="0"/>
              <w:rPr>
                <w:sz w:val="18"/>
                <w:szCs w:val="18"/>
              </w:rPr>
            </w:pPr>
            <w:r>
              <w:rPr>
                <w:sz w:val="18"/>
                <w:szCs w:val="18"/>
              </w:rPr>
              <w:t>AMIC</w:t>
            </w:r>
          </w:p>
        </w:tc>
        <w:tc>
          <w:tcPr>
            <w:tcW w:w="1984" w:type="dxa"/>
            <w:tcBorders>
              <w:bottom w:val="single" w:sz="8" w:space="0" w:color="auto"/>
            </w:tcBorders>
            <w:vAlign w:val="center"/>
          </w:tcPr>
          <w:p w:rsidR="00740AEB" w:rsidRDefault="00A54893">
            <w:pPr>
              <w:spacing w:line="240" w:lineRule="auto"/>
              <w:ind w:firstLineChars="0" w:firstLine="0"/>
              <w:rPr>
                <w:sz w:val="18"/>
                <w:szCs w:val="18"/>
              </w:rPr>
            </w:pPr>
            <w:r>
              <w:rPr>
                <w:sz w:val="18"/>
                <w:szCs w:val="18"/>
              </w:rPr>
              <w:t>the SARC-F scale</w:t>
            </w:r>
          </w:p>
        </w:tc>
        <w:tc>
          <w:tcPr>
            <w:tcW w:w="1701" w:type="dxa"/>
            <w:tcBorders>
              <w:bottom w:val="single" w:sz="8" w:space="0" w:color="auto"/>
            </w:tcBorders>
            <w:vAlign w:val="center"/>
          </w:tcPr>
          <w:p w:rsidR="00740AEB" w:rsidRDefault="00A54893">
            <w:pPr>
              <w:spacing w:line="240" w:lineRule="auto"/>
              <w:ind w:firstLineChars="0" w:firstLine="0"/>
              <w:rPr>
                <w:sz w:val="18"/>
                <w:szCs w:val="18"/>
              </w:rPr>
            </w:pPr>
            <w:r>
              <w:rPr>
                <w:sz w:val="18"/>
                <w:szCs w:val="18"/>
              </w:rPr>
              <w:t>Self-report</w:t>
            </w:r>
          </w:p>
        </w:tc>
        <w:tc>
          <w:tcPr>
            <w:tcW w:w="3260" w:type="dxa"/>
            <w:tcBorders>
              <w:bottom w:val="single" w:sz="8" w:space="0" w:color="auto"/>
            </w:tcBorders>
            <w:vAlign w:val="center"/>
          </w:tcPr>
          <w:p w:rsidR="00740AEB" w:rsidRDefault="00A54893">
            <w:pPr>
              <w:spacing w:line="240" w:lineRule="auto"/>
              <w:ind w:firstLineChars="0" w:firstLine="0"/>
              <w:rPr>
                <w:sz w:val="18"/>
                <w:szCs w:val="18"/>
              </w:rPr>
            </w:pPr>
            <w:r>
              <w:rPr>
                <w:sz w:val="18"/>
                <w:szCs w:val="18"/>
              </w:rPr>
              <w:t>assess the individual's ability to walk and go up and down stairs without aid</w:t>
            </w:r>
          </w:p>
        </w:tc>
        <w:tc>
          <w:tcPr>
            <w:tcW w:w="2268" w:type="dxa"/>
            <w:tcBorders>
              <w:bottom w:val="single" w:sz="8" w:space="0" w:color="auto"/>
            </w:tcBorders>
            <w:vAlign w:val="center"/>
          </w:tcPr>
          <w:p w:rsidR="00740AEB" w:rsidRDefault="00A54893">
            <w:pPr>
              <w:spacing w:line="240" w:lineRule="auto"/>
              <w:ind w:firstLineChars="0" w:firstLine="0"/>
              <w:rPr>
                <w:sz w:val="18"/>
                <w:szCs w:val="18"/>
              </w:rPr>
            </w:pPr>
            <w:r>
              <w:rPr>
                <w:sz w:val="18"/>
                <w:szCs w:val="18"/>
              </w:rPr>
              <w:t>two questions about life satisfied and purpose or meaning to life</w:t>
            </w:r>
          </w:p>
        </w:tc>
        <w:tc>
          <w:tcPr>
            <w:tcW w:w="2410" w:type="dxa"/>
            <w:tcBorders>
              <w:bottom w:val="single" w:sz="8" w:space="0" w:color="auto"/>
            </w:tcBorders>
            <w:vAlign w:val="center"/>
          </w:tcPr>
          <w:p w:rsidR="00740AEB" w:rsidRDefault="00A54893">
            <w:pPr>
              <w:spacing w:line="240" w:lineRule="auto"/>
              <w:ind w:firstLineChars="0" w:firstLine="0"/>
              <w:rPr>
                <w:sz w:val="18"/>
                <w:szCs w:val="18"/>
              </w:rPr>
            </w:pPr>
            <w:r>
              <w:rPr>
                <w:sz w:val="18"/>
                <w:szCs w:val="18"/>
              </w:rPr>
              <w:t>NR</w:t>
            </w:r>
          </w:p>
        </w:tc>
      </w:tr>
    </w:tbl>
    <w:p w:rsidR="00740AEB" w:rsidRDefault="00A54893">
      <w:pPr>
        <w:ind w:firstLineChars="0" w:firstLine="0"/>
        <w:rPr>
          <w:szCs w:val="24"/>
        </w:rPr>
      </w:pPr>
      <w:r>
        <w:rPr>
          <w:rFonts w:hint="eastAsia"/>
          <w:i/>
          <w:szCs w:val="24"/>
        </w:rPr>
        <w:lastRenderedPageBreak/>
        <w:t>N</w:t>
      </w:r>
      <w:r>
        <w:rPr>
          <w:i/>
          <w:szCs w:val="24"/>
        </w:rPr>
        <w:t>ote</w:t>
      </w:r>
      <w:r>
        <w:rPr>
          <w:rFonts w:hint="eastAsia"/>
          <w:i/>
          <w:szCs w:val="24"/>
        </w:rPr>
        <w:t>.</w:t>
      </w:r>
      <w:r>
        <w:rPr>
          <w:szCs w:val="24"/>
        </w:rPr>
        <w:t xml:space="preserve"> </w:t>
      </w:r>
      <w:r>
        <w:rPr>
          <w:rFonts w:cs="Times New Roman"/>
          <w:szCs w:val="24"/>
        </w:rPr>
        <w:t>Abbreviations</w:t>
      </w:r>
      <w:r>
        <w:rPr>
          <w:rFonts w:cs="Times New Roman"/>
          <w:szCs w:val="24"/>
        </w:rPr>
        <w:t>：</w:t>
      </w:r>
      <w:r>
        <w:rPr>
          <w:rFonts w:cs="Times New Roman"/>
          <w:szCs w:val="24"/>
        </w:rPr>
        <w:t>MMSE, Minimum Mental State Examination; SPMSQ, Short Portable Mental State Questionnaire; CSI-D, The Community Screening Instrument for Dementia</w:t>
      </w:r>
      <w:r>
        <w:rPr>
          <w:rFonts w:cs="Times New Roman"/>
          <w:szCs w:val="24"/>
        </w:rPr>
        <w:t>；</w:t>
      </w:r>
      <w:r>
        <w:rPr>
          <w:rFonts w:cs="Times New Roman"/>
          <w:szCs w:val="24"/>
        </w:rPr>
        <w:t xml:space="preserve">AMIC, The 5-item Abbreviated Memory Inventory for Chinese; BMI, Body Mass Index; MNA-SF, Mini Nutritional Assessment-Short Form; SPPB, Short Physical Performance Battery; </w:t>
      </w:r>
      <w:bookmarkStart w:id="32" w:name="OLE_LINK14"/>
      <w:bookmarkStart w:id="33" w:name="OLE_LINK15"/>
      <w:r>
        <w:rPr>
          <w:rFonts w:cs="Times New Roman"/>
          <w:szCs w:val="24"/>
        </w:rPr>
        <w:t>CES-D, Center for Epidemiologic Studies Depression Scale;</w:t>
      </w:r>
      <w:bookmarkEnd w:id="32"/>
      <w:bookmarkEnd w:id="33"/>
      <w:r>
        <w:rPr>
          <w:rFonts w:cs="Times New Roman"/>
          <w:szCs w:val="24"/>
        </w:rPr>
        <w:t xml:space="preserve"> WMH, The World Mental Health Survey version; </w:t>
      </w:r>
      <w:bookmarkStart w:id="34" w:name="OLE_LINK17"/>
      <w:bookmarkStart w:id="35" w:name="OLE_LINK16"/>
      <w:r>
        <w:rPr>
          <w:rFonts w:cs="Times New Roman"/>
          <w:szCs w:val="24"/>
        </w:rPr>
        <w:t>EURO-D, the EURO-D depression scale; GDS-15</w:t>
      </w:r>
      <w:bookmarkEnd w:id="34"/>
      <w:bookmarkEnd w:id="35"/>
      <w:r>
        <w:rPr>
          <w:rFonts w:cs="Times New Roman"/>
          <w:szCs w:val="24"/>
        </w:rPr>
        <w:t>, Geriatric Depression Scale-15; IRT, Item Response Theory; NR, Not Report;</w:t>
      </w:r>
      <w:r>
        <w:rPr>
          <w:rFonts w:hint="eastAsia"/>
          <w:szCs w:val="24"/>
        </w:rPr>
        <w:t xml:space="preserve"> </w:t>
      </w: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740AEB">
      <w:pPr>
        <w:ind w:firstLineChars="0" w:firstLine="0"/>
        <w:rPr>
          <w:sz w:val="18"/>
          <w:szCs w:val="18"/>
        </w:rPr>
      </w:pPr>
    </w:p>
    <w:p w:rsidR="00740AEB" w:rsidRDefault="00A54893">
      <w:pPr>
        <w:ind w:firstLineChars="0" w:firstLine="0"/>
        <w:rPr>
          <w:rFonts w:eastAsiaTheme="minorEastAsia" w:cs="Times New Roman"/>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3</w:t>
      </w:r>
      <w:r>
        <w:rPr>
          <w:rFonts w:eastAsiaTheme="minorEastAsia" w:cs="Times New Roman" w:hint="eastAsia"/>
          <w:b/>
          <w:bCs/>
          <w:szCs w:val="24"/>
        </w:rPr>
        <w:t xml:space="preserve"> </w:t>
      </w:r>
      <w:r w:rsidR="004969E2">
        <w:rPr>
          <w:rFonts w:eastAsiaTheme="minorEastAsia" w:cs="Times New Roman"/>
          <w:szCs w:val="24"/>
        </w:rPr>
        <w:t>Details on studies characteristics and main f</w:t>
      </w:r>
      <w:r>
        <w:rPr>
          <w:rFonts w:eastAsiaTheme="minorEastAsia" w:cs="Times New Roman"/>
          <w:szCs w:val="24"/>
        </w:rPr>
        <w:t>indings.</w:t>
      </w:r>
    </w:p>
    <w:tbl>
      <w:tblPr>
        <w:tblStyle w:val="ab"/>
        <w:tblW w:w="14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845"/>
        <w:gridCol w:w="1270"/>
        <w:gridCol w:w="1110"/>
        <w:gridCol w:w="1090"/>
        <w:gridCol w:w="1712"/>
        <w:gridCol w:w="5707"/>
      </w:tblGrid>
      <w:tr w:rsidR="00740AEB" w:rsidTr="00CE22FC">
        <w:trPr>
          <w:trHeight w:val="641"/>
        </w:trPr>
        <w:tc>
          <w:tcPr>
            <w:tcW w:w="1440"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Study, Time</w:t>
            </w:r>
          </w:p>
        </w:tc>
        <w:tc>
          <w:tcPr>
            <w:tcW w:w="1845"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Country</w:t>
            </w:r>
          </w:p>
        </w:tc>
        <w:tc>
          <w:tcPr>
            <w:tcW w:w="1270"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Study cohort</w:t>
            </w:r>
          </w:p>
        </w:tc>
        <w:tc>
          <w:tcPr>
            <w:tcW w:w="1110"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Population</w:t>
            </w:r>
          </w:p>
        </w:tc>
        <w:tc>
          <w:tcPr>
            <w:tcW w:w="1090"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Female(%)</w:t>
            </w:r>
          </w:p>
        </w:tc>
        <w:tc>
          <w:tcPr>
            <w:tcW w:w="1712"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Relevant influencing factors</w:t>
            </w:r>
          </w:p>
        </w:tc>
        <w:tc>
          <w:tcPr>
            <w:tcW w:w="5707" w:type="dxa"/>
            <w:tcBorders>
              <w:top w:val="single" w:sz="12" w:space="0" w:color="auto"/>
              <w:bottom w:val="single" w:sz="12" w:space="0" w:color="auto"/>
            </w:tcBorders>
            <w:vAlign w:val="center"/>
          </w:tcPr>
          <w:p w:rsidR="00740AEB" w:rsidRDefault="00A54893">
            <w:pPr>
              <w:spacing w:line="360" w:lineRule="auto"/>
              <w:ind w:firstLineChars="0" w:firstLine="0"/>
              <w:rPr>
                <w:rFonts w:cs="Times New Roman"/>
                <w:b/>
                <w:sz w:val="18"/>
                <w:szCs w:val="18"/>
              </w:rPr>
            </w:pPr>
            <w:r>
              <w:rPr>
                <w:rFonts w:cs="Times New Roman"/>
                <w:b/>
                <w:sz w:val="18"/>
                <w:szCs w:val="18"/>
              </w:rPr>
              <w:t>Main findings</w:t>
            </w:r>
          </w:p>
        </w:tc>
      </w:tr>
      <w:tr w:rsidR="00740AEB" w:rsidTr="00CE22FC">
        <w:trPr>
          <w:trHeight w:val="1270"/>
        </w:trPr>
        <w:tc>
          <w:tcPr>
            <w:tcW w:w="1440" w:type="dxa"/>
            <w:tcBorders>
              <w:top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Erwin et al,2021</w:t>
            </w:r>
          </w:p>
        </w:tc>
        <w:tc>
          <w:tcPr>
            <w:tcW w:w="1845" w:type="dxa"/>
            <w:tcBorders>
              <w:top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USA</w:t>
            </w:r>
          </w:p>
        </w:tc>
        <w:tc>
          <w:tcPr>
            <w:tcW w:w="1270" w:type="dxa"/>
            <w:tcBorders>
              <w:top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PEP</w:t>
            </w:r>
          </w:p>
        </w:tc>
        <w:tc>
          <w:tcPr>
            <w:tcW w:w="1110" w:type="dxa"/>
            <w:tcBorders>
              <w:top w:val="single" w:sz="12" w:space="0" w:color="auto"/>
            </w:tcBorders>
            <w:vAlign w:val="center"/>
          </w:tcPr>
          <w:p w:rsidR="00740AEB" w:rsidRDefault="00A54893">
            <w:pPr>
              <w:spacing w:line="360" w:lineRule="auto"/>
              <w:ind w:firstLineChars="0" w:firstLine="0"/>
              <w:jc w:val="left"/>
              <w:rPr>
                <w:rFonts w:cs="Times New Roman"/>
                <w:sz w:val="18"/>
                <w:szCs w:val="18"/>
              </w:rPr>
            </w:pPr>
            <w:r>
              <w:rPr>
                <w:rFonts w:cs="Times New Roman"/>
                <w:sz w:val="18"/>
                <w:szCs w:val="18"/>
              </w:rPr>
              <w:t>community-dwelling older adults</w:t>
            </w:r>
          </w:p>
        </w:tc>
        <w:tc>
          <w:tcPr>
            <w:tcW w:w="1090" w:type="dxa"/>
            <w:tcBorders>
              <w:top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67.10%</w:t>
            </w:r>
          </w:p>
        </w:tc>
        <w:tc>
          <w:tcPr>
            <w:tcW w:w="1712" w:type="dxa"/>
            <w:tcBorders>
              <w:top w:val="single" w:sz="12" w:space="0" w:color="auto"/>
            </w:tcBorders>
            <w:vAlign w:val="center"/>
          </w:tcPr>
          <w:p w:rsidR="00740AEB" w:rsidRDefault="00A54893">
            <w:pPr>
              <w:widowControl/>
              <w:spacing w:line="360" w:lineRule="auto"/>
              <w:ind w:firstLineChars="0" w:firstLine="0"/>
              <w:rPr>
                <w:rFonts w:cs="Times New Roman"/>
                <w:color w:val="000000"/>
                <w:sz w:val="18"/>
                <w:szCs w:val="18"/>
              </w:rPr>
            </w:pPr>
            <w:r>
              <w:rPr>
                <w:rFonts w:cs="Times New Roman"/>
                <w:color w:val="000000"/>
                <w:sz w:val="18"/>
                <w:szCs w:val="18"/>
              </w:rPr>
              <w:t>Gender;</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 xml:space="preserve">Ethnicity, </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Chronic diseases;</w:t>
            </w:r>
          </w:p>
        </w:tc>
        <w:tc>
          <w:tcPr>
            <w:tcW w:w="5707" w:type="dxa"/>
            <w:tcBorders>
              <w:top w:val="single" w:sz="12" w:space="0" w:color="auto"/>
            </w:tcBorders>
            <w:vAlign w:val="center"/>
          </w:tcPr>
          <w:p w:rsidR="00740AEB" w:rsidRDefault="00A54893">
            <w:pPr>
              <w:tabs>
                <w:tab w:val="left" w:pos="912"/>
              </w:tabs>
              <w:spacing w:line="360" w:lineRule="auto"/>
              <w:ind w:firstLineChars="0" w:firstLine="0"/>
              <w:rPr>
                <w:rFonts w:cs="Times New Roman"/>
                <w:sz w:val="18"/>
                <w:szCs w:val="18"/>
              </w:rPr>
            </w:pPr>
            <w:r>
              <w:rPr>
                <w:rFonts w:cs="Times New Roman"/>
                <w:sz w:val="18"/>
                <w:szCs w:val="18"/>
              </w:rPr>
              <w:t>Adjusted for socio demographics and chronic diseases, a 1-point lower IC value was associated with a 7% increase in the risk of activities of daily living disability, a 6% increase in the risk of a nursing home stay, and a 5% increase in mortality.</w:t>
            </w:r>
          </w:p>
        </w:tc>
      </w:tr>
      <w:tr w:rsidR="00740AEB" w:rsidTr="00CE22FC">
        <w:trPr>
          <w:trHeight w:val="2541"/>
        </w:trPr>
        <w:tc>
          <w:tcPr>
            <w:tcW w:w="1440" w:type="dxa"/>
            <w:vAlign w:val="center"/>
          </w:tcPr>
          <w:p w:rsidR="00740AEB" w:rsidRDefault="00A54893">
            <w:pPr>
              <w:spacing w:line="360" w:lineRule="auto"/>
              <w:ind w:firstLineChars="0" w:firstLine="0"/>
              <w:rPr>
                <w:rFonts w:cs="Times New Roman"/>
                <w:sz w:val="18"/>
                <w:szCs w:val="18"/>
              </w:rPr>
            </w:pPr>
            <w:r>
              <w:rPr>
                <w:rFonts w:cs="Times New Roman"/>
                <w:sz w:val="18"/>
                <w:szCs w:val="18"/>
              </w:rPr>
              <w:t>Chen et al, 2022</w:t>
            </w:r>
          </w:p>
        </w:tc>
        <w:tc>
          <w:tcPr>
            <w:tcW w:w="1845" w:type="dxa"/>
            <w:vAlign w:val="center"/>
          </w:tcPr>
          <w:p w:rsidR="00740AEB" w:rsidRDefault="00A54893">
            <w:pPr>
              <w:spacing w:line="360" w:lineRule="auto"/>
              <w:ind w:firstLineChars="0" w:firstLine="0"/>
              <w:rPr>
                <w:rFonts w:cs="Times New Roman"/>
                <w:sz w:val="18"/>
                <w:szCs w:val="18"/>
              </w:rPr>
            </w:pPr>
            <w:r>
              <w:rPr>
                <w:rFonts w:cs="Times New Roman"/>
                <w:sz w:val="18"/>
                <w:szCs w:val="18"/>
              </w:rPr>
              <w:t>China Taiwan</w:t>
            </w:r>
          </w:p>
        </w:tc>
        <w:tc>
          <w:tcPr>
            <w:tcW w:w="1270" w:type="dxa"/>
            <w:vAlign w:val="center"/>
          </w:tcPr>
          <w:p w:rsidR="00740AEB" w:rsidRDefault="00A54893">
            <w:pPr>
              <w:spacing w:line="360" w:lineRule="auto"/>
              <w:ind w:firstLineChars="0" w:firstLine="0"/>
              <w:jc w:val="left"/>
              <w:rPr>
                <w:rFonts w:cs="Times New Roman"/>
                <w:sz w:val="18"/>
                <w:szCs w:val="18"/>
              </w:rPr>
            </w:pPr>
            <w:r>
              <w:rPr>
                <w:rFonts w:cs="Times New Roman"/>
                <w:sz w:val="18"/>
                <w:szCs w:val="18"/>
              </w:rPr>
              <w:t>The national long-term care dataset in Taiwan</w:t>
            </w:r>
          </w:p>
        </w:tc>
        <w:tc>
          <w:tcPr>
            <w:tcW w:w="1110" w:type="dxa"/>
            <w:vAlign w:val="center"/>
          </w:tcPr>
          <w:p w:rsidR="00740AEB" w:rsidRDefault="00A54893">
            <w:pPr>
              <w:spacing w:line="360" w:lineRule="auto"/>
              <w:ind w:firstLineChars="0" w:firstLine="0"/>
              <w:jc w:val="left"/>
              <w:rPr>
                <w:rFonts w:cs="Times New Roman"/>
                <w:sz w:val="18"/>
                <w:szCs w:val="18"/>
              </w:rPr>
            </w:pPr>
            <w:r>
              <w:rPr>
                <w:rFonts w:cs="Times New Roman"/>
                <w:sz w:val="18"/>
                <w:szCs w:val="18"/>
              </w:rPr>
              <w:t>nursing home residents</w:t>
            </w:r>
          </w:p>
        </w:tc>
        <w:tc>
          <w:tcPr>
            <w:tcW w:w="1090" w:type="dxa"/>
            <w:vAlign w:val="center"/>
          </w:tcPr>
          <w:p w:rsidR="00740AEB" w:rsidRDefault="00A54893">
            <w:pPr>
              <w:spacing w:line="360" w:lineRule="auto"/>
              <w:ind w:firstLineChars="0" w:firstLine="0"/>
              <w:rPr>
                <w:rFonts w:cs="Times New Roman"/>
                <w:sz w:val="18"/>
                <w:szCs w:val="18"/>
              </w:rPr>
            </w:pPr>
            <w:r>
              <w:rPr>
                <w:rFonts w:cs="Times New Roman"/>
                <w:sz w:val="18"/>
                <w:szCs w:val="18"/>
              </w:rPr>
              <w:t>60.07%</w:t>
            </w:r>
          </w:p>
        </w:tc>
        <w:tc>
          <w:tcPr>
            <w:tcW w:w="1712" w:type="dxa"/>
            <w:vAlign w:val="center"/>
          </w:tcPr>
          <w:p w:rsidR="00740AEB" w:rsidRDefault="00A54893">
            <w:pPr>
              <w:widowControl/>
              <w:spacing w:line="360" w:lineRule="auto"/>
              <w:ind w:firstLineChars="0" w:firstLine="0"/>
              <w:rPr>
                <w:rFonts w:cs="Times New Roman"/>
                <w:color w:val="000000"/>
                <w:sz w:val="18"/>
                <w:szCs w:val="18"/>
              </w:rPr>
            </w:pPr>
            <w:r>
              <w:rPr>
                <w:rFonts w:cs="Times New Roman"/>
                <w:color w:val="000000"/>
                <w:sz w:val="18"/>
                <w:szCs w:val="18"/>
              </w:rPr>
              <w:t>Age,</w:t>
            </w:r>
          </w:p>
          <w:p w:rsidR="00740AEB" w:rsidRDefault="00A54893">
            <w:pPr>
              <w:widowControl/>
              <w:spacing w:line="360" w:lineRule="auto"/>
              <w:ind w:firstLineChars="0" w:firstLine="0"/>
              <w:rPr>
                <w:rFonts w:cs="Times New Roman"/>
                <w:color w:val="000000"/>
                <w:sz w:val="18"/>
                <w:szCs w:val="18"/>
              </w:rPr>
            </w:pPr>
            <w:r>
              <w:rPr>
                <w:rFonts w:cs="Times New Roman"/>
                <w:color w:val="000000"/>
                <w:sz w:val="18"/>
                <w:szCs w:val="18"/>
              </w:rPr>
              <w:t>Gender;</w:t>
            </w:r>
          </w:p>
          <w:p w:rsidR="00740AEB" w:rsidRDefault="00A54893">
            <w:pPr>
              <w:widowControl/>
              <w:spacing w:line="360" w:lineRule="auto"/>
              <w:ind w:firstLineChars="0" w:firstLine="0"/>
              <w:rPr>
                <w:rFonts w:cs="Times New Roman"/>
                <w:color w:val="000000"/>
                <w:sz w:val="18"/>
                <w:szCs w:val="18"/>
              </w:rPr>
            </w:pPr>
            <w:r>
              <w:rPr>
                <w:rFonts w:cs="Times New Roman"/>
                <w:color w:val="000000"/>
                <w:sz w:val="18"/>
                <w:szCs w:val="18"/>
              </w:rPr>
              <w:t>Marital status;</w:t>
            </w:r>
          </w:p>
          <w:p w:rsidR="00740AEB" w:rsidRDefault="00A54893">
            <w:pPr>
              <w:widowControl/>
              <w:spacing w:line="360" w:lineRule="auto"/>
              <w:ind w:firstLineChars="0" w:firstLine="0"/>
              <w:rPr>
                <w:rFonts w:cs="Times New Roman"/>
                <w:color w:val="000000"/>
                <w:sz w:val="18"/>
                <w:szCs w:val="18"/>
              </w:rPr>
            </w:pPr>
            <w:r>
              <w:rPr>
                <w:rFonts w:cs="Times New Roman"/>
                <w:color w:val="000000"/>
                <w:sz w:val="18"/>
                <w:szCs w:val="18"/>
              </w:rPr>
              <w:t>Educational</w:t>
            </w:r>
          </w:p>
          <w:p w:rsidR="00740AEB" w:rsidRDefault="00A54893">
            <w:pPr>
              <w:widowControl/>
              <w:spacing w:line="360" w:lineRule="auto"/>
              <w:ind w:firstLineChars="0" w:firstLine="0"/>
              <w:rPr>
                <w:rFonts w:cs="Times New Roman"/>
                <w:color w:val="000000"/>
                <w:sz w:val="18"/>
                <w:szCs w:val="18"/>
              </w:rPr>
            </w:pPr>
            <w:r>
              <w:rPr>
                <w:rFonts w:cs="Times New Roman"/>
                <w:color w:val="000000"/>
                <w:sz w:val="18"/>
                <w:szCs w:val="18"/>
              </w:rPr>
              <w:t>Living arrangement;</w:t>
            </w:r>
          </w:p>
          <w:p w:rsidR="00740AEB" w:rsidRDefault="00A54893">
            <w:pPr>
              <w:widowControl/>
              <w:spacing w:line="360" w:lineRule="auto"/>
              <w:ind w:firstLineChars="0" w:firstLine="0"/>
              <w:rPr>
                <w:rFonts w:cs="Times New Roman"/>
                <w:color w:val="000000"/>
                <w:kern w:val="0"/>
                <w:sz w:val="18"/>
                <w:szCs w:val="18"/>
              </w:rPr>
            </w:pPr>
            <w:r>
              <w:rPr>
                <w:rFonts w:cs="Times New Roman"/>
                <w:color w:val="000000"/>
                <w:sz w:val="18"/>
                <w:szCs w:val="18"/>
              </w:rPr>
              <w:t>Chronic diseases;</w:t>
            </w:r>
          </w:p>
        </w:tc>
        <w:tc>
          <w:tcPr>
            <w:tcW w:w="5707" w:type="dxa"/>
            <w:vAlign w:val="center"/>
          </w:tcPr>
          <w:p w:rsidR="00740AEB" w:rsidRDefault="00A54893">
            <w:pPr>
              <w:spacing w:line="360" w:lineRule="auto"/>
              <w:ind w:firstLineChars="0" w:firstLine="0"/>
              <w:rPr>
                <w:rFonts w:cs="Times New Roman"/>
                <w:sz w:val="18"/>
                <w:szCs w:val="18"/>
              </w:rPr>
            </w:pPr>
            <w:r>
              <w:rPr>
                <w:rFonts w:cs="Times New Roman"/>
                <w:sz w:val="18"/>
                <w:szCs w:val="18"/>
              </w:rPr>
              <w:t>The high-stable class as the reference, those in the normal-stable ,sensory-dysfunction and all-dysfunction classes had lower ADL scores. The poor intrinsic capacity classes tended to incur functional decline and drop into severe dependency in relatively few years, as compared with their counterparts. The median time of onset of severe dependency was likely to occur in 2.5 years in the all-dysfunction class, in 2.9 years in the sensory-dysfunction class, in 3.0 years in the normal-stable class and &gt;3.0 years in the high-stable class.</w:t>
            </w:r>
          </w:p>
        </w:tc>
      </w:tr>
      <w:tr w:rsidR="00740AEB" w:rsidTr="00CE22FC">
        <w:trPr>
          <w:trHeight w:val="2868"/>
        </w:trPr>
        <w:tc>
          <w:tcPr>
            <w:tcW w:w="1440" w:type="dxa"/>
            <w:tcBorders>
              <w:bottom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Aaron et al,2022</w:t>
            </w:r>
          </w:p>
        </w:tc>
        <w:tc>
          <w:tcPr>
            <w:tcW w:w="1845" w:type="dxa"/>
            <w:tcBorders>
              <w:bottom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Mexico</w:t>
            </w:r>
          </w:p>
        </w:tc>
        <w:tc>
          <w:tcPr>
            <w:tcW w:w="1270" w:type="dxa"/>
            <w:tcBorders>
              <w:bottom w:val="single" w:sz="12" w:space="0" w:color="auto"/>
            </w:tcBorders>
            <w:vAlign w:val="center"/>
          </w:tcPr>
          <w:p w:rsidR="00740AEB" w:rsidRDefault="00A54893">
            <w:pPr>
              <w:spacing w:line="360" w:lineRule="auto"/>
              <w:ind w:firstLineChars="0" w:firstLine="0"/>
              <w:jc w:val="left"/>
              <w:rPr>
                <w:rFonts w:cs="Times New Roman"/>
                <w:sz w:val="18"/>
                <w:szCs w:val="18"/>
              </w:rPr>
            </w:pPr>
            <w:r>
              <w:rPr>
                <w:rFonts w:cs="Times New Roman"/>
                <w:sz w:val="18"/>
                <w:szCs w:val="18"/>
              </w:rPr>
              <w:t>SAGE in Mexico</w:t>
            </w:r>
          </w:p>
        </w:tc>
        <w:tc>
          <w:tcPr>
            <w:tcW w:w="1110" w:type="dxa"/>
            <w:tcBorders>
              <w:bottom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older adults</w:t>
            </w:r>
          </w:p>
        </w:tc>
        <w:tc>
          <w:tcPr>
            <w:tcW w:w="1090" w:type="dxa"/>
            <w:tcBorders>
              <w:bottom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61%</w:t>
            </w:r>
          </w:p>
        </w:tc>
        <w:tc>
          <w:tcPr>
            <w:tcW w:w="1712" w:type="dxa"/>
            <w:tcBorders>
              <w:bottom w:val="single" w:sz="12" w:space="0" w:color="auto"/>
            </w:tcBorders>
            <w:vAlign w:val="center"/>
          </w:tcPr>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Gennder;</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Marital status;</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Paid job;</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Dwelling area;</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Physical activity;</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Tobacco use;</w:t>
            </w:r>
          </w:p>
          <w:p w:rsidR="00740AEB" w:rsidRDefault="00A54893">
            <w:pPr>
              <w:spacing w:line="360" w:lineRule="auto"/>
              <w:ind w:firstLineChars="0" w:firstLine="0"/>
              <w:rPr>
                <w:rFonts w:eastAsiaTheme="minorEastAsia" w:cs="Times New Roman"/>
                <w:sz w:val="18"/>
                <w:szCs w:val="18"/>
              </w:rPr>
            </w:pPr>
            <w:r>
              <w:rPr>
                <w:rFonts w:eastAsiaTheme="minorEastAsia" w:cs="Times New Roman"/>
                <w:sz w:val="18"/>
                <w:szCs w:val="18"/>
              </w:rPr>
              <w:t>Alcohol use;</w:t>
            </w:r>
          </w:p>
        </w:tc>
        <w:tc>
          <w:tcPr>
            <w:tcW w:w="5707" w:type="dxa"/>
            <w:tcBorders>
              <w:bottom w:val="single" w:sz="12" w:space="0" w:color="auto"/>
            </w:tcBorders>
            <w:vAlign w:val="center"/>
          </w:tcPr>
          <w:p w:rsidR="00740AEB" w:rsidRDefault="00A54893">
            <w:pPr>
              <w:spacing w:line="360" w:lineRule="auto"/>
              <w:ind w:firstLineChars="0" w:firstLine="0"/>
              <w:rPr>
                <w:rFonts w:cs="Times New Roman"/>
                <w:sz w:val="18"/>
                <w:szCs w:val="18"/>
              </w:rPr>
            </w:pPr>
            <w:r>
              <w:rPr>
                <w:rFonts w:cs="Times New Roman"/>
                <w:sz w:val="18"/>
                <w:szCs w:val="18"/>
              </w:rPr>
              <w:t>the class with better trajectory (higher baseline IC score with a moderately increasing pattern) was associated with a higher QoL score.</w:t>
            </w:r>
          </w:p>
          <w:p w:rsidR="00740AEB" w:rsidRDefault="00A54893">
            <w:pPr>
              <w:spacing w:line="360" w:lineRule="auto"/>
              <w:ind w:firstLineChars="0" w:firstLine="0"/>
              <w:rPr>
                <w:rFonts w:cs="Times New Roman"/>
                <w:sz w:val="18"/>
                <w:szCs w:val="18"/>
              </w:rPr>
            </w:pPr>
            <w:r>
              <w:rPr>
                <w:rFonts w:cs="Times New Roman"/>
                <w:sz w:val="18"/>
                <w:szCs w:val="18"/>
              </w:rPr>
              <w:t>the group with low baseline IC and a steeply decreasing trajectory (class 1) had the highest scores in the WHODAS 2.0, and therefore higher levels of disability compared to the groups with a slightly decreasing trajectory and a moderately increasing trajectory.</w:t>
            </w:r>
          </w:p>
        </w:tc>
      </w:tr>
    </w:tbl>
    <w:p w:rsidR="00740AEB" w:rsidRDefault="00740AEB">
      <w:pPr>
        <w:ind w:firstLine="480"/>
      </w:pPr>
    </w:p>
    <w:p w:rsidR="00740AEB" w:rsidRDefault="00740AEB">
      <w:pPr>
        <w:ind w:firstLine="480"/>
      </w:pPr>
    </w:p>
    <w:p w:rsidR="00740AEB" w:rsidRDefault="00740AEB">
      <w:pPr>
        <w:ind w:firstLine="480"/>
      </w:pPr>
    </w:p>
    <w:p w:rsidR="00740AEB" w:rsidRDefault="00A54893">
      <w:pPr>
        <w:ind w:firstLineChars="0" w:firstLine="0"/>
        <w:rPr>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3</w:t>
      </w:r>
      <w:r>
        <w:rPr>
          <w:rFonts w:eastAsiaTheme="minorEastAsia" w:cs="Times New Roman" w:hint="eastAsia"/>
          <w:b/>
          <w:bCs/>
          <w:szCs w:val="24"/>
        </w:rPr>
        <w:t xml:space="preserve"> </w:t>
      </w:r>
      <w:r>
        <w:rPr>
          <w:rFonts w:eastAsiaTheme="minorEastAsia" w:cs="Times New Roman"/>
          <w:i/>
          <w:iCs/>
          <w:szCs w:val="24"/>
        </w:rPr>
        <w:t>(continued)</w:t>
      </w:r>
    </w:p>
    <w:tbl>
      <w:tblPr>
        <w:tblStyle w:val="ab"/>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22"/>
        <w:gridCol w:w="1821"/>
        <w:gridCol w:w="1254"/>
        <w:gridCol w:w="1096"/>
        <w:gridCol w:w="1076"/>
        <w:gridCol w:w="1690"/>
        <w:gridCol w:w="5633"/>
      </w:tblGrid>
      <w:tr w:rsidR="00740AEB">
        <w:tc>
          <w:tcPr>
            <w:tcW w:w="1422" w:type="dxa"/>
            <w:vAlign w:val="center"/>
          </w:tcPr>
          <w:p w:rsidR="00740AEB" w:rsidRDefault="00A54893">
            <w:pPr>
              <w:ind w:firstLineChars="0" w:firstLine="0"/>
              <w:jc w:val="left"/>
              <w:rPr>
                <w:sz w:val="18"/>
                <w:szCs w:val="18"/>
              </w:rPr>
            </w:pPr>
            <w:r>
              <w:rPr>
                <w:sz w:val="18"/>
                <w:szCs w:val="18"/>
              </w:rPr>
              <w:t>Gonzalez-Bautista et al,2023</w:t>
            </w:r>
          </w:p>
        </w:tc>
        <w:tc>
          <w:tcPr>
            <w:tcW w:w="1821" w:type="dxa"/>
            <w:vAlign w:val="center"/>
          </w:tcPr>
          <w:p w:rsidR="00740AEB" w:rsidRDefault="00A54893">
            <w:pPr>
              <w:ind w:firstLineChars="0" w:firstLine="0"/>
              <w:jc w:val="left"/>
              <w:rPr>
                <w:sz w:val="18"/>
                <w:szCs w:val="18"/>
              </w:rPr>
            </w:pPr>
            <w:r>
              <w:rPr>
                <w:sz w:val="18"/>
                <w:szCs w:val="18"/>
              </w:rPr>
              <w:t>Peru, Mexico, China, India, Cuba, Dominican Republic, Puerto Rico(USA),Venezuela</w:t>
            </w:r>
          </w:p>
        </w:tc>
        <w:tc>
          <w:tcPr>
            <w:tcW w:w="1254" w:type="dxa"/>
            <w:vAlign w:val="center"/>
          </w:tcPr>
          <w:p w:rsidR="00740AEB" w:rsidRDefault="00A54893">
            <w:pPr>
              <w:ind w:firstLineChars="0" w:firstLine="0"/>
              <w:jc w:val="left"/>
              <w:rPr>
                <w:sz w:val="18"/>
                <w:szCs w:val="18"/>
              </w:rPr>
            </w:pPr>
            <w:r>
              <w:rPr>
                <w:sz w:val="18"/>
                <w:szCs w:val="18"/>
              </w:rPr>
              <w:t>DRG</w:t>
            </w:r>
          </w:p>
        </w:tc>
        <w:tc>
          <w:tcPr>
            <w:tcW w:w="1096" w:type="dxa"/>
            <w:vAlign w:val="center"/>
          </w:tcPr>
          <w:p w:rsidR="00740AEB" w:rsidRDefault="00A54893">
            <w:pPr>
              <w:ind w:firstLineChars="0" w:firstLine="0"/>
              <w:jc w:val="left"/>
              <w:rPr>
                <w:sz w:val="18"/>
                <w:szCs w:val="18"/>
              </w:rPr>
            </w:pPr>
            <w:r>
              <w:rPr>
                <w:sz w:val="18"/>
                <w:szCs w:val="18"/>
              </w:rPr>
              <w:t>older adults from the general population</w:t>
            </w:r>
          </w:p>
        </w:tc>
        <w:tc>
          <w:tcPr>
            <w:tcW w:w="1076" w:type="dxa"/>
            <w:vAlign w:val="center"/>
          </w:tcPr>
          <w:p w:rsidR="00740AEB" w:rsidRDefault="00A54893">
            <w:pPr>
              <w:ind w:firstLineChars="0" w:firstLine="0"/>
              <w:rPr>
                <w:sz w:val="18"/>
                <w:szCs w:val="18"/>
              </w:rPr>
            </w:pPr>
            <w:r>
              <w:rPr>
                <w:sz w:val="18"/>
                <w:szCs w:val="18"/>
              </w:rPr>
              <w:t>63.30%</w:t>
            </w:r>
          </w:p>
        </w:tc>
        <w:tc>
          <w:tcPr>
            <w:tcW w:w="1690"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Chronic diseases;</w:t>
            </w:r>
          </w:p>
          <w:p w:rsidR="00740AEB" w:rsidRDefault="00A54893">
            <w:pPr>
              <w:widowControl/>
              <w:spacing w:line="360" w:lineRule="auto"/>
              <w:ind w:firstLineChars="0" w:firstLine="0"/>
              <w:jc w:val="left"/>
              <w:rPr>
                <w:rFonts w:cs="Times New Roman"/>
                <w:color w:val="000000"/>
                <w:kern w:val="0"/>
                <w:sz w:val="18"/>
                <w:szCs w:val="18"/>
              </w:rPr>
            </w:pPr>
            <w:r>
              <w:rPr>
                <w:rFonts w:cs="Times New Roman"/>
                <w:color w:val="000000"/>
                <w:sz w:val="18"/>
                <w:szCs w:val="18"/>
              </w:rPr>
              <w:t>Self-rated heath;</w:t>
            </w:r>
          </w:p>
        </w:tc>
        <w:tc>
          <w:tcPr>
            <w:tcW w:w="5633" w:type="dxa"/>
            <w:vAlign w:val="center"/>
          </w:tcPr>
          <w:p w:rsidR="00740AEB" w:rsidRDefault="00A54893">
            <w:pPr>
              <w:spacing w:line="360" w:lineRule="auto"/>
              <w:ind w:firstLineChars="0" w:firstLine="0"/>
              <w:jc w:val="left"/>
              <w:rPr>
                <w:sz w:val="18"/>
                <w:szCs w:val="18"/>
              </w:rPr>
            </w:pPr>
            <w:r>
              <w:rPr>
                <w:sz w:val="18"/>
                <w:szCs w:val="18"/>
              </w:rPr>
              <w:t>Frailty: the high deterioration statuses had three times the risk of frailty than people in the high IC status. The low deterioration status had 82% higher chances of developing frailty at follow up than the high IC status</w:t>
            </w:r>
          </w:p>
          <w:p w:rsidR="00740AEB" w:rsidRDefault="00A54893">
            <w:pPr>
              <w:spacing w:line="360" w:lineRule="auto"/>
              <w:ind w:firstLineChars="0" w:firstLine="0"/>
              <w:jc w:val="left"/>
              <w:rPr>
                <w:sz w:val="18"/>
                <w:szCs w:val="18"/>
              </w:rPr>
            </w:pPr>
            <w:r>
              <w:rPr>
                <w:sz w:val="18"/>
                <w:szCs w:val="18"/>
              </w:rPr>
              <w:t>Demetia: The high deterioration with cognitive impairment group had the highest risk of incident dementia and incident disability</w:t>
            </w:r>
          </w:p>
          <w:p w:rsidR="00740AEB" w:rsidRDefault="00A54893">
            <w:pPr>
              <w:spacing w:line="360" w:lineRule="auto"/>
              <w:ind w:firstLineChars="0" w:firstLine="0"/>
              <w:jc w:val="left"/>
              <w:rPr>
                <w:sz w:val="18"/>
                <w:szCs w:val="18"/>
              </w:rPr>
            </w:pPr>
            <w:r>
              <w:rPr>
                <w:sz w:val="18"/>
                <w:szCs w:val="18"/>
              </w:rPr>
              <w:t>Disability: high deterioration with cognitive impairment status 45.2%, high deterioration without cognitive impairment 36.1%, low deterioration mainly locomotion 27.8% and high IC 17.7%.</w:t>
            </w:r>
          </w:p>
          <w:p w:rsidR="00740AEB" w:rsidRDefault="00A54893">
            <w:pPr>
              <w:spacing w:line="360" w:lineRule="auto"/>
              <w:ind w:firstLineChars="0" w:firstLine="0"/>
              <w:jc w:val="left"/>
              <w:rPr>
                <w:rFonts w:eastAsiaTheme="minorEastAsia" w:cs="Times New Roman"/>
                <w:sz w:val="18"/>
                <w:szCs w:val="18"/>
              </w:rPr>
            </w:pPr>
            <w:r>
              <w:rPr>
                <w:sz w:val="18"/>
                <w:szCs w:val="18"/>
              </w:rPr>
              <w:t>Mortality: Mortality was nearly five times higher amongst those with high deterioration with cognitive impairment latent status than those with high IC latent status, and about twofold when adjusted for age, sex, education and comorbidities.</w:t>
            </w:r>
          </w:p>
        </w:tc>
      </w:tr>
      <w:tr w:rsidR="00740AEB">
        <w:tc>
          <w:tcPr>
            <w:tcW w:w="1422" w:type="dxa"/>
            <w:vAlign w:val="center"/>
          </w:tcPr>
          <w:p w:rsidR="00740AEB" w:rsidRDefault="00A54893">
            <w:pPr>
              <w:ind w:firstLineChars="0" w:firstLine="0"/>
              <w:jc w:val="left"/>
              <w:rPr>
                <w:sz w:val="18"/>
                <w:szCs w:val="18"/>
              </w:rPr>
            </w:pPr>
            <w:r>
              <w:rPr>
                <w:sz w:val="18"/>
                <w:szCs w:val="18"/>
              </w:rPr>
              <w:t>Lu et al,2023</w:t>
            </w:r>
          </w:p>
        </w:tc>
        <w:tc>
          <w:tcPr>
            <w:tcW w:w="1821" w:type="dxa"/>
            <w:vAlign w:val="center"/>
          </w:tcPr>
          <w:p w:rsidR="00740AEB" w:rsidRDefault="00A54893">
            <w:pPr>
              <w:ind w:firstLineChars="0" w:firstLine="0"/>
              <w:jc w:val="left"/>
              <w:rPr>
                <w:sz w:val="18"/>
                <w:szCs w:val="18"/>
              </w:rPr>
            </w:pPr>
            <w:r>
              <w:rPr>
                <w:sz w:val="18"/>
                <w:szCs w:val="18"/>
              </w:rPr>
              <w:t>France</w:t>
            </w:r>
          </w:p>
        </w:tc>
        <w:tc>
          <w:tcPr>
            <w:tcW w:w="1254" w:type="dxa"/>
            <w:vAlign w:val="center"/>
          </w:tcPr>
          <w:p w:rsidR="00740AEB" w:rsidRDefault="00A54893">
            <w:pPr>
              <w:ind w:firstLineChars="0" w:firstLine="0"/>
              <w:jc w:val="left"/>
              <w:rPr>
                <w:sz w:val="18"/>
                <w:szCs w:val="18"/>
              </w:rPr>
            </w:pPr>
            <w:r>
              <w:rPr>
                <w:sz w:val="18"/>
                <w:szCs w:val="18"/>
              </w:rPr>
              <w:t>MAPT</w:t>
            </w:r>
          </w:p>
        </w:tc>
        <w:tc>
          <w:tcPr>
            <w:tcW w:w="1096" w:type="dxa"/>
            <w:vAlign w:val="center"/>
          </w:tcPr>
          <w:p w:rsidR="00740AEB" w:rsidRDefault="00A54893">
            <w:pPr>
              <w:ind w:firstLineChars="0" w:firstLine="0"/>
              <w:jc w:val="left"/>
              <w:rPr>
                <w:sz w:val="18"/>
                <w:szCs w:val="18"/>
              </w:rPr>
            </w:pPr>
            <w:r>
              <w:rPr>
                <w:sz w:val="18"/>
                <w:szCs w:val="18"/>
              </w:rPr>
              <w:t>community-dwelling older adults</w:t>
            </w:r>
          </w:p>
        </w:tc>
        <w:tc>
          <w:tcPr>
            <w:tcW w:w="1076" w:type="dxa"/>
            <w:vAlign w:val="center"/>
          </w:tcPr>
          <w:p w:rsidR="00740AEB" w:rsidRDefault="00A54893">
            <w:pPr>
              <w:ind w:firstLineChars="0" w:firstLine="0"/>
              <w:jc w:val="left"/>
              <w:rPr>
                <w:sz w:val="18"/>
                <w:szCs w:val="18"/>
              </w:rPr>
            </w:pPr>
            <w:r>
              <w:rPr>
                <w:sz w:val="18"/>
                <w:szCs w:val="18"/>
              </w:rPr>
              <w:t>64.60%</w:t>
            </w:r>
          </w:p>
        </w:tc>
        <w:tc>
          <w:tcPr>
            <w:tcW w:w="1690"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widowControl/>
              <w:spacing w:line="360" w:lineRule="auto"/>
              <w:ind w:firstLineChars="0" w:firstLine="0"/>
              <w:jc w:val="left"/>
              <w:rPr>
                <w:rFonts w:cs="Times New Roman"/>
                <w:color w:val="000000"/>
                <w:kern w:val="0"/>
                <w:sz w:val="18"/>
                <w:szCs w:val="18"/>
              </w:rPr>
            </w:pPr>
            <w:r>
              <w:rPr>
                <w:rFonts w:cs="Times New Roman"/>
                <w:color w:val="000000"/>
                <w:sz w:val="18"/>
                <w:szCs w:val="18"/>
              </w:rPr>
              <w:t>Chronic diseases;</w:t>
            </w:r>
          </w:p>
        </w:tc>
        <w:tc>
          <w:tcPr>
            <w:tcW w:w="5633" w:type="dxa"/>
            <w:vAlign w:val="center"/>
          </w:tcPr>
          <w:p w:rsidR="00740AEB" w:rsidRDefault="00A54893">
            <w:pPr>
              <w:spacing w:line="360" w:lineRule="auto"/>
              <w:ind w:firstLineChars="0" w:firstLine="0"/>
              <w:jc w:val="left"/>
              <w:rPr>
                <w:sz w:val="18"/>
                <w:szCs w:val="18"/>
              </w:rPr>
            </w:pPr>
            <w:r>
              <w:rPr>
                <w:sz w:val="18"/>
                <w:szCs w:val="18"/>
              </w:rPr>
              <w:t xml:space="preserve">Compared to the 'robust with high vitality' group, older individuals with higher plasma levels of IL-6, TNFR-1, and GDF-15 were more likely to belong to the 'low in all domains' group. Increased levels of IL-6 and GDF-15 were associated with a higher risk of belonging to the 'low locomotion' group.  </w:t>
            </w:r>
          </w:p>
        </w:tc>
      </w:tr>
      <w:tr w:rsidR="00740AEB">
        <w:tc>
          <w:tcPr>
            <w:tcW w:w="1422" w:type="dxa"/>
            <w:vAlign w:val="center"/>
          </w:tcPr>
          <w:p w:rsidR="00740AEB" w:rsidRDefault="00A54893">
            <w:pPr>
              <w:spacing w:line="360" w:lineRule="auto"/>
              <w:ind w:firstLineChars="0" w:firstLine="0"/>
              <w:jc w:val="left"/>
              <w:rPr>
                <w:sz w:val="18"/>
                <w:szCs w:val="18"/>
              </w:rPr>
            </w:pPr>
            <w:r>
              <w:rPr>
                <w:sz w:val="18"/>
                <w:szCs w:val="18"/>
              </w:rPr>
              <w:t>Meng et al,2023</w:t>
            </w:r>
          </w:p>
        </w:tc>
        <w:tc>
          <w:tcPr>
            <w:tcW w:w="1821" w:type="dxa"/>
            <w:vAlign w:val="center"/>
          </w:tcPr>
          <w:p w:rsidR="00740AEB" w:rsidRDefault="00A54893">
            <w:pPr>
              <w:spacing w:line="360" w:lineRule="auto"/>
              <w:ind w:firstLineChars="0" w:firstLine="0"/>
              <w:jc w:val="left"/>
              <w:rPr>
                <w:sz w:val="18"/>
                <w:szCs w:val="18"/>
              </w:rPr>
            </w:pPr>
            <w:r>
              <w:rPr>
                <w:sz w:val="18"/>
                <w:szCs w:val="18"/>
              </w:rPr>
              <w:t>China Taiwan</w:t>
            </w:r>
          </w:p>
        </w:tc>
        <w:tc>
          <w:tcPr>
            <w:tcW w:w="1254" w:type="dxa"/>
            <w:vAlign w:val="center"/>
          </w:tcPr>
          <w:p w:rsidR="00740AEB" w:rsidRDefault="00A54893">
            <w:pPr>
              <w:spacing w:line="360" w:lineRule="auto"/>
              <w:ind w:firstLineChars="0" w:firstLine="0"/>
              <w:jc w:val="left"/>
              <w:rPr>
                <w:sz w:val="18"/>
                <w:szCs w:val="18"/>
              </w:rPr>
            </w:pPr>
            <w:r>
              <w:rPr>
                <w:sz w:val="18"/>
                <w:szCs w:val="18"/>
              </w:rPr>
              <w:t>TLSA</w:t>
            </w:r>
          </w:p>
        </w:tc>
        <w:tc>
          <w:tcPr>
            <w:tcW w:w="1096" w:type="dxa"/>
            <w:vAlign w:val="center"/>
          </w:tcPr>
          <w:p w:rsidR="00740AEB" w:rsidRDefault="00A54893">
            <w:pPr>
              <w:spacing w:line="360" w:lineRule="auto"/>
              <w:ind w:firstLineChars="0" w:firstLine="0"/>
              <w:jc w:val="left"/>
              <w:rPr>
                <w:sz w:val="18"/>
                <w:szCs w:val="18"/>
              </w:rPr>
            </w:pPr>
            <w:r>
              <w:rPr>
                <w:sz w:val="18"/>
                <w:szCs w:val="18"/>
              </w:rPr>
              <w:t>older adults from the general population</w:t>
            </w:r>
          </w:p>
        </w:tc>
        <w:tc>
          <w:tcPr>
            <w:tcW w:w="1076" w:type="dxa"/>
            <w:vAlign w:val="center"/>
          </w:tcPr>
          <w:p w:rsidR="00740AEB" w:rsidRDefault="00A54893">
            <w:pPr>
              <w:spacing w:line="360" w:lineRule="auto"/>
              <w:ind w:firstLineChars="0" w:firstLine="0"/>
              <w:jc w:val="left"/>
              <w:rPr>
                <w:sz w:val="18"/>
                <w:szCs w:val="18"/>
              </w:rPr>
            </w:pPr>
            <w:r>
              <w:rPr>
                <w:sz w:val="18"/>
                <w:szCs w:val="18"/>
              </w:rPr>
              <w:t>48.50%</w:t>
            </w:r>
          </w:p>
        </w:tc>
        <w:tc>
          <w:tcPr>
            <w:tcW w:w="1690"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Smoking status;</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Alcohol use</w:t>
            </w:r>
          </w:p>
        </w:tc>
        <w:tc>
          <w:tcPr>
            <w:tcW w:w="5633" w:type="dxa"/>
            <w:vAlign w:val="center"/>
          </w:tcPr>
          <w:p w:rsidR="00740AEB" w:rsidRDefault="00A54893">
            <w:pPr>
              <w:spacing w:line="360" w:lineRule="auto"/>
              <w:ind w:firstLineChars="0" w:firstLine="0"/>
              <w:jc w:val="left"/>
              <w:rPr>
                <w:sz w:val="18"/>
                <w:szCs w:val="18"/>
              </w:rPr>
            </w:pPr>
            <w:r>
              <w:rPr>
                <w:sz w:val="18"/>
                <w:szCs w:val="18"/>
              </w:rPr>
              <w:t>Over the 4-year study period, compared to the</w:t>
            </w:r>
            <w:r>
              <w:rPr>
                <w:rFonts w:hint="eastAsia"/>
                <w:sz w:val="18"/>
                <w:szCs w:val="18"/>
              </w:rPr>
              <w:t xml:space="preserve"> </w:t>
            </w:r>
            <w:r>
              <w:rPr>
                <w:sz w:val="18"/>
                <w:szCs w:val="18"/>
              </w:rPr>
              <w:t>robust with mild decline group, hearing loss with cognitive decline group exhibited a significantly higher risk of</w:t>
            </w:r>
            <w:r>
              <w:rPr>
                <w:rFonts w:hint="eastAsia"/>
                <w:sz w:val="18"/>
                <w:szCs w:val="18"/>
              </w:rPr>
              <w:t xml:space="preserve"> </w:t>
            </w:r>
            <w:r>
              <w:rPr>
                <w:sz w:val="18"/>
                <w:szCs w:val="18"/>
              </w:rPr>
              <w:t>diminished QoL, whereas those in the PCD with depression group experienced an elevated risk of falls, as well as functional limitation. Individuals in the severe IC decline group faced a substantially increased risk of all outcomes of interest.</w:t>
            </w:r>
          </w:p>
        </w:tc>
      </w:tr>
    </w:tbl>
    <w:p w:rsidR="00740AEB" w:rsidRDefault="00740AEB">
      <w:pPr>
        <w:ind w:firstLine="480"/>
      </w:pPr>
    </w:p>
    <w:p w:rsidR="00740AEB" w:rsidRDefault="00740AEB">
      <w:pPr>
        <w:ind w:firstLine="480"/>
      </w:pPr>
    </w:p>
    <w:p w:rsidR="00740AEB" w:rsidRDefault="00740AEB">
      <w:pPr>
        <w:ind w:firstLine="480"/>
      </w:pPr>
    </w:p>
    <w:p w:rsidR="00740AEB" w:rsidRDefault="00A54893">
      <w:pPr>
        <w:ind w:firstLineChars="0" w:firstLine="0"/>
        <w:rPr>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3</w:t>
      </w:r>
      <w:r>
        <w:rPr>
          <w:rFonts w:eastAsiaTheme="minorEastAsia" w:cs="Times New Roman" w:hint="eastAsia"/>
          <w:b/>
          <w:bCs/>
          <w:szCs w:val="24"/>
        </w:rPr>
        <w:t xml:space="preserve"> </w:t>
      </w:r>
      <w:r>
        <w:rPr>
          <w:rFonts w:eastAsiaTheme="minorEastAsia" w:cs="Times New Roman"/>
          <w:i/>
          <w:iCs/>
          <w:szCs w:val="24"/>
        </w:rPr>
        <w:t>(continued)</w:t>
      </w:r>
    </w:p>
    <w:tbl>
      <w:tblPr>
        <w:tblStyle w:val="ab"/>
        <w:tblW w:w="1408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31"/>
        <w:gridCol w:w="1833"/>
        <w:gridCol w:w="1262"/>
        <w:gridCol w:w="1103"/>
        <w:gridCol w:w="1083"/>
        <w:gridCol w:w="1701"/>
        <w:gridCol w:w="5672"/>
      </w:tblGrid>
      <w:tr w:rsidR="00740AEB" w:rsidTr="00CE22FC">
        <w:trPr>
          <w:trHeight w:val="3708"/>
        </w:trPr>
        <w:tc>
          <w:tcPr>
            <w:tcW w:w="1431" w:type="dxa"/>
            <w:vAlign w:val="center"/>
          </w:tcPr>
          <w:p w:rsidR="00740AEB" w:rsidRDefault="00A54893">
            <w:pPr>
              <w:spacing w:line="360" w:lineRule="auto"/>
              <w:ind w:firstLineChars="0" w:firstLine="0"/>
              <w:jc w:val="left"/>
              <w:rPr>
                <w:sz w:val="18"/>
                <w:szCs w:val="18"/>
              </w:rPr>
            </w:pPr>
            <w:r>
              <w:rPr>
                <w:sz w:val="18"/>
                <w:szCs w:val="18"/>
              </w:rPr>
              <w:t>Yu et al,2023</w:t>
            </w:r>
          </w:p>
        </w:tc>
        <w:tc>
          <w:tcPr>
            <w:tcW w:w="1833" w:type="dxa"/>
            <w:vAlign w:val="center"/>
          </w:tcPr>
          <w:p w:rsidR="00740AEB" w:rsidRDefault="00A54893">
            <w:pPr>
              <w:spacing w:line="360" w:lineRule="auto"/>
              <w:ind w:firstLineChars="0" w:firstLine="0"/>
              <w:jc w:val="left"/>
              <w:rPr>
                <w:sz w:val="18"/>
                <w:szCs w:val="18"/>
              </w:rPr>
            </w:pPr>
            <w:r>
              <w:rPr>
                <w:sz w:val="18"/>
                <w:szCs w:val="18"/>
              </w:rPr>
              <w:t>China HongKong</w:t>
            </w:r>
          </w:p>
        </w:tc>
        <w:tc>
          <w:tcPr>
            <w:tcW w:w="1262" w:type="dxa"/>
            <w:vAlign w:val="center"/>
          </w:tcPr>
          <w:p w:rsidR="00740AEB" w:rsidRDefault="00A54893">
            <w:pPr>
              <w:spacing w:line="360" w:lineRule="auto"/>
              <w:ind w:firstLineChars="0" w:firstLine="0"/>
              <w:jc w:val="left"/>
              <w:rPr>
                <w:sz w:val="18"/>
                <w:szCs w:val="18"/>
              </w:rPr>
            </w:pPr>
            <w:r>
              <w:rPr>
                <w:sz w:val="18"/>
                <w:szCs w:val="18"/>
              </w:rPr>
              <w:t>A cohort of elderly people living in a Hong Kong community</w:t>
            </w:r>
          </w:p>
        </w:tc>
        <w:tc>
          <w:tcPr>
            <w:tcW w:w="1103" w:type="dxa"/>
            <w:vAlign w:val="center"/>
          </w:tcPr>
          <w:p w:rsidR="00740AEB" w:rsidRDefault="00A54893">
            <w:pPr>
              <w:spacing w:line="360" w:lineRule="auto"/>
              <w:ind w:firstLineChars="0" w:firstLine="0"/>
              <w:jc w:val="left"/>
              <w:rPr>
                <w:sz w:val="18"/>
                <w:szCs w:val="18"/>
              </w:rPr>
            </w:pPr>
            <w:r>
              <w:rPr>
                <w:sz w:val="18"/>
                <w:szCs w:val="18"/>
              </w:rPr>
              <w:t>community-dwelling older adults</w:t>
            </w:r>
          </w:p>
        </w:tc>
        <w:tc>
          <w:tcPr>
            <w:tcW w:w="1083" w:type="dxa"/>
            <w:vAlign w:val="center"/>
          </w:tcPr>
          <w:p w:rsidR="00740AEB" w:rsidRDefault="00A54893">
            <w:pPr>
              <w:spacing w:line="360" w:lineRule="auto"/>
              <w:ind w:firstLineChars="0" w:firstLine="0"/>
              <w:jc w:val="left"/>
              <w:rPr>
                <w:sz w:val="18"/>
                <w:szCs w:val="18"/>
              </w:rPr>
            </w:pPr>
            <w:r>
              <w:rPr>
                <w:sz w:val="18"/>
                <w:szCs w:val="18"/>
              </w:rPr>
              <w:t>78.70%</w:t>
            </w:r>
          </w:p>
        </w:tc>
        <w:tc>
          <w:tcPr>
            <w:tcW w:w="1701" w:type="dxa"/>
            <w:vAlign w:val="center"/>
          </w:tcPr>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Age,</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Gender;</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Marital status;</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Educational</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Living arrangement;</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Perceived financial adequacy;</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Financial assistance status;</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Type of housing;</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Self-rated health;</w:t>
            </w:r>
          </w:p>
        </w:tc>
        <w:tc>
          <w:tcPr>
            <w:tcW w:w="5672" w:type="dxa"/>
            <w:vAlign w:val="center"/>
          </w:tcPr>
          <w:p w:rsidR="00740AEB" w:rsidRDefault="00A54893">
            <w:pPr>
              <w:spacing w:line="360" w:lineRule="auto"/>
              <w:ind w:firstLineChars="0" w:firstLine="0"/>
              <w:jc w:val="left"/>
              <w:rPr>
                <w:sz w:val="18"/>
                <w:szCs w:val="18"/>
              </w:rPr>
            </w:pPr>
            <w:r>
              <w:rPr>
                <w:sz w:val="18"/>
                <w:szCs w:val="18"/>
              </w:rPr>
              <w:t>Older age, female gender, poorer perceived financial status, living in public or subsidized housing, and a higher number of chronic diseases are associated with lower intrinsic capacity trajectory categories (i.e., Category 3). In contrast, better perceived financial status is associated with higher intrinsic capacity trajectory categories (i.e., Category 1). After adjusting for demographic factors, socioeconomic status, and the number of chronic diseases, individuals in Category 1 are more likely to maintain the integrity of their Instrumental Activities of Daily Living (IADL), while those in Category 3 are more likely to develop IADL disability.</w:t>
            </w:r>
          </w:p>
        </w:tc>
      </w:tr>
      <w:tr w:rsidR="00740AEB" w:rsidTr="00CE22FC">
        <w:trPr>
          <w:trHeight w:val="2790"/>
        </w:trPr>
        <w:tc>
          <w:tcPr>
            <w:tcW w:w="1431" w:type="dxa"/>
            <w:vAlign w:val="center"/>
          </w:tcPr>
          <w:p w:rsidR="00740AEB" w:rsidRDefault="00A54893">
            <w:pPr>
              <w:spacing w:line="360" w:lineRule="auto"/>
              <w:ind w:firstLineChars="0" w:firstLine="0"/>
              <w:jc w:val="left"/>
              <w:rPr>
                <w:sz w:val="18"/>
                <w:szCs w:val="18"/>
              </w:rPr>
            </w:pPr>
            <w:r>
              <w:rPr>
                <w:sz w:val="18"/>
                <w:szCs w:val="18"/>
              </w:rPr>
              <w:t>Aaron et al,2022</w:t>
            </w:r>
          </w:p>
        </w:tc>
        <w:tc>
          <w:tcPr>
            <w:tcW w:w="1833" w:type="dxa"/>
            <w:vAlign w:val="center"/>
          </w:tcPr>
          <w:p w:rsidR="00740AEB" w:rsidRDefault="00A54893">
            <w:pPr>
              <w:spacing w:line="360" w:lineRule="auto"/>
              <w:ind w:firstLineChars="0" w:firstLine="0"/>
              <w:jc w:val="left"/>
              <w:rPr>
                <w:sz w:val="18"/>
                <w:szCs w:val="18"/>
              </w:rPr>
            </w:pPr>
            <w:r>
              <w:rPr>
                <w:sz w:val="18"/>
                <w:szCs w:val="18"/>
              </w:rPr>
              <w:t>Mexico</w:t>
            </w:r>
          </w:p>
        </w:tc>
        <w:tc>
          <w:tcPr>
            <w:tcW w:w="1262" w:type="dxa"/>
            <w:vAlign w:val="center"/>
          </w:tcPr>
          <w:p w:rsidR="00740AEB" w:rsidRDefault="00A54893">
            <w:pPr>
              <w:spacing w:line="360" w:lineRule="auto"/>
              <w:ind w:firstLineChars="0" w:firstLine="0"/>
              <w:jc w:val="left"/>
              <w:rPr>
                <w:sz w:val="18"/>
                <w:szCs w:val="18"/>
              </w:rPr>
            </w:pPr>
            <w:r>
              <w:rPr>
                <w:sz w:val="18"/>
                <w:szCs w:val="18"/>
              </w:rPr>
              <w:t>SAGE</w:t>
            </w:r>
          </w:p>
        </w:tc>
        <w:tc>
          <w:tcPr>
            <w:tcW w:w="1103" w:type="dxa"/>
            <w:vAlign w:val="center"/>
          </w:tcPr>
          <w:p w:rsidR="00740AEB" w:rsidRDefault="00A54893">
            <w:pPr>
              <w:spacing w:line="360" w:lineRule="auto"/>
              <w:ind w:firstLineChars="0" w:firstLine="0"/>
              <w:jc w:val="left"/>
              <w:rPr>
                <w:sz w:val="18"/>
                <w:szCs w:val="18"/>
              </w:rPr>
            </w:pPr>
            <w:r>
              <w:rPr>
                <w:sz w:val="18"/>
                <w:szCs w:val="18"/>
              </w:rPr>
              <w:t>older adults</w:t>
            </w:r>
          </w:p>
        </w:tc>
        <w:tc>
          <w:tcPr>
            <w:tcW w:w="1083" w:type="dxa"/>
            <w:vAlign w:val="center"/>
          </w:tcPr>
          <w:p w:rsidR="00740AEB" w:rsidRDefault="00A54893">
            <w:pPr>
              <w:spacing w:line="360" w:lineRule="auto"/>
              <w:ind w:firstLineChars="0" w:firstLine="0"/>
              <w:jc w:val="left"/>
              <w:rPr>
                <w:sz w:val="18"/>
                <w:szCs w:val="18"/>
              </w:rPr>
            </w:pPr>
            <w:r>
              <w:rPr>
                <w:sz w:val="18"/>
                <w:szCs w:val="18"/>
              </w:rPr>
              <w:t>60.50%</w:t>
            </w:r>
          </w:p>
        </w:tc>
        <w:tc>
          <w:tcPr>
            <w:tcW w:w="1701"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Marital status;</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Paid job;</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Health insurance;</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Chronic diseases;</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Physical activity;</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Sedentary behavior;</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Tobacco use;</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Alcohol use;</w:t>
            </w:r>
          </w:p>
        </w:tc>
        <w:tc>
          <w:tcPr>
            <w:tcW w:w="5672" w:type="dxa"/>
            <w:vAlign w:val="center"/>
          </w:tcPr>
          <w:p w:rsidR="00740AEB" w:rsidRDefault="00A54893">
            <w:pPr>
              <w:spacing w:line="360" w:lineRule="auto"/>
              <w:ind w:firstLineChars="0" w:firstLine="0"/>
              <w:jc w:val="left"/>
              <w:rPr>
                <w:sz w:val="18"/>
                <w:szCs w:val="18"/>
              </w:rPr>
            </w:pPr>
            <w:r>
              <w:rPr>
                <w:sz w:val="18"/>
                <w:szCs w:val="18"/>
              </w:rPr>
              <w:t>Inequalities in the IC trajectories for the three domains analyzed: SEP, gender, and ethnicity. Significant inequalities were observed in wealth and education. Individuals with the highest wealth and education level were likelier to have moderately decreasing. There were also significant inequalities by gender and ethnicity. Men and non-indigenous people were more likely to have moderately decreasing. High baseline IC with a mild increase was younger, maititual, paid job, and heath insurance, lower prevalence of multi-morbidity,</w:t>
            </w:r>
          </w:p>
        </w:tc>
      </w:tr>
    </w:tbl>
    <w:p w:rsidR="00740AEB" w:rsidRDefault="00740AEB">
      <w:pPr>
        <w:ind w:firstLine="480"/>
      </w:pPr>
    </w:p>
    <w:p w:rsidR="00740AEB" w:rsidRDefault="00740AEB">
      <w:pPr>
        <w:ind w:firstLine="480"/>
      </w:pPr>
    </w:p>
    <w:p w:rsidR="00740AEB" w:rsidRDefault="00740AEB">
      <w:pPr>
        <w:ind w:firstLine="480"/>
      </w:pPr>
    </w:p>
    <w:p w:rsidR="00740AEB" w:rsidRDefault="00740AEB">
      <w:pPr>
        <w:ind w:firstLine="480"/>
      </w:pPr>
    </w:p>
    <w:p w:rsidR="00740AEB" w:rsidRDefault="00740AEB">
      <w:pPr>
        <w:ind w:firstLineChars="0" w:firstLine="0"/>
      </w:pPr>
    </w:p>
    <w:p w:rsidR="00740AEB" w:rsidRDefault="00A54893">
      <w:pPr>
        <w:ind w:firstLineChars="0" w:firstLine="0"/>
        <w:rPr>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3</w:t>
      </w:r>
      <w:r>
        <w:rPr>
          <w:rFonts w:eastAsiaTheme="minorEastAsia" w:cs="Times New Roman" w:hint="eastAsia"/>
          <w:b/>
          <w:bCs/>
          <w:szCs w:val="24"/>
        </w:rPr>
        <w:t xml:space="preserve"> </w:t>
      </w:r>
      <w:r>
        <w:rPr>
          <w:rFonts w:eastAsiaTheme="minorEastAsia" w:cs="Times New Roman"/>
          <w:i/>
          <w:iCs/>
          <w:szCs w:val="24"/>
        </w:rPr>
        <w:t>(continued)</w:t>
      </w:r>
    </w:p>
    <w:tbl>
      <w:tblPr>
        <w:tblStyle w:val="ab"/>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22"/>
        <w:gridCol w:w="1821"/>
        <w:gridCol w:w="1254"/>
        <w:gridCol w:w="1096"/>
        <w:gridCol w:w="1076"/>
        <w:gridCol w:w="1690"/>
        <w:gridCol w:w="5633"/>
      </w:tblGrid>
      <w:tr w:rsidR="00740AEB">
        <w:tc>
          <w:tcPr>
            <w:tcW w:w="1422" w:type="dxa"/>
            <w:vAlign w:val="center"/>
          </w:tcPr>
          <w:p w:rsidR="00740AEB" w:rsidRDefault="00A54893">
            <w:pPr>
              <w:spacing w:line="360" w:lineRule="auto"/>
              <w:ind w:firstLineChars="0" w:firstLine="0"/>
              <w:jc w:val="left"/>
              <w:rPr>
                <w:sz w:val="18"/>
                <w:szCs w:val="18"/>
              </w:rPr>
            </w:pPr>
            <w:r>
              <w:rPr>
                <w:sz w:val="18"/>
                <w:szCs w:val="18"/>
              </w:rPr>
              <w:t>Zhao et al,2024</w:t>
            </w:r>
          </w:p>
        </w:tc>
        <w:tc>
          <w:tcPr>
            <w:tcW w:w="1821" w:type="dxa"/>
            <w:vAlign w:val="center"/>
          </w:tcPr>
          <w:p w:rsidR="00740AEB" w:rsidRDefault="00A54893">
            <w:pPr>
              <w:spacing w:line="360" w:lineRule="auto"/>
              <w:ind w:firstLineChars="0" w:firstLine="0"/>
              <w:jc w:val="left"/>
              <w:rPr>
                <w:sz w:val="18"/>
                <w:szCs w:val="18"/>
              </w:rPr>
            </w:pPr>
            <w:r>
              <w:rPr>
                <w:sz w:val="18"/>
                <w:szCs w:val="18"/>
              </w:rPr>
              <w:t>China</w:t>
            </w:r>
          </w:p>
        </w:tc>
        <w:tc>
          <w:tcPr>
            <w:tcW w:w="1254" w:type="dxa"/>
            <w:vAlign w:val="center"/>
          </w:tcPr>
          <w:p w:rsidR="00740AEB" w:rsidRDefault="00A54893">
            <w:pPr>
              <w:spacing w:line="360" w:lineRule="auto"/>
              <w:ind w:firstLineChars="0" w:firstLine="0"/>
              <w:jc w:val="left"/>
              <w:rPr>
                <w:sz w:val="18"/>
                <w:szCs w:val="18"/>
              </w:rPr>
            </w:pPr>
            <w:r>
              <w:rPr>
                <w:sz w:val="18"/>
                <w:szCs w:val="18"/>
              </w:rPr>
              <w:t>CHARLS</w:t>
            </w:r>
          </w:p>
        </w:tc>
        <w:tc>
          <w:tcPr>
            <w:tcW w:w="1096" w:type="dxa"/>
            <w:vAlign w:val="center"/>
          </w:tcPr>
          <w:p w:rsidR="00740AEB" w:rsidRDefault="00A54893">
            <w:pPr>
              <w:spacing w:line="360" w:lineRule="auto"/>
              <w:ind w:firstLineChars="0" w:firstLine="0"/>
              <w:jc w:val="left"/>
              <w:rPr>
                <w:sz w:val="18"/>
                <w:szCs w:val="18"/>
              </w:rPr>
            </w:pPr>
            <w:r>
              <w:rPr>
                <w:sz w:val="18"/>
                <w:szCs w:val="18"/>
              </w:rPr>
              <w:t>older adults from the general population</w:t>
            </w:r>
          </w:p>
        </w:tc>
        <w:tc>
          <w:tcPr>
            <w:tcW w:w="1076" w:type="dxa"/>
            <w:vAlign w:val="center"/>
          </w:tcPr>
          <w:p w:rsidR="00740AEB" w:rsidRDefault="00A54893">
            <w:pPr>
              <w:spacing w:line="360" w:lineRule="auto"/>
              <w:ind w:firstLineChars="0" w:firstLine="0"/>
              <w:jc w:val="left"/>
              <w:rPr>
                <w:sz w:val="18"/>
                <w:szCs w:val="18"/>
              </w:rPr>
            </w:pPr>
            <w:r>
              <w:rPr>
                <w:sz w:val="18"/>
                <w:szCs w:val="18"/>
              </w:rPr>
              <w:t>47.90%</w:t>
            </w:r>
          </w:p>
        </w:tc>
        <w:tc>
          <w:tcPr>
            <w:tcW w:w="1690"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Marital status;</w:t>
            </w:r>
          </w:p>
          <w:p w:rsidR="00740AEB" w:rsidRDefault="00A54893">
            <w:pPr>
              <w:widowControl/>
              <w:spacing w:line="360" w:lineRule="auto"/>
              <w:ind w:firstLineChars="0" w:firstLine="0"/>
              <w:jc w:val="left"/>
              <w:rPr>
                <w:rFonts w:cs="Times New Roman"/>
                <w:color w:val="000000"/>
                <w:sz w:val="18"/>
                <w:szCs w:val="18"/>
              </w:rPr>
            </w:pPr>
            <w:r>
              <w:rPr>
                <w:rFonts w:cs="Times New Roman"/>
                <w:color w:val="000000"/>
                <w:sz w:val="18"/>
                <w:szCs w:val="18"/>
              </w:rPr>
              <w:t>Chronic diseases; Income level;</w:t>
            </w:r>
          </w:p>
        </w:tc>
        <w:tc>
          <w:tcPr>
            <w:tcW w:w="5633" w:type="dxa"/>
            <w:vAlign w:val="center"/>
          </w:tcPr>
          <w:p w:rsidR="00740AEB" w:rsidRDefault="00A54893">
            <w:pPr>
              <w:spacing w:line="360" w:lineRule="auto"/>
              <w:ind w:firstLineChars="0" w:firstLine="0"/>
              <w:jc w:val="left"/>
              <w:rPr>
                <w:sz w:val="18"/>
                <w:szCs w:val="18"/>
              </w:rPr>
            </w:pPr>
            <w:r>
              <w:rPr>
                <w:sz w:val="18"/>
                <w:szCs w:val="18"/>
              </w:rPr>
              <w:t>This means that for every one-year increase in age, there are 1.04 times greater odds of belonging to the decline group than to the stable and high trajectory groups</w:t>
            </w:r>
            <w:r>
              <w:rPr>
                <w:rFonts w:hint="eastAsia"/>
                <w:sz w:val="18"/>
                <w:szCs w:val="18"/>
              </w:rPr>
              <w:t>.</w:t>
            </w:r>
            <w:r>
              <w:rPr>
                <w:sz w:val="18"/>
                <w:szCs w:val="18"/>
              </w:rPr>
              <w:t xml:space="preserve"> Female, being single, residing in a rural area, having several chronic diseases, and having more than 3 children were associated with the declining group.The findings indicate that higher levels of education beyond upper secondary education and more social participation were protective factors against intrinsic capability decline.</w:t>
            </w:r>
          </w:p>
        </w:tc>
      </w:tr>
      <w:tr w:rsidR="00740AEB">
        <w:tc>
          <w:tcPr>
            <w:tcW w:w="1422" w:type="dxa"/>
            <w:vAlign w:val="center"/>
          </w:tcPr>
          <w:p w:rsidR="00740AEB" w:rsidRDefault="00A54893">
            <w:pPr>
              <w:spacing w:line="360" w:lineRule="auto"/>
              <w:ind w:firstLineChars="0" w:firstLine="0"/>
              <w:jc w:val="left"/>
              <w:rPr>
                <w:sz w:val="18"/>
                <w:szCs w:val="18"/>
              </w:rPr>
            </w:pPr>
            <w:r>
              <w:rPr>
                <w:sz w:val="18"/>
                <w:szCs w:val="18"/>
              </w:rPr>
              <w:t>Jia et al,2023</w:t>
            </w:r>
          </w:p>
        </w:tc>
        <w:tc>
          <w:tcPr>
            <w:tcW w:w="1821" w:type="dxa"/>
            <w:vAlign w:val="center"/>
          </w:tcPr>
          <w:p w:rsidR="00740AEB" w:rsidRDefault="00A54893">
            <w:pPr>
              <w:spacing w:line="360" w:lineRule="auto"/>
              <w:ind w:firstLineChars="0" w:firstLine="0"/>
              <w:jc w:val="left"/>
              <w:rPr>
                <w:sz w:val="18"/>
                <w:szCs w:val="18"/>
              </w:rPr>
            </w:pPr>
            <w:r>
              <w:rPr>
                <w:sz w:val="18"/>
                <w:szCs w:val="18"/>
              </w:rPr>
              <w:t>China</w:t>
            </w:r>
          </w:p>
        </w:tc>
        <w:tc>
          <w:tcPr>
            <w:tcW w:w="1254" w:type="dxa"/>
            <w:vAlign w:val="center"/>
          </w:tcPr>
          <w:p w:rsidR="00740AEB" w:rsidRDefault="00A54893">
            <w:pPr>
              <w:spacing w:line="360" w:lineRule="auto"/>
              <w:ind w:firstLineChars="0" w:firstLine="0"/>
              <w:jc w:val="left"/>
              <w:rPr>
                <w:sz w:val="18"/>
                <w:szCs w:val="18"/>
              </w:rPr>
            </w:pPr>
            <w:r>
              <w:rPr>
                <w:sz w:val="18"/>
                <w:szCs w:val="18"/>
              </w:rPr>
              <w:t xml:space="preserve">WCHAT </w:t>
            </w:r>
          </w:p>
        </w:tc>
        <w:tc>
          <w:tcPr>
            <w:tcW w:w="1096" w:type="dxa"/>
            <w:vAlign w:val="center"/>
          </w:tcPr>
          <w:p w:rsidR="00740AEB" w:rsidRDefault="00A54893">
            <w:pPr>
              <w:spacing w:line="360" w:lineRule="auto"/>
              <w:ind w:firstLineChars="0" w:firstLine="0"/>
              <w:jc w:val="left"/>
              <w:rPr>
                <w:sz w:val="18"/>
                <w:szCs w:val="18"/>
              </w:rPr>
            </w:pPr>
            <w:r>
              <w:rPr>
                <w:sz w:val="18"/>
                <w:szCs w:val="18"/>
              </w:rPr>
              <w:t>multi-ethnic community- dwelling adults</w:t>
            </w:r>
          </w:p>
        </w:tc>
        <w:tc>
          <w:tcPr>
            <w:tcW w:w="1076" w:type="dxa"/>
            <w:vAlign w:val="center"/>
          </w:tcPr>
          <w:p w:rsidR="00740AEB" w:rsidRDefault="00A54893">
            <w:pPr>
              <w:spacing w:line="360" w:lineRule="auto"/>
              <w:ind w:firstLineChars="0" w:firstLine="0"/>
              <w:jc w:val="left"/>
              <w:rPr>
                <w:sz w:val="18"/>
                <w:szCs w:val="18"/>
              </w:rPr>
            </w:pPr>
            <w:r>
              <w:rPr>
                <w:sz w:val="18"/>
                <w:szCs w:val="18"/>
              </w:rPr>
              <w:t>59.50%</w:t>
            </w:r>
          </w:p>
        </w:tc>
        <w:tc>
          <w:tcPr>
            <w:tcW w:w="1690"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Ethnicity;</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Marital status;</w:t>
            </w:r>
          </w:p>
          <w:p w:rsidR="00740AEB" w:rsidRDefault="00A54893">
            <w:pPr>
              <w:spacing w:line="360" w:lineRule="auto"/>
              <w:ind w:firstLineChars="0" w:firstLine="0"/>
              <w:jc w:val="left"/>
              <w:rPr>
                <w:rFonts w:eastAsiaTheme="minorEastAsia" w:cs="Times New Roman"/>
                <w:sz w:val="18"/>
                <w:szCs w:val="18"/>
              </w:rPr>
            </w:pPr>
            <w:r>
              <w:rPr>
                <w:rFonts w:cs="Times New Roman"/>
                <w:color w:val="000000"/>
                <w:sz w:val="18"/>
                <w:szCs w:val="18"/>
              </w:rPr>
              <w:t>Chronic diseases</w:t>
            </w:r>
            <w:r>
              <w:rPr>
                <w:rFonts w:eastAsiaTheme="minorEastAsia" w:cs="Times New Roman"/>
                <w:sz w:val="18"/>
                <w:szCs w:val="18"/>
              </w:rPr>
              <w:t xml:space="preserve"> Lifestyles;</w:t>
            </w:r>
          </w:p>
        </w:tc>
        <w:tc>
          <w:tcPr>
            <w:tcW w:w="5633" w:type="dxa"/>
            <w:vAlign w:val="center"/>
          </w:tcPr>
          <w:p w:rsidR="00740AEB" w:rsidRDefault="00A54893">
            <w:pPr>
              <w:ind w:firstLineChars="0" w:firstLine="0"/>
              <w:jc w:val="left"/>
              <w:rPr>
                <w:sz w:val="18"/>
                <w:szCs w:val="18"/>
              </w:rPr>
            </w:pPr>
            <w:r>
              <w:rPr>
                <w:sz w:val="18"/>
                <w:szCs w:val="18"/>
              </w:rPr>
              <w:t>At baseline, impairments in mobility and vitality are significantly associated with maintaining frailty or worsening frailty status. Maintaining a poor intrinsic capacity status is associated with an increased risk of disability in both Activities of Daily Living (ADL) and Instrumental Activities of Daily Living (IADL).</w:t>
            </w:r>
          </w:p>
        </w:tc>
      </w:tr>
      <w:tr w:rsidR="00740AEB">
        <w:tc>
          <w:tcPr>
            <w:tcW w:w="1422" w:type="dxa"/>
            <w:vAlign w:val="center"/>
          </w:tcPr>
          <w:p w:rsidR="00740AEB" w:rsidRDefault="00A54893">
            <w:pPr>
              <w:spacing w:line="360" w:lineRule="auto"/>
              <w:ind w:firstLineChars="0" w:firstLine="0"/>
              <w:jc w:val="left"/>
              <w:rPr>
                <w:sz w:val="18"/>
                <w:szCs w:val="18"/>
              </w:rPr>
            </w:pPr>
            <w:r>
              <w:rPr>
                <w:sz w:val="18"/>
                <w:szCs w:val="18"/>
              </w:rPr>
              <w:t xml:space="preserve">zhou et </w:t>
            </w:r>
          </w:p>
          <w:p w:rsidR="00740AEB" w:rsidRDefault="00A54893">
            <w:pPr>
              <w:spacing w:line="360" w:lineRule="auto"/>
              <w:ind w:firstLineChars="0" w:firstLine="0"/>
              <w:jc w:val="left"/>
              <w:rPr>
                <w:sz w:val="18"/>
                <w:szCs w:val="18"/>
              </w:rPr>
            </w:pPr>
            <w:r>
              <w:rPr>
                <w:sz w:val="18"/>
                <w:szCs w:val="18"/>
              </w:rPr>
              <w:t>al,2024</w:t>
            </w:r>
          </w:p>
        </w:tc>
        <w:tc>
          <w:tcPr>
            <w:tcW w:w="1821" w:type="dxa"/>
            <w:vAlign w:val="center"/>
          </w:tcPr>
          <w:p w:rsidR="00740AEB" w:rsidRDefault="00A54893">
            <w:pPr>
              <w:spacing w:line="360" w:lineRule="auto"/>
              <w:ind w:firstLineChars="0" w:firstLine="0"/>
              <w:jc w:val="left"/>
              <w:rPr>
                <w:sz w:val="18"/>
                <w:szCs w:val="18"/>
              </w:rPr>
            </w:pPr>
            <w:r>
              <w:rPr>
                <w:sz w:val="18"/>
                <w:szCs w:val="18"/>
              </w:rPr>
              <w:t>China</w:t>
            </w:r>
          </w:p>
        </w:tc>
        <w:tc>
          <w:tcPr>
            <w:tcW w:w="1254" w:type="dxa"/>
            <w:vAlign w:val="center"/>
          </w:tcPr>
          <w:p w:rsidR="00740AEB" w:rsidRDefault="00A54893">
            <w:pPr>
              <w:spacing w:line="360" w:lineRule="auto"/>
              <w:ind w:firstLineChars="0" w:firstLine="0"/>
              <w:jc w:val="left"/>
              <w:rPr>
                <w:sz w:val="18"/>
                <w:szCs w:val="18"/>
              </w:rPr>
            </w:pPr>
            <w:r>
              <w:rPr>
                <w:sz w:val="18"/>
                <w:szCs w:val="18"/>
              </w:rPr>
              <w:t>CHARLS</w:t>
            </w:r>
          </w:p>
        </w:tc>
        <w:tc>
          <w:tcPr>
            <w:tcW w:w="1096" w:type="dxa"/>
            <w:vAlign w:val="center"/>
          </w:tcPr>
          <w:p w:rsidR="00740AEB" w:rsidRDefault="00A54893">
            <w:pPr>
              <w:spacing w:line="360" w:lineRule="auto"/>
              <w:ind w:firstLineChars="0" w:firstLine="0"/>
              <w:jc w:val="left"/>
              <w:rPr>
                <w:sz w:val="18"/>
                <w:szCs w:val="18"/>
              </w:rPr>
            </w:pPr>
            <w:r>
              <w:rPr>
                <w:sz w:val="18"/>
                <w:szCs w:val="18"/>
              </w:rPr>
              <w:t>older adults from the general population</w:t>
            </w:r>
          </w:p>
        </w:tc>
        <w:tc>
          <w:tcPr>
            <w:tcW w:w="1076" w:type="dxa"/>
            <w:vAlign w:val="center"/>
          </w:tcPr>
          <w:p w:rsidR="00740AEB" w:rsidRDefault="00A54893">
            <w:pPr>
              <w:spacing w:line="360" w:lineRule="auto"/>
              <w:ind w:firstLineChars="0" w:firstLine="0"/>
              <w:jc w:val="left"/>
              <w:rPr>
                <w:sz w:val="18"/>
                <w:szCs w:val="18"/>
              </w:rPr>
            </w:pPr>
            <w:r>
              <w:rPr>
                <w:sz w:val="18"/>
                <w:szCs w:val="18"/>
              </w:rPr>
              <w:t>40.20%</w:t>
            </w:r>
          </w:p>
        </w:tc>
        <w:tc>
          <w:tcPr>
            <w:tcW w:w="1690" w:type="dxa"/>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Marital status;</w:t>
            </w:r>
          </w:p>
          <w:p w:rsidR="00740AEB" w:rsidRDefault="00A54893">
            <w:pPr>
              <w:spacing w:line="360" w:lineRule="auto"/>
              <w:ind w:firstLineChars="0" w:firstLine="0"/>
              <w:jc w:val="left"/>
              <w:rPr>
                <w:rFonts w:eastAsiaTheme="minorEastAsia" w:cs="Times New Roman"/>
                <w:sz w:val="18"/>
                <w:szCs w:val="18"/>
              </w:rPr>
            </w:pPr>
            <w:r>
              <w:rPr>
                <w:rFonts w:cs="Times New Roman"/>
                <w:color w:val="000000"/>
                <w:sz w:val="18"/>
                <w:szCs w:val="18"/>
              </w:rPr>
              <w:t>Chronic diseases;</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Smoking status;</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Alcohol use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Income level;</w:t>
            </w:r>
          </w:p>
        </w:tc>
        <w:tc>
          <w:tcPr>
            <w:tcW w:w="5633" w:type="dxa"/>
            <w:vAlign w:val="center"/>
          </w:tcPr>
          <w:p w:rsidR="00740AEB" w:rsidRDefault="00A54893">
            <w:pPr>
              <w:ind w:firstLineChars="0" w:firstLine="0"/>
              <w:jc w:val="left"/>
              <w:rPr>
                <w:sz w:val="18"/>
                <w:szCs w:val="18"/>
              </w:rPr>
            </w:pPr>
            <w:r>
              <w:rPr>
                <w:sz w:val="18"/>
                <w:szCs w:val="18"/>
              </w:rPr>
              <w:t>In the 4-year study, 32.1% of the community-dwelling older adults in China experienced a decline in intrinsic capacity. Among all dimensions, cognitive function decline was the most significant, with 21.3% of individuals showing a decline in cognitive function after 4 years. Age, low level of education, and widowhood were independently associated with the deterioration of intrinsic capacity. The decline in intrinsic capacity demonstrates better predictive value for adverse health outcomes than frailty status.</w:t>
            </w:r>
          </w:p>
        </w:tc>
      </w:tr>
    </w:tbl>
    <w:p w:rsidR="00740AEB" w:rsidRDefault="00740AEB">
      <w:pPr>
        <w:ind w:firstLine="480"/>
      </w:pPr>
    </w:p>
    <w:p w:rsidR="00740AEB" w:rsidRDefault="00740AEB">
      <w:pPr>
        <w:ind w:firstLineChars="0" w:firstLine="0"/>
        <w:rPr>
          <w:rFonts w:eastAsiaTheme="minorEastAsia" w:cs="Times New Roman"/>
          <w:b/>
          <w:bCs/>
          <w:sz w:val="18"/>
          <w:szCs w:val="18"/>
        </w:rPr>
      </w:pPr>
    </w:p>
    <w:p w:rsidR="00740AEB" w:rsidRDefault="00A54893">
      <w:pPr>
        <w:ind w:firstLineChars="0" w:firstLine="0"/>
        <w:rPr>
          <w:szCs w:val="24"/>
        </w:rPr>
      </w:pPr>
      <w:r>
        <w:rPr>
          <w:rFonts w:eastAsiaTheme="minorEastAsia" w:cs="Times New Roman"/>
          <w:b/>
          <w:bCs/>
          <w:szCs w:val="24"/>
        </w:rPr>
        <w:lastRenderedPageBreak/>
        <w:t xml:space="preserve">Supplementary </w:t>
      </w:r>
      <w:r>
        <w:rPr>
          <w:rFonts w:eastAsiaTheme="minorEastAsia" w:cs="Times New Roman" w:hint="eastAsia"/>
          <w:b/>
          <w:bCs/>
          <w:szCs w:val="24"/>
        </w:rPr>
        <w:t>Table S</w:t>
      </w:r>
      <w:r>
        <w:rPr>
          <w:rFonts w:eastAsiaTheme="minorEastAsia" w:cs="Times New Roman"/>
          <w:b/>
          <w:bCs/>
          <w:szCs w:val="24"/>
        </w:rPr>
        <w:t>3</w:t>
      </w:r>
      <w:r>
        <w:rPr>
          <w:rFonts w:eastAsiaTheme="minorEastAsia" w:cs="Times New Roman" w:hint="eastAsia"/>
          <w:b/>
          <w:bCs/>
          <w:szCs w:val="24"/>
        </w:rPr>
        <w:t xml:space="preserve"> </w:t>
      </w:r>
      <w:r>
        <w:rPr>
          <w:rFonts w:eastAsiaTheme="minorEastAsia" w:cs="Times New Roman"/>
          <w:i/>
          <w:iCs/>
          <w:szCs w:val="24"/>
        </w:rPr>
        <w:t>(continued)</w:t>
      </w:r>
    </w:p>
    <w:tbl>
      <w:tblPr>
        <w:tblStyle w:val="ab"/>
        <w:tblW w:w="0" w:type="auto"/>
        <w:tblLook w:val="04A0" w:firstRow="1" w:lastRow="0" w:firstColumn="1" w:lastColumn="0" w:noHBand="0" w:noVBand="1"/>
      </w:tblPr>
      <w:tblGrid>
        <w:gridCol w:w="1422"/>
        <w:gridCol w:w="1821"/>
        <w:gridCol w:w="1254"/>
        <w:gridCol w:w="1096"/>
        <w:gridCol w:w="1076"/>
        <w:gridCol w:w="1690"/>
        <w:gridCol w:w="5633"/>
      </w:tblGrid>
      <w:tr w:rsidR="00740AEB">
        <w:tc>
          <w:tcPr>
            <w:tcW w:w="1422" w:type="dxa"/>
            <w:tcBorders>
              <w:top w:val="single" w:sz="12" w:space="0" w:color="auto"/>
              <w:left w:val="nil"/>
              <w:bottom w:val="nil"/>
              <w:right w:val="nil"/>
            </w:tcBorders>
            <w:vAlign w:val="center"/>
          </w:tcPr>
          <w:p w:rsidR="00740AEB" w:rsidRDefault="00A54893">
            <w:pPr>
              <w:spacing w:line="360" w:lineRule="auto"/>
              <w:ind w:firstLineChars="0" w:firstLine="0"/>
              <w:jc w:val="left"/>
              <w:rPr>
                <w:sz w:val="18"/>
                <w:szCs w:val="18"/>
              </w:rPr>
            </w:pPr>
            <w:r>
              <w:rPr>
                <w:sz w:val="18"/>
                <w:szCs w:val="18"/>
              </w:rPr>
              <w:t>Liu et al,2021</w:t>
            </w:r>
          </w:p>
        </w:tc>
        <w:tc>
          <w:tcPr>
            <w:tcW w:w="1821" w:type="dxa"/>
            <w:tcBorders>
              <w:top w:val="single" w:sz="12" w:space="0" w:color="auto"/>
              <w:left w:val="nil"/>
              <w:bottom w:val="nil"/>
              <w:right w:val="nil"/>
            </w:tcBorders>
            <w:vAlign w:val="center"/>
          </w:tcPr>
          <w:p w:rsidR="00740AEB" w:rsidRDefault="00A54893">
            <w:pPr>
              <w:spacing w:line="360" w:lineRule="auto"/>
              <w:ind w:firstLineChars="0" w:firstLine="0"/>
              <w:jc w:val="left"/>
              <w:rPr>
                <w:sz w:val="18"/>
                <w:szCs w:val="18"/>
              </w:rPr>
            </w:pPr>
            <w:r>
              <w:rPr>
                <w:sz w:val="18"/>
                <w:szCs w:val="18"/>
              </w:rPr>
              <w:t>China</w:t>
            </w:r>
          </w:p>
        </w:tc>
        <w:tc>
          <w:tcPr>
            <w:tcW w:w="1254" w:type="dxa"/>
            <w:tcBorders>
              <w:top w:val="single" w:sz="12" w:space="0" w:color="auto"/>
              <w:left w:val="nil"/>
              <w:bottom w:val="nil"/>
              <w:right w:val="nil"/>
            </w:tcBorders>
            <w:vAlign w:val="center"/>
          </w:tcPr>
          <w:p w:rsidR="00740AEB" w:rsidRDefault="00A54893">
            <w:pPr>
              <w:spacing w:line="360" w:lineRule="auto"/>
              <w:ind w:firstLineChars="0" w:firstLine="0"/>
              <w:jc w:val="left"/>
              <w:rPr>
                <w:sz w:val="18"/>
                <w:szCs w:val="18"/>
              </w:rPr>
            </w:pPr>
            <w:r>
              <w:rPr>
                <w:sz w:val="18"/>
                <w:szCs w:val="18"/>
              </w:rPr>
              <w:t xml:space="preserve">CCRC </w:t>
            </w:r>
          </w:p>
        </w:tc>
        <w:tc>
          <w:tcPr>
            <w:tcW w:w="1096" w:type="dxa"/>
            <w:tcBorders>
              <w:top w:val="single" w:sz="12" w:space="0" w:color="auto"/>
              <w:left w:val="nil"/>
              <w:bottom w:val="nil"/>
              <w:right w:val="nil"/>
            </w:tcBorders>
            <w:vAlign w:val="center"/>
          </w:tcPr>
          <w:p w:rsidR="00740AEB" w:rsidRDefault="00A54893">
            <w:pPr>
              <w:spacing w:line="360" w:lineRule="auto"/>
              <w:ind w:firstLineChars="0" w:firstLine="0"/>
              <w:jc w:val="left"/>
              <w:rPr>
                <w:sz w:val="18"/>
                <w:szCs w:val="18"/>
              </w:rPr>
            </w:pPr>
            <w:r>
              <w:rPr>
                <w:sz w:val="18"/>
                <w:szCs w:val="18"/>
              </w:rPr>
              <w:t>community-dwelling older adults</w:t>
            </w:r>
          </w:p>
        </w:tc>
        <w:tc>
          <w:tcPr>
            <w:tcW w:w="1076" w:type="dxa"/>
            <w:tcBorders>
              <w:top w:val="single" w:sz="12" w:space="0" w:color="auto"/>
              <w:left w:val="nil"/>
              <w:bottom w:val="nil"/>
              <w:right w:val="nil"/>
            </w:tcBorders>
            <w:vAlign w:val="center"/>
          </w:tcPr>
          <w:p w:rsidR="00740AEB" w:rsidRDefault="00A54893">
            <w:pPr>
              <w:spacing w:line="360" w:lineRule="auto"/>
              <w:ind w:firstLineChars="0" w:firstLine="0"/>
              <w:jc w:val="left"/>
              <w:rPr>
                <w:sz w:val="18"/>
                <w:szCs w:val="18"/>
              </w:rPr>
            </w:pPr>
            <w:r>
              <w:rPr>
                <w:sz w:val="18"/>
                <w:szCs w:val="18"/>
              </w:rPr>
              <w:t>59.20%</w:t>
            </w:r>
          </w:p>
        </w:tc>
        <w:tc>
          <w:tcPr>
            <w:tcW w:w="1690" w:type="dxa"/>
            <w:tcBorders>
              <w:top w:val="single" w:sz="12" w:space="0" w:color="auto"/>
              <w:left w:val="nil"/>
              <w:bottom w:val="nil"/>
              <w:right w:val="nil"/>
            </w:tcBorders>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Marital status;</w:t>
            </w:r>
          </w:p>
          <w:p w:rsidR="00740AEB" w:rsidRDefault="00A54893">
            <w:pPr>
              <w:spacing w:line="360" w:lineRule="auto"/>
              <w:ind w:firstLineChars="0" w:firstLine="0"/>
              <w:jc w:val="left"/>
              <w:rPr>
                <w:rFonts w:eastAsiaTheme="minorEastAsia" w:cs="Times New Roman"/>
                <w:sz w:val="18"/>
                <w:szCs w:val="18"/>
              </w:rPr>
            </w:pPr>
            <w:r>
              <w:rPr>
                <w:rFonts w:cs="Times New Roman"/>
                <w:color w:val="000000"/>
                <w:sz w:val="18"/>
                <w:szCs w:val="18"/>
              </w:rPr>
              <w:t>Chronic diseases;</w:t>
            </w:r>
          </w:p>
        </w:tc>
        <w:tc>
          <w:tcPr>
            <w:tcW w:w="5633" w:type="dxa"/>
            <w:tcBorders>
              <w:top w:val="single" w:sz="12" w:space="0" w:color="auto"/>
              <w:left w:val="nil"/>
              <w:bottom w:val="nil"/>
              <w:right w:val="nil"/>
            </w:tcBorders>
            <w:vAlign w:val="center"/>
          </w:tcPr>
          <w:p w:rsidR="00740AEB" w:rsidRDefault="00A54893">
            <w:pPr>
              <w:ind w:firstLineChars="0" w:firstLine="0"/>
              <w:jc w:val="left"/>
              <w:rPr>
                <w:sz w:val="18"/>
                <w:szCs w:val="18"/>
              </w:rPr>
            </w:pPr>
            <w:r>
              <w:rPr>
                <w:sz w:val="18"/>
                <w:szCs w:val="18"/>
              </w:rPr>
              <w:t>Among older adults without intrinsic capacity (IC) impairment at baseline, 49.2% remained stable, and 50.8% developed new IC impairment. Among older adults with IC impairment at baseline, 57.9% saw their impairment worsen, and 13.5% improved. Among non-frail older adults, 47.1% experienced a transition involving IC impairment within two years. The emergence of new impairments in locomotion and vitality is associated with the transition from a non-frail to a frail status.</w:t>
            </w:r>
          </w:p>
        </w:tc>
      </w:tr>
      <w:tr w:rsidR="00740AEB">
        <w:tc>
          <w:tcPr>
            <w:tcW w:w="1422" w:type="dxa"/>
            <w:tcBorders>
              <w:top w:val="nil"/>
              <w:left w:val="nil"/>
              <w:bottom w:val="single" w:sz="12" w:space="0" w:color="auto"/>
              <w:right w:val="nil"/>
            </w:tcBorders>
            <w:vAlign w:val="center"/>
          </w:tcPr>
          <w:p w:rsidR="00740AEB" w:rsidRDefault="00A54893">
            <w:pPr>
              <w:spacing w:line="360" w:lineRule="auto"/>
              <w:ind w:firstLineChars="0" w:firstLine="0"/>
              <w:jc w:val="left"/>
              <w:rPr>
                <w:sz w:val="18"/>
                <w:szCs w:val="18"/>
              </w:rPr>
            </w:pPr>
            <w:r>
              <w:rPr>
                <w:sz w:val="18"/>
                <w:szCs w:val="18"/>
              </w:rPr>
              <w:t>Yu et al,2024</w:t>
            </w:r>
          </w:p>
        </w:tc>
        <w:tc>
          <w:tcPr>
            <w:tcW w:w="1821" w:type="dxa"/>
            <w:tcBorders>
              <w:top w:val="nil"/>
              <w:left w:val="nil"/>
              <w:bottom w:val="single" w:sz="12" w:space="0" w:color="auto"/>
              <w:right w:val="nil"/>
            </w:tcBorders>
            <w:vAlign w:val="center"/>
          </w:tcPr>
          <w:p w:rsidR="00740AEB" w:rsidRDefault="00A54893">
            <w:pPr>
              <w:spacing w:line="360" w:lineRule="auto"/>
              <w:ind w:firstLineChars="0" w:firstLine="0"/>
              <w:jc w:val="left"/>
              <w:rPr>
                <w:sz w:val="18"/>
                <w:szCs w:val="18"/>
              </w:rPr>
            </w:pPr>
            <w:r>
              <w:rPr>
                <w:sz w:val="18"/>
                <w:szCs w:val="18"/>
              </w:rPr>
              <w:t>China HongKong</w:t>
            </w:r>
          </w:p>
        </w:tc>
        <w:tc>
          <w:tcPr>
            <w:tcW w:w="1254" w:type="dxa"/>
            <w:tcBorders>
              <w:top w:val="nil"/>
              <w:left w:val="nil"/>
              <w:bottom w:val="single" w:sz="12" w:space="0" w:color="auto"/>
              <w:right w:val="nil"/>
            </w:tcBorders>
            <w:vAlign w:val="center"/>
          </w:tcPr>
          <w:p w:rsidR="00740AEB" w:rsidRDefault="00A54893">
            <w:pPr>
              <w:spacing w:line="360" w:lineRule="auto"/>
              <w:ind w:firstLineChars="0" w:firstLine="0"/>
              <w:jc w:val="left"/>
              <w:rPr>
                <w:sz w:val="18"/>
                <w:szCs w:val="18"/>
              </w:rPr>
            </w:pPr>
            <w:r>
              <w:rPr>
                <w:sz w:val="18"/>
                <w:szCs w:val="18"/>
              </w:rPr>
              <w:t>A cohort of elderly people living in a Hong Kong community</w:t>
            </w:r>
          </w:p>
        </w:tc>
        <w:tc>
          <w:tcPr>
            <w:tcW w:w="1096" w:type="dxa"/>
            <w:tcBorders>
              <w:top w:val="nil"/>
              <w:left w:val="nil"/>
              <w:bottom w:val="single" w:sz="12" w:space="0" w:color="auto"/>
              <w:right w:val="nil"/>
            </w:tcBorders>
            <w:vAlign w:val="center"/>
          </w:tcPr>
          <w:p w:rsidR="00740AEB" w:rsidRDefault="00A54893">
            <w:pPr>
              <w:spacing w:line="360" w:lineRule="auto"/>
              <w:ind w:firstLineChars="0" w:firstLine="0"/>
              <w:jc w:val="left"/>
              <w:rPr>
                <w:sz w:val="18"/>
                <w:szCs w:val="18"/>
              </w:rPr>
            </w:pPr>
            <w:r>
              <w:rPr>
                <w:sz w:val="18"/>
                <w:szCs w:val="18"/>
              </w:rPr>
              <w:t>community-dwelling older adults</w:t>
            </w:r>
          </w:p>
        </w:tc>
        <w:tc>
          <w:tcPr>
            <w:tcW w:w="1076" w:type="dxa"/>
            <w:tcBorders>
              <w:top w:val="nil"/>
              <w:left w:val="nil"/>
              <w:bottom w:val="single" w:sz="12" w:space="0" w:color="auto"/>
              <w:right w:val="nil"/>
            </w:tcBorders>
            <w:vAlign w:val="center"/>
          </w:tcPr>
          <w:p w:rsidR="00740AEB" w:rsidRDefault="00A54893">
            <w:pPr>
              <w:spacing w:line="360" w:lineRule="auto"/>
              <w:ind w:firstLineChars="0" w:firstLine="0"/>
              <w:jc w:val="left"/>
              <w:rPr>
                <w:sz w:val="18"/>
                <w:szCs w:val="18"/>
              </w:rPr>
            </w:pPr>
            <w:r>
              <w:rPr>
                <w:sz w:val="18"/>
                <w:szCs w:val="18"/>
              </w:rPr>
              <w:t>77.39%</w:t>
            </w:r>
          </w:p>
        </w:tc>
        <w:tc>
          <w:tcPr>
            <w:tcW w:w="1690" w:type="dxa"/>
            <w:tcBorders>
              <w:top w:val="nil"/>
              <w:left w:val="nil"/>
              <w:bottom w:val="single" w:sz="12" w:space="0" w:color="auto"/>
              <w:right w:val="nil"/>
            </w:tcBorders>
            <w:vAlign w:val="center"/>
          </w:tcPr>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Age;</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Gender;</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Education;</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Marital status;</w:t>
            </w:r>
          </w:p>
          <w:p w:rsidR="00740AEB" w:rsidRDefault="00A54893">
            <w:pPr>
              <w:spacing w:line="360" w:lineRule="auto"/>
              <w:ind w:firstLineChars="0" w:firstLine="0"/>
              <w:jc w:val="left"/>
              <w:rPr>
                <w:rFonts w:cs="Times New Roman"/>
                <w:color w:val="000000"/>
                <w:sz w:val="18"/>
                <w:szCs w:val="18"/>
              </w:rPr>
            </w:pPr>
            <w:r>
              <w:rPr>
                <w:rFonts w:cs="Times New Roman"/>
                <w:color w:val="000000"/>
                <w:sz w:val="18"/>
                <w:szCs w:val="18"/>
              </w:rPr>
              <w:t>Chronic diseases;</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Perceived financial adequacy;</w:t>
            </w:r>
          </w:p>
          <w:p w:rsidR="00740AEB" w:rsidRDefault="00A54893">
            <w:pPr>
              <w:spacing w:line="360" w:lineRule="auto"/>
              <w:ind w:firstLineChars="0" w:firstLine="0"/>
              <w:jc w:val="left"/>
              <w:rPr>
                <w:rFonts w:eastAsiaTheme="minorEastAsia" w:cs="Times New Roman"/>
                <w:sz w:val="18"/>
                <w:szCs w:val="18"/>
              </w:rPr>
            </w:pPr>
            <w:r>
              <w:rPr>
                <w:rFonts w:eastAsiaTheme="minorEastAsia" w:cs="Times New Roman"/>
                <w:sz w:val="18"/>
                <w:szCs w:val="18"/>
              </w:rPr>
              <w:t>Financial assistance status;</w:t>
            </w:r>
          </w:p>
          <w:p w:rsidR="00740AEB" w:rsidRDefault="00A54893">
            <w:pPr>
              <w:spacing w:line="360" w:lineRule="auto"/>
              <w:ind w:firstLineChars="0" w:firstLine="0"/>
              <w:jc w:val="left"/>
              <w:rPr>
                <w:rFonts w:cs="Times New Roman"/>
                <w:color w:val="000000"/>
                <w:sz w:val="18"/>
                <w:szCs w:val="18"/>
              </w:rPr>
            </w:pPr>
            <w:r>
              <w:rPr>
                <w:rFonts w:eastAsiaTheme="minorEastAsia" w:cs="Times New Roman"/>
                <w:sz w:val="18"/>
                <w:szCs w:val="18"/>
              </w:rPr>
              <w:t>Type of housing;</w:t>
            </w:r>
          </w:p>
        </w:tc>
        <w:tc>
          <w:tcPr>
            <w:tcW w:w="5633" w:type="dxa"/>
            <w:tcBorders>
              <w:top w:val="nil"/>
              <w:left w:val="nil"/>
              <w:bottom w:val="single" w:sz="12" w:space="0" w:color="auto"/>
              <w:right w:val="nil"/>
            </w:tcBorders>
            <w:vAlign w:val="center"/>
          </w:tcPr>
          <w:p w:rsidR="00740AEB" w:rsidRDefault="00A54893">
            <w:pPr>
              <w:ind w:firstLineChars="0" w:firstLine="0"/>
              <w:jc w:val="left"/>
              <w:rPr>
                <w:sz w:val="18"/>
                <w:szCs w:val="18"/>
              </w:rPr>
            </w:pPr>
            <w:r>
              <w:rPr>
                <w:sz w:val="18"/>
                <w:szCs w:val="18"/>
              </w:rPr>
              <w:t>The study found that over 60% of community-dwelling older adults experienced at least one transition in their intrinsic capacity (IC) status, with 12% undergoing a transition each year. Age, gender, marital status, perceived financial adequacy, the number of chronic diseases, and self-rated health status are associated with transitions in IC status. Being married is associated with a reduced probability of IC deterioration; higher perceived financial adequacy is associated with an increased probability of IC improvement and a decreased probability of deterioration; better self-rated health is associated with an increased probability of IC improvement and a decreased probability of deterioration. In contrast, older age, being female, and having multiple morbidities are associated with a reduced probability of IC improvement.</w:t>
            </w:r>
          </w:p>
        </w:tc>
      </w:tr>
      <w:tr w:rsidR="00740AEB">
        <w:tc>
          <w:tcPr>
            <w:tcW w:w="13992" w:type="dxa"/>
            <w:gridSpan w:val="7"/>
            <w:tcBorders>
              <w:top w:val="single" w:sz="12" w:space="0" w:color="auto"/>
              <w:left w:val="nil"/>
              <w:bottom w:val="nil"/>
              <w:right w:val="nil"/>
            </w:tcBorders>
            <w:vAlign w:val="center"/>
          </w:tcPr>
          <w:p w:rsidR="00740AEB" w:rsidRDefault="00A54893">
            <w:pPr>
              <w:spacing w:line="240" w:lineRule="auto"/>
              <w:ind w:firstLineChars="0" w:firstLine="0"/>
              <w:jc w:val="left"/>
              <w:rPr>
                <w:sz w:val="18"/>
                <w:szCs w:val="18"/>
              </w:rPr>
            </w:pPr>
            <w:r>
              <w:rPr>
                <w:rFonts w:hint="eastAsia"/>
                <w:sz w:val="18"/>
                <w:szCs w:val="18"/>
              </w:rPr>
              <w:t>Note. Abbreviations</w:t>
            </w:r>
            <w:r>
              <w:rPr>
                <w:rFonts w:hint="eastAsia"/>
                <w:sz w:val="18"/>
                <w:szCs w:val="18"/>
              </w:rPr>
              <w:t>：</w:t>
            </w:r>
            <w:r>
              <w:rPr>
                <w:rFonts w:hint="eastAsia"/>
                <w:sz w:val="18"/>
                <w:szCs w:val="18"/>
              </w:rPr>
              <w:t>PEP, The Precipitating Events Project; SAGE, Global AGEing and adult health; DRG, 10/66 Dementia Research Group; MAPT, the Multidomain Alzheimer Preventive Trial; TLSA, the Taiwan Longitudinal Study on Ageing; CHARLS, the China Health a</w:t>
            </w:r>
            <w:r>
              <w:rPr>
                <w:sz w:val="18"/>
                <w:szCs w:val="18"/>
              </w:rPr>
              <w:t>nd Retirement Longitudinal Study; WCHAT, the West China Health and Aging Trend study; CCRC, a Beijing continuing care retirement community;</w:t>
            </w:r>
          </w:p>
        </w:tc>
      </w:tr>
    </w:tbl>
    <w:p w:rsidR="00740AEB" w:rsidRDefault="00740AEB">
      <w:pPr>
        <w:ind w:firstLineChars="0" w:firstLine="0"/>
        <w:rPr>
          <w:sz w:val="18"/>
          <w:szCs w:val="18"/>
        </w:rPr>
        <w:sectPr w:rsidR="00740AEB">
          <w:pgSz w:w="16838" w:h="11906" w:orient="landscape"/>
          <w:pgMar w:top="1418" w:right="1418" w:bottom="1418" w:left="1418" w:header="851" w:footer="992" w:gutter="0"/>
          <w:cols w:space="425"/>
          <w:docGrid w:linePitch="312"/>
        </w:sectPr>
      </w:pPr>
    </w:p>
    <w:p w:rsidR="00740AEB" w:rsidRDefault="00740AEB">
      <w:pPr>
        <w:widowControl/>
        <w:spacing w:line="240" w:lineRule="auto"/>
        <w:ind w:firstLineChars="0" w:firstLine="0"/>
        <w:jc w:val="left"/>
        <w:rPr>
          <w:b/>
          <w:bCs/>
          <w:szCs w:val="24"/>
        </w:rPr>
        <w:sectPr w:rsidR="00740AEB">
          <w:headerReference w:type="default" r:id="rId14"/>
          <w:pgSz w:w="16838" w:h="11906" w:orient="landscape"/>
          <w:pgMar w:top="1418" w:right="1418" w:bottom="1418" w:left="1418" w:header="851" w:footer="992" w:gutter="0"/>
          <w:cols w:space="425"/>
          <w:docGrid w:linePitch="312"/>
        </w:sectPr>
      </w:pPr>
    </w:p>
    <w:p w:rsidR="00740AEB" w:rsidRDefault="00A54893">
      <w:pPr>
        <w:widowControl/>
        <w:spacing w:line="240" w:lineRule="auto"/>
        <w:ind w:firstLineChars="0" w:firstLine="0"/>
        <w:jc w:val="left"/>
        <w:rPr>
          <w:szCs w:val="24"/>
        </w:rPr>
      </w:pPr>
      <w:r>
        <w:rPr>
          <w:b/>
          <w:bCs/>
          <w:szCs w:val="24"/>
        </w:rPr>
        <w:lastRenderedPageBreak/>
        <w:t xml:space="preserve">Supplementary Table S4 </w:t>
      </w:r>
      <w:r w:rsidR="004969E2">
        <w:rPr>
          <w:szCs w:val="24"/>
        </w:rPr>
        <w:t xml:space="preserve">Study </w:t>
      </w:r>
      <w:r w:rsidR="004969E2">
        <w:rPr>
          <w:rFonts w:hint="eastAsia"/>
          <w:szCs w:val="24"/>
        </w:rPr>
        <w:t>q</w:t>
      </w:r>
      <w:r w:rsidR="004969E2">
        <w:rPr>
          <w:szCs w:val="24"/>
        </w:rPr>
        <w:t>uality assessment b</w:t>
      </w:r>
      <w:r>
        <w:rPr>
          <w:szCs w:val="24"/>
        </w:rPr>
        <w:t>ased on the Newcastle–Ottawa scale (NOS).</w:t>
      </w:r>
    </w:p>
    <w:tbl>
      <w:tblPr>
        <w:tblStyle w:val="ab"/>
        <w:tblW w:w="160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1"/>
        <w:gridCol w:w="2068"/>
        <w:gridCol w:w="1373"/>
        <w:gridCol w:w="1649"/>
        <w:gridCol w:w="1368"/>
        <w:gridCol w:w="1549"/>
        <w:gridCol w:w="1469"/>
        <w:gridCol w:w="1319"/>
        <w:gridCol w:w="1406"/>
        <w:gridCol w:w="1282"/>
      </w:tblGrid>
      <w:tr w:rsidR="00740AEB">
        <w:trPr>
          <w:trHeight w:val="943"/>
          <w:jc w:val="center"/>
        </w:trPr>
        <w:tc>
          <w:tcPr>
            <w:tcW w:w="2601" w:type="dxa"/>
            <w:tcBorders>
              <w:top w:val="single" w:sz="8" w:space="0" w:color="auto"/>
              <w:bottom w:val="single" w:sz="8" w:space="0" w:color="auto"/>
            </w:tcBorders>
          </w:tcPr>
          <w:p w:rsidR="00740AEB" w:rsidRDefault="00A54893">
            <w:pPr>
              <w:widowControl/>
              <w:spacing w:line="240" w:lineRule="auto"/>
              <w:ind w:firstLineChars="0" w:firstLine="0"/>
              <w:jc w:val="left"/>
              <w:rPr>
                <w:b/>
                <w:bCs/>
                <w:sz w:val="20"/>
                <w:szCs w:val="20"/>
              </w:rPr>
            </w:pPr>
            <w:r>
              <w:rPr>
                <w:b/>
                <w:bCs/>
                <w:sz w:val="20"/>
                <w:szCs w:val="20"/>
              </w:rPr>
              <w:t>Author</w:t>
            </w:r>
          </w:p>
        </w:tc>
        <w:tc>
          <w:tcPr>
            <w:tcW w:w="2068"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Representativeness of exposed cohort</w:t>
            </w:r>
          </w:p>
        </w:tc>
        <w:tc>
          <w:tcPr>
            <w:tcW w:w="1373"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Selection of non-exposed cohort</w:t>
            </w:r>
          </w:p>
        </w:tc>
        <w:tc>
          <w:tcPr>
            <w:tcW w:w="1649"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Exposure ascertainment</w:t>
            </w:r>
          </w:p>
        </w:tc>
        <w:tc>
          <w:tcPr>
            <w:tcW w:w="1368"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Outcome was not present at the start</w:t>
            </w:r>
          </w:p>
        </w:tc>
        <w:tc>
          <w:tcPr>
            <w:tcW w:w="1549"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Confounders controlled</w:t>
            </w:r>
          </w:p>
        </w:tc>
        <w:tc>
          <w:tcPr>
            <w:tcW w:w="1469"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Assessment of outcome</w:t>
            </w:r>
          </w:p>
        </w:tc>
        <w:tc>
          <w:tcPr>
            <w:tcW w:w="1319"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Follow-up long enough</w:t>
            </w:r>
          </w:p>
        </w:tc>
        <w:tc>
          <w:tcPr>
            <w:tcW w:w="140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Adequacy of follow-up</w:t>
            </w:r>
          </w:p>
        </w:tc>
        <w:tc>
          <w:tcPr>
            <w:tcW w:w="1282"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Total quality</w:t>
            </w:r>
          </w:p>
        </w:tc>
      </w:tr>
      <w:tr w:rsidR="00740AEB">
        <w:trPr>
          <w:trHeight w:val="306"/>
          <w:jc w:val="center"/>
        </w:trPr>
        <w:tc>
          <w:tcPr>
            <w:tcW w:w="2601" w:type="dxa"/>
            <w:tcBorders>
              <w:top w:val="single" w:sz="8" w:space="0" w:color="auto"/>
            </w:tcBorders>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Erwin et al,2021</w:t>
            </w:r>
          </w:p>
        </w:tc>
        <w:tc>
          <w:tcPr>
            <w:tcW w:w="2068"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469"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tcBorders>
              <w:top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5</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Chen et al, 2022</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6</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Aaron et al,2022</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r w:rsidR="00740AEB">
        <w:trPr>
          <w:trHeight w:val="313"/>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Gonzalez-Bautista et al,2023</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5</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Lu et al,2023</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Meng et al, 2023</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8</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Yu et al,2023</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r w:rsidR="00740AEB">
        <w:trPr>
          <w:trHeight w:val="306"/>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Aaron et al,2022</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Zhao et al,2024</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6</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Jia et al,2023</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zhou et al,2024</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2</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r w:rsidR="00740AEB">
        <w:trPr>
          <w:trHeight w:val="300"/>
          <w:jc w:val="center"/>
        </w:trPr>
        <w:tc>
          <w:tcPr>
            <w:tcW w:w="2601" w:type="dxa"/>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Liu et al,2021</w:t>
            </w:r>
          </w:p>
        </w:tc>
        <w:tc>
          <w:tcPr>
            <w:tcW w:w="20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6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6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6</w:t>
            </w:r>
          </w:p>
        </w:tc>
      </w:tr>
      <w:tr w:rsidR="00740AEB">
        <w:trPr>
          <w:trHeight w:val="300"/>
          <w:jc w:val="center"/>
        </w:trPr>
        <w:tc>
          <w:tcPr>
            <w:tcW w:w="2601" w:type="dxa"/>
            <w:tcBorders>
              <w:bottom w:val="single" w:sz="8" w:space="0" w:color="auto"/>
            </w:tcBorders>
            <w:vAlign w:val="center"/>
          </w:tcPr>
          <w:p w:rsidR="00740AEB" w:rsidRDefault="00A54893">
            <w:pPr>
              <w:widowControl/>
              <w:spacing w:line="240" w:lineRule="auto"/>
              <w:ind w:firstLineChars="0" w:firstLine="0"/>
              <w:jc w:val="left"/>
              <w:rPr>
                <w:sz w:val="20"/>
                <w:szCs w:val="20"/>
              </w:rPr>
            </w:pPr>
            <w:r>
              <w:rPr>
                <w:rFonts w:cs="Times New Roman"/>
                <w:color w:val="000000"/>
                <w:sz w:val="20"/>
                <w:szCs w:val="20"/>
              </w:rPr>
              <w:t>Yu et al,2024</w:t>
            </w:r>
          </w:p>
        </w:tc>
        <w:tc>
          <w:tcPr>
            <w:tcW w:w="2068"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73"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649"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68"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0</w:t>
            </w:r>
          </w:p>
        </w:tc>
        <w:tc>
          <w:tcPr>
            <w:tcW w:w="1549"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69"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319"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406"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1</w:t>
            </w:r>
          </w:p>
        </w:tc>
        <w:tc>
          <w:tcPr>
            <w:tcW w:w="1282" w:type="dxa"/>
            <w:tcBorders>
              <w:bottom w:val="single" w:sz="8" w:space="0" w:color="auto"/>
            </w:tcBorders>
            <w:vAlign w:val="center"/>
          </w:tcPr>
          <w:p w:rsidR="00740AEB" w:rsidRDefault="00A54893">
            <w:pPr>
              <w:widowControl/>
              <w:spacing w:line="240" w:lineRule="auto"/>
              <w:ind w:firstLineChars="0" w:firstLine="0"/>
              <w:jc w:val="center"/>
              <w:rPr>
                <w:sz w:val="20"/>
                <w:szCs w:val="20"/>
              </w:rPr>
            </w:pPr>
            <w:r>
              <w:rPr>
                <w:rFonts w:cs="Times New Roman"/>
                <w:color w:val="000000"/>
                <w:sz w:val="20"/>
                <w:szCs w:val="20"/>
              </w:rPr>
              <w:t>7</w:t>
            </w:r>
          </w:p>
        </w:tc>
      </w:tr>
    </w:tbl>
    <w:p w:rsidR="00740AEB" w:rsidRDefault="00A54893">
      <w:pPr>
        <w:widowControl/>
        <w:spacing w:line="240" w:lineRule="auto"/>
        <w:ind w:firstLineChars="0" w:firstLine="0"/>
        <w:jc w:val="left"/>
        <w:rPr>
          <w:szCs w:val="24"/>
        </w:rPr>
      </w:pPr>
      <w:r>
        <w:rPr>
          <w:rFonts w:hint="eastAsia"/>
          <w:i/>
          <w:iCs/>
          <w:szCs w:val="24"/>
        </w:rPr>
        <w:t>N</w:t>
      </w:r>
      <w:r>
        <w:rPr>
          <w:i/>
          <w:iCs/>
          <w:szCs w:val="24"/>
        </w:rPr>
        <w:t>ote.</w:t>
      </w:r>
      <w:r>
        <w:rPr>
          <w:szCs w:val="24"/>
        </w:rPr>
        <w:t>1 point = reported , 0 point = not reported; A study can be given a maximum of one score for each numbered item within the Selection categories (representativeness of exposed cohort, selection of non-exposed cohort, exposure ascertainment, and outcome was not present at the start) and Outcome categories (assessment of outcome, follow-up long enough, and adequacy of follow-up). A maximum of two scores can be given for Comparability (confounders controlled). A score of 5 or above is considered high quality research</w:t>
      </w:r>
    </w:p>
    <w:p w:rsidR="00740AEB" w:rsidRDefault="00A54893">
      <w:pPr>
        <w:widowControl/>
        <w:spacing w:line="240" w:lineRule="auto"/>
        <w:ind w:firstLineChars="0" w:firstLine="0"/>
        <w:jc w:val="left"/>
        <w:rPr>
          <w:szCs w:val="24"/>
        </w:rPr>
      </w:pPr>
      <w:r>
        <w:rPr>
          <w:szCs w:val="24"/>
        </w:rPr>
        <w:br w:type="page"/>
      </w:r>
    </w:p>
    <w:p w:rsidR="00740AEB" w:rsidRDefault="00740AEB">
      <w:pPr>
        <w:widowControl/>
        <w:spacing w:line="240" w:lineRule="auto"/>
        <w:ind w:firstLineChars="0" w:firstLine="0"/>
        <w:jc w:val="left"/>
        <w:rPr>
          <w:b/>
          <w:bCs/>
          <w:szCs w:val="24"/>
        </w:rPr>
        <w:sectPr w:rsidR="00740AEB">
          <w:type w:val="continuous"/>
          <w:pgSz w:w="16838" w:h="11906" w:orient="landscape"/>
          <w:pgMar w:top="1418" w:right="1418" w:bottom="1418" w:left="1418" w:header="851" w:footer="992" w:gutter="0"/>
          <w:cols w:space="425"/>
          <w:docGrid w:linePitch="312"/>
        </w:sectPr>
      </w:pPr>
    </w:p>
    <w:p w:rsidR="00740AEB" w:rsidRPr="004969E2" w:rsidRDefault="00A54893">
      <w:pPr>
        <w:widowControl/>
        <w:spacing w:line="240" w:lineRule="auto"/>
        <w:ind w:firstLineChars="0" w:firstLine="0"/>
        <w:jc w:val="left"/>
        <w:rPr>
          <w:bCs/>
          <w:szCs w:val="24"/>
        </w:rPr>
      </w:pPr>
      <w:r>
        <w:rPr>
          <w:b/>
          <w:bCs/>
          <w:szCs w:val="24"/>
        </w:rPr>
        <w:lastRenderedPageBreak/>
        <w:t xml:space="preserve">Supplementary Table S5 </w:t>
      </w:r>
      <w:r w:rsidR="004969E2" w:rsidRPr="004969E2">
        <w:rPr>
          <w:bCs/>
          <w:szCs w:val="24"/>
        </w:rPr>
        <w:t>Statistical metho</w:t>
      </w:r>
      <w:r w:rsidR="004969E2">
        <w:rPr>
          <w:bCs/>
          <w:szCs w:val="24"/>
        </w:rPr>
        <w:t>ds used by studies conducting intrinsic capacity</w:t>
      </w:r>
      <w:r w:rsidR="004969E2" w:rsidRPr="004969E2">
        <w:rPr>
          <w:bCs/>
          <w:szCs w:val="24"/>
        </w:rPr>
        <w:t xml:space="preserve"> trajectory analysis</w:t>
      </w:r>
    </w:p>
    <w:tbl>
      <w:tblPr>
        <w:tblStyle w:val="ab"/>
        <w:tblW w:w="1545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4"/>
        <w:gridCol w:w="554"/>
        <w:gridCol w:w="554"/>
        <w:gridCol w:w="556"/>
        <w:gridCol w:w="556"/>
        <w:gridCol w:w="556"/>
        <w:gridCol w:w="554"/>
        <w:gridCol w:w="553"/>
        <w:gridCol w:w="555"/>
        <w:gridCol w:w="555"/>
        <w:gridCol w:w="553"/>
        <w:gridCol w:w="553"/>
        <w:gridCol w:w="553"/>
        <w:gridCol w:w="555"/>
        <w:gridCol w:w="555"/>
        <w:gridCol w:w="556"/>
        <w:gridCol w:w="556"/>
        <w:gridCol w:w="556"/>
        <w:gridCol w:w="557"/>
        <w:gridCol w:w="557"/>
        <w:gridCol w:w="556"/>
        <w:gridCol w:w="556"/>
        <w:gridCol w:w="1242"/>
      </w:tblGrid>
      <w:tr w:rsidR="00740AEB">
        <w:tc>
          <w:tcPr>
            <w:tcW w:w="2554" w:type="dxa"/>
            <w:tcBorders>
              <w:top w:val="single" w:sz="8" w:space="0" w:color="auto"/>
              <w:bottom w:val="single" w:sz="8" w:space="0" w:color="auto"/>
            </w:tcBorders>
          </w:tcPr>
          <w:p w:rsidR="00740AEB" w:rsidRPr="004969E2" w:rsidRDefault="00740AEB">
            <w:pPr>
              <w:widowControl/>
              <w:spacing w:line="240" w:lineRule="auto"/>
              <w:ind w:firstLineChars="0" w:firstLine="0"/>
              <w:jc w:val="left"/>
              <w:rPr>
                <w:b/>
                <w:bCs/>
                <w:szCs w:val="24"/>
              </w:rPr>
            </w:pPr>
          </w:p>
        </w:tc>
        <w:tc>
          <w:tcPr>
            <w:tcW w:w="554"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p>
        </w:tc>
        <w:tc>
          <w:tcPr>
            <w:tcW w:w="554"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2</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3</w:t>
            </w:r>
            <w:r>
              <w:rPr>
                <w:b/>
                <w:bCs/>
                <w:sz w:val="20"/>
                <w:szCs w:val="20"/>
              </w:rPr>
              <w:t>a</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3</w:t>
            </w:r>
            <w:r>
              <w:rPr>
                <w:b/>
                <w:bCs/>
                <w:sz w:val="20"/>
                <w:szCs w:val="20"/>
              </w:rPr>
              <w:t>b</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3</w:t>
            </w:r>
            <w:r>
              <w:rPr>
                <w:b/>
                <w:bCs/>
                <w:sz w:val="20"/>
                <w:szCs w:val="20"/>
              </w:rPr>
              <w:t>c</w:t>
            </w:r>
          </w:p>
        </w:tc>
        <w:tc>
          <w:tcPr>
            <w:tcW w:w="554"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4</w:t>
            </w:r>
          </w:p>
        </w:tc>
        <w:tc>
          <w:tcPr>
            <w:tcW w:w="553"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5</w:t>
            </w:r>
          </w:p>
        </w:tc>
        <w:tc>
          <w:tcPr>
            <w:tcW w:w="555"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6</w:t>
            </w:r>
            <w:r>
              <w:rPr>
                <w:b/>
                <w:bCs/>
                <w:sz w:val="20"/>
                <w:szCs w:val="20"/>
              </w:rPr>
              <w:t>a</w:t>
            </w:r>
          </w:p>
        </w:tc>
        <w:tc>
          <w:tcPr>
            <w:tcW w:w="555"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6</w:t>
            </w:r>
            <w:r>
              <w:rPr>
                <w:b/>
                <w:bCs/>
                <w:sz w:val="20"/>
                <w:szCs w:val="20"/>
              </w:rPr>
              <w:t>b</w:t>
            </w:r>
          </w:p>
        </w:tc>
        <w:tc>
          <w:tcPr>
            <w:tcW w:w="553"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7</w:t>
            </w:r>
          </w:p>
        </w:tc>
        <w:tc>
          <w:tcPr>
            <w:tcW w:w="553"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8</w:t>
            </w:r>
          </w:p>
        </w:tc>
        <w:tc>
          <w:tcPr>
            <w:tcW w:w="553"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9</w:t>
            </w:r>
          </w:p>
        </w:tc>
        <w:tc>
          <w:tcPr>
            <w:tcW w:w="555"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0</w:t>
            </w:r>
          </w:p>
        </w:tc>
        <w:tc>
          <w:tcPr>
            <w:tcW w:w="555"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1</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2</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13</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4</w:t>
            </w:r>
            <w:r>
              <w:rPr>
                <w:rFonts w:hint="eastAsia"/>
                <w:b/>
                <w:bCs/>
                <w:sz w:val="20"/>
                <w:szCs w:val="20"/>
              </w:rPr>
              <w:t>a</w:t>
            </w:r>
          </w:p>
        </w:tc>
        <w:tc>
          <w:tcPr>
            <w:tcW w:w="557"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4b</w:t>
            </w:r>
          </w:p>
        </w:tc>
        <w:tc>
          <w:tcPr>
            <w:tcW w:w="557"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b/>
                <w:bCs/>
                <w:sz w:val="20"/>
                <w:szCs w:val="20"/>
              </w:rPr>
              <w:t>14c</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5</w:t>
            </w:r>
          </w:p>
        </w:tc>
        <w:tc>
          <w:tcPr>
            <w:tcW w:w="556"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1</w:t>
            </w:r>
            <w:r>
              <w:rPr>
                <w:b/>
                <w:bCs/>
                <w:sz w:val="20"/>
                <w:szCs w:val="20"/>
              </w:rPr>
              <w:t>6</w:t>
            </w:r>
          </w:p>
        </w:tc>
        <w:tc>
          <w:tcPr>
            <w:tcW w:w="1242" w:type="dxa"/>
            <w:tcBorders>
              <w:top w:val="single" w:sz="8" w:space="0" w:color="auto"/>
              <w:bottom w:val="single" w:sz="8" w:space="0" w:color="auto"/>
            </w:tcBorders>
          </w:tcPr>
          <w:p w:rsidR="00740AEB" w:rsidRDefault="00A54893">
            <w:pPr>
              <w:widowControl/>
              <w:spacing w:line="240" w:lineRule="auto"/>
              <w:ind w:firstLineChars="0" w:firstLine="0"/>
              <w:jc w:val="center"/>
              <w:rPr>
                <w:b/>
                <w:bCs/>
                <w:sz w:val="20"/>
                <w:szCs w:val="20"/>
              </w:rPr>
            </w:pPr>
            <w:r>
              <w:rPr>
                <w:rFonts w:hint="eastAsia"/>
                <w:b/>
                <w:bCs/>
                <w:sz w:val="20"/>
                <w:szCs w:val="20"/>
              </w:rPr>
              <w:t>T</w:t>
            </w:r>
            <w:r>
              <w:rPr>
                <w:b/>
                <w:bCs/>
                <w:sz w:val="20"/>
                <w:szCs w:val="20"/>
              </w:rPr>
              <w:t>otal score</w:t>
            </w:r>
          </w:p>
        </w:tc>
      </w:tr>
      <w:tr w:rsidR="00740AEB">
        <w:tc>
          <w:tcPr>
            <w:tcW w:w="2554" w:type="dxa"/>
            <w:tcBorders>
              <w:top w:val="single" w:sz="8" w:space="0" w:color="auto"/>
            </w:tcBorders>
          </w:tcPr>
          <w:p w:rsidR="00740AEB" w:rsidRDefault="00A54893">
            <w:pPr>
              <w:widowControl/>
              <w:spacing w:line="240" w:lineRule="auto"/>
              <w:ind w:firstLineChars="0" w:firstLine="0"/>
              <w:jc w:val="left"/>
              <w:rPr>
                <w:b/>
                <w:bCs/>
                <w:sz w:val="20"/>
                <w:szCs w:val="20"/>
              </w:rPr>
            </w:pPr>
            <w:r>
              <w:rPr>
                <w:sz w:val="20"/>
                <w:szCs w:val="20"/>
              </w:rPr>
              <w:t>Erwin et al,2021</w:t>
            </w:r>
          </w:p>
        </w:tc>
        <w:tc>
          <w:tcPr>
            <w:tcW w:w="554"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1242" w:type="dxa"/>
            <w:tcBorders>
              <w:top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8</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Chen et al, 2022</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8</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Aaron et al,2022</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15</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Gonzalez-Bautista et al,2023</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10</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Lu et al,2023</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11</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Meng et al, 2023</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10</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Yu et al,2023</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10</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Aaron et al,2024</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15</w:t>
            </w:r>
          </w:p>
        </w:tc>
      </w:tr>
      <w:tr w:rsidR="00740AEB">
        <w:tc>
          <w:tcPr>
            <w:tcW w:w="2554" w:type="dxa"/>
          </w:tcPr>
          <w:p w:rsidR="00740AEB" w:rsidRDefault="00A54893">
            <w:pPr>
              <w:widowControl/>
              <w:spacing w:line="240" w:lineRule="auto"/>
              <w:ind w:firstLineChars="0" w:firstLine="0"/>
              <w:jc w:val="left"/>
              <w:rPr>
                <w:b/>
                <w:bCs/>
                <w:sz w:val="20"/>
                <w:szCs w:val="20"/>
              </w:rPr>
            </w:pPr>
            <w:r>
              <w:rPr>
                <w:sz w:val="20"/>
                <w:szCs w:val="20"/>
              </w:rPr>
              <w:t>Zhao et al,2024</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1242" w:type="dxa"/>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9</w:t>
            </w:r>
          </w:p>
        </w:tc>
      </w:tr>
      <w:tr w:rsidR="00740AEB">
        <w:tc>
          <w:tcPr>
            <w:tcW w:w="2554" w:type="dxa"/>
            <w:tcBorders>
              <w:bottom w:val="single" w:sz="8" w:space="0" w:color="auto"/>
            </w:tcBorders>
          </w:tcPr>
          <w:p w:rsidR="00740AEB" w:rsidRDefault="00A54893">
            <w:pPr>
              <w:widowControl/>
              <w:spacing w:line="240" w:lineRule="auto"/>
              <w:ind w:firstLineChars="0" w:firstLine="0"/>
              <w:jc w:val="left"/>
              <w:rPr>
                <w:b/>
                <w:bCs/>
                <w:sz w:val="20"/>
                <w:szCs w:val="20"/>
              </w:rPr>
            </w:pPr>
            <w:r>
              <w:rPr>
                <w:sz w:val="20"/>
                <w:szCs w:val="20"/>
              </w:rPr>
              <w:t>Erwin et al,2021</w:t>
            </w:r>
          </w:p>
        </w:tc>
        <w:tc>
          <w:tcPr>
            <w:tcW w:w="554"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4"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4"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3"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3"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5"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5"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7"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0</w:t>
            </w:r>
          </w:p>
        </w:tc>
        <w:tc>
          <w:tcPr>
            <w:tcW w:w="556"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1</w:t>
            </w:r>
          </w:p>
        </w:tc>
        <w:tc>
          <w:tcPr>
            <w:tcW w:w="1242" w:type="dxa"/>
            <w:tcBorders>
              <w:bottom w:val="single" w:sz="8" w:space="0" w:color="auto"/>
            </w:tcBorders>
          </w:tcPr>
          <w:p w:rsidR="00740AEB" w:rsidRDefault="00A54893">
            <w:pPr>
              <w:widowControl/>
              <w:spacing w:line="240" w:lineRule="auto"/>
              <w:ind w:firstLineChars="0" w:firstLine="0"/>
              <w:jc w:val="center"/>
              <w:rPr>
                <w:rFonts w:cs="Times New Roman"/>
                <w:b/>
                <w:bCs/>
                <w:sz w:val="20"/>
                <w:szCs w:val="20"/>
              </w:rPr>
            </w:pPr>
            <w:r>
              <w:rPr>
                <w:rFonts w:cs="Times New Roman"/>
                <w:sz w:val="20"/>
                <w:szCs w:val="20"/>
              </w:rPr>
              <w:t>8</w:t>
            </w:r>
          </w:p>
        </w:tc>
      </w:tr>
    </w:tbl>
    <w:p w:rsidR="00740AEB" w:rsidRDefault="00A54893">
      <w:pPr>
        <w:spacing w:line="240" w:lineRule="auto"/>
        <w:ind w:firstLineChars="0" w:firstLine="0"/>
        <w:rPr>
          <w:szCs w:val="24"/>
        </w:rPr>
      </w:pPr>
      <w:r>
        <w:rPr>
          <w:i/>
          <w:iCs/>
        </w:rPr>
        <w:t>Note.</w:t>
      </w:r>
      <w:r>
        <w:t xml:space="preserve"> 1 point = reported , 0 point = not reported; </w:t>
      </w:r>
      <w:r>
        <w:rPr>
          <w:szCs w:val="24"/>
        </w:rPr>
        <w:t xml:space="preserve">Assessment items include 1) Is the metric of time used in the statistical model reported; 2) Is information presented about the mean and variance of time within a wave; 3a) Is the missing data mechanism reported; 3b) Is a description provided of what variables are related to attrition/missing data; 3c) Is a description provided of how missing data in the analyses were dealt with; 4) Is information about the distribution of the observed variables included; 5 )Is the software mentioned; 6a) Are alternative specifications of within-class heterogeneity considered (e.g., latent class growth analysis vs. growth mixture modeling) and clearly documented? If not, was sufficient justification provided as to eliminate certain specifications from consideration; </w:t>
      </w:r>
      <w:r>
        <w:rPr>
          <w:rFonts w:hint="eastAsia"/>
          <w:szCs w:val="24"/>
        </w:rPr>
        <w:t>6b</w:t>
      </w:r>
      <w:r>
        <w:rPr>
          <w:szCs w:val="24"/>
        </w:rPr>
        <w:t xml:space="preserve">) </w:t>
      </w:r>
      <w:r>
        <w:rPr>
          <w:rFonts w:hint="eastAsia"/>
          <w:szCs w:val="24"/>
        </w:rPr>
        <w:t>Are alternative specifications of the between-class differences in variance</w:t>
      </w:r>
      <w:r>
        <w:rPr>
          <w:szCs w:val="24"/>
        </w:rPr>
        <w:t xml:space="preserve"> </w:t>
      </w:r>
      <w:r>
        <w:rPr>
          <w:rFonts w:hint="eastAsia"/>
          <w:szCs w:val="24"/>
        </w:rPr>
        <w:t>o</w:t>
      </w:r>
      <w:r>
        <w:rPr>
          <w:szCs w:val="24"/>
        </w:rPr>
        <w:t>r c</w:t>
      </w:r>
      <w:r>
        <w:rPr>
          <w:rFonts w:hint="eastAsia"/>
          <w:szCs w:val="24"/>
        </w:rPr>
        <w:t>ovariance matrix structure considered and clearly documented? If not, was sufficient justification provided as to eliminate certain specifications from consideration</w:t>
      </w:r>
      <w:r>
        <w:rPr>
          <w:szCs w:val="24"/>
        </w:rPr>
        <w:t>; 7) Are alternative shape/functional forms of the trajectories described; 8) If covariates have been used, can analyses still be replicated; 9) Is information reported about the number of random start values and final iterations included; 10) Are the model comparison (and selection) tools described from a statistical perspective; 11) Are the total number of fitted models reported, including a one-class solution; 12) Are the number of cases per class reported for each model (absolute sample size, or proportion); 13) If classification of cases in a trajectory is the goal, is entropy reported; 14a) Is a plot included with the estimated mean trajectories of the final solution; 14b) Are plots included with the estimated mean trajectories for each model; 14c) Is a plot included of the combination of estimated means of the final model and the observed individual trajectories split out for each latent class; 15) Are characteristics of the final class solution numerically described (e.g., means, standard deviation); 16) Are the syntax files available.</w:t>
      </w: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szCs w:val="24"/>
        </w:rPr>
      </w:pPr>
    </w:p>
    <w:p w:rsidR="00740AEB" w:rsidRDefault="00740AEB">
      <w:pPr>
        <w:widowControl/>
        <w:spacing w:line="240" w:lineRule="auto"/>
        <w:ind w:firstLineChars="0" w:firstLine="0"/>
        <w:jc w:val="left"/>
        <w:rPr>
          <w:b/>
          <w:bCs/>
          <w:szCs w:val="24"/>
        </w:rPr>
        <w:sectPr w:rsidR="00740AEB">
          <w:headerReference w:type="default" r:id="rId15"/>
          <w:type w:val="continuous"/>
          <w:pgSz w:w="16838" w:h="11906" w:orient="landscape"/>
          <w:pgMar w:top="1418" w:right="1418" w:bottom="1418" w:left="1418" w:header="851" w:footer="992" w:gutter="0"/>
          <w:cols w:space="425"/>
          <w:docGrid w:linePitch="312"/>
        </w:sectPr>
      </w:pPr>
    </w:p>
    <w:p w:rsidR="00740AEB" w:rsidRDefault="00A54893">
      <w:pPr>
        <w:widowControl/>
        <w:spacing w:line="240" w:lineRule="auto"/>
        <w:ind w:firstLineChars="0" w:firstLine="0"/>
        <w:jc w:val="left"/>
        <w:rPr>
          <w:bCs/>
          <w:szCs w:val="24"/>
        </w:rPr>
      </w:pPr>
      <w:r>
        <w:rPr>
          <w:b/>
          <w:bCs/>
          <w:szCs w:val="24"/>
        </w:rPr>
        <w:lastRenderedPageBreak/>
        <w:t xml:space="preserve">Supplementary Table S6 </w:t>
      </w:r>
      <w:r>
        <w:rPr>
          <w:bCs/>
          <w:szCs w:val="24"/>
        </w:rPr>
        <w:t>The Guidelines for Reporting on Latent Trajectory Studies (GRoLTS) Checklist</w:t>
      </w:r>
    </w:p>
    <w:tbl>
      <w:tblPr>
        <w:tblStyle w:val="ab"/>
        <w:tblW w:w="16295"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6"/>
        <w:gridCol w:w="1821"/>
        <w:gridCol w:w="1182"/>
        <w:gridCol w:w="565"/>
        <w:gridCol w:w="555"/>
        <w:gridCol w:w="762"/>
        <w:gridCol w:w="882"/>
        <w:gridCol w:w="1138"/>
        <w:gridCol w:w="722"/>
        <w:gridCol w:w="1321"/>
        <w:gridCol w:w="1355"/>
        <w:gridCol w:w="2376"/>
        <w:gridCol w:w="2130"/>
      </w:tblGrid>
      <w:tr w:rsidR="00740AEB">
        <w:trPr>
          <w:trHeight w:val="682"/>
        </w:trPr>
        <w:tc>
          <w:tcPr>
            <w:tcW w:w="1486"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Studies</w:t>
            </w:r>
          </w:p>
        </w:tc>
        <w:tc>
          <w:tcPr>
            <w:tcW w:w="1821"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Statistical method</w:t>
            </w:r>
          </w:p>
        </w:tc>
        <w:tc>
          <w:tcPr>
            <w:tcW w:w="1182"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Software</w:t>
            </w:r>
          </w:p>
        </w:tc>
        <w:tc>
          <w:tcPr>
            <w:tcW w:w="0" w:type="auto"/>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AIC</w:t>
            </w:r>
          </w:p>
        </w:tc>
        <w:tc>
          <w:tcPr>
            <w:tcW w:w="0" w:type="auto"/>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BIC</w:t>
            </w:r>
          </w:p>
        </w:tc>
        <w:tc>
          <w:tcPr>
            <w:tcW w:w="0" w:type="auto"/>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SSBIC</w:t>
            </w:r>
          </w:p>
        </w:tc>
        <w:tc>
          <w:tcPr>
            <w:tcW w:w="0" w:type="auto"/>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Entropy</w:t>
            </w:r>
          </w:p>
        </w:tc>
        <w:tc>
          <w:tcPr>
            <w:tcW w:w="1138"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LMR-LRT</w:t>
            </w:r>
          </w:p>
        </w:tc>
        <w:tc>
          <w:tcPr>
            <w:tcW w:w="722"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BLRT</w:t>
            </w:r>
          </w:p>
        </w:tc>
        <w:tc>
          <w:tcPr>
            <w:tcW w:w="1321"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Group size of trajectory</w:t>
            </w:r>
          </w:p>
        </w:tc>
        <w:tc>
          <w:tcPr>
            <w:tcW w:w="1355"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2(ΔBIC)</w:t>
            </w:r>
          </w:p>
        </w:tc>
        <w:tc>
          <w:tcPr>
            <w:tcW w:w="2376"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Posterior probabilities of group membership</w:t>
            </w:r>
          </w:p>
        </w:tc>
        <w:tc>
          <w:tcPr>
            <w:tcW w:w="2130" w:type="dxa"/>
            <w:tcBorders>
              <w:top w:val="single" w:sz="8" w:space="0" w:color="auto"/>
              <w:bottom w:val="single" w:sz="8" w:space="0" w:color="auto"/>
            </w:tcBorders>
          </w:tcPr>
          <w:p w:rsidR="00740AEB" w:rsidRDefault="00A54893">
            <w:pPr>
              <w:widowControl/>
              <w:spacing w:line="240" w:lineRule="auto"/>
              <w:ind w:firstLineChars="0" w:firstLine="0"/>
              <w:jc w:val="left"/>
              <w:rPr>
                <w:rFonts w:cs="Times New Roman"/>
                <w:b/>
                <w:sz w:val="18"/>
                <w:szCs w:val="18"/>
              </w:rPr>
            </w:pPr>
            <w:r>
              <w:rPr>
                <w:rFonts w:cs="Times New Roman"/>
                <w:b/>
                <w:sz w:val="18"/>
                <w:szCs w:val="18"/>
              </w:rPr>
              <w:t>Other</w:t>
            </w:r>
          </w:p>
        </w:tc>
      </w:tr>
      <w:tr w:rsidR="00740AEB">
        <w:trPr>
          <w:trHeight w:val="326"/>
        </w:trPr>
        <w:tc>
          <w:tcPr>
            <w:tcW w:w="1486" w:type="dxa"/>
            <w:tcBorders>
              <w:top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Erwin et al,2021,Austria</w:t>
            </w:r>
          </w:p>
        </w:tc>
        <w:tc>
          <w:tcPr>
            <w:tcW w:w="1821" w:type="dxa"/>
            <w:tcBorders>
              <w:top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joint models for longitudinal and time-to-event</w:t>
            </w:r>
          </w:p>
        </w:tc>
        <w:tc>
          <w:tcPr>
            <w:tcW w:w="1182" w:type="dxa"/>
            <w:tcBorders>
              <w:top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R-package JMbayes (v0.8-85)</w:t>
            </w:r>
          </w:p>
        </w:tc>
        <w:tc>
          <w:tcPr>
            <w:tcW w:w="0" w:type="auto"/>
            <w:tcBorders>
              <w:top w:val="single" w:sz="8" w:space="0" w:color="auto"/>
            </w:tcBorders>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Borders>
              <w:top w:val="single" w:sz="8" w:space="0" w:color="auto"/>
            </w:tcBorders>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0" w:type="auto"/>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1138" w:type="dxa"/>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722" w:type="dxa"/>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1321" w:type="dxa"/>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1355" w:type="dxa"/>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2376" w:type="dxa"/>
            <w:tcBorders>
              <w:top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2130" w:type="dxa"/>
            <w:tcBorders>
              <w:top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LRT</w:t>
            </w:r>
          </w:p>
        </w:tc>
      </w:tr>
      <w:tr w:rsidR="00740AEB">
        <w:trPr>
          <w:trHeight w:val="333"/>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Chen et al, 2022, China Taiwan</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LCLMM</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R. RStudio</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138" w:type="dxa"/>
          </w:tcPr>
          <w:p w:rsidR="00740AEB" w:rsidRDefault="00740AEB">
            <w:pPr>
              <w:widowControl/>
              <w:spacing w:line="240" w:lineRule="auto"/>
              <w:ind w:firstLineChars="0" w:firstLine="0"/>
              <w:jc w:val="left"/>
              <w:rPr>
                <w:rFonts w:cs="Times New Roman"/>
                <w:b/>
                <w:sz w:val="16"/>
                <w:szCs w:val="16"/>
              </w:rPr>
            </w:pPr>
          </w:p>
        </w:tc>
        <w:tc>
          <w:tcPr>
            <w:tcW w:w="722" w:type="dxa"/>
          </w:tcPr>
          <w:p w:rsidR="00740AEB" w:rsidRDefault="00740AEB">
            <w:pPr>
              <w:widowControl/>
              <w:spacing w:line="240" w:lineRule="auto"/>
              <w:ind w:firstLineChars="0" w:firstLine="0"/>
              <w:jc w:val="left"/>
              <w:rPr>
                <w:rFonts w:cs="Times New Roman"/>
                <w:b/>
                <w:sz w:val="16"/>
                <w:szCs w:val="16"/>
              </w:rPr>
            </w:pPr>
          </w:p>
        </w:tc>
        <w:tc>
          <w:tcPr>
            <w:tcW w:w="1321"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740AEB">
            <w:pPr>
              <w:widowControl/>
              <w:spacing w:line="240" w:lineRule="auto"/>
              <w:ind w:firstLineChars="0" w:firstLine="0"/>
              <w:jc w:val="left"/>
              <w:rPr>
                <w:rFonts w:cs="Times New Roman"/>
                <w:b/>
                <w:sz w:val="16"/>
                <w:szCs w:val="16"/>
              </w:rPr>
            </w:pPr>
          </w:p>
        </w:tc>
        <w:tc>
          <w:tcPr>
            <w:tcW w:w="2130" w:type="dxa"/>
          </w:tcPr>
          <w:p w:rsidR="00740AEB" w:rsidRDefault="00740AEB">
            <w:pPr>
              <w:widowControl/>
              <w:spacing w:line="240" w:lineRule="auto"/>
              <w:ind w:firstLineChars="0" w:firstLine="0"/>
              <w:jc w:val="left"/>
              <w:rPr>
                <w:rFonts w:cs="Times New Roman"/>
                <w:sz w:val="16"/>
                <w:szCs w:val="16"/>
              </w:rPr>
            </w:pPr>
          </w:p>
        </w:tc>
      </w:tr>
      <w:tr w:rsidR="00740AEB">
        <w:trPr>
          <w:trHeight w:val="326"/>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Aaron et al,2022,Mexico</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GMM</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Mplusv8.5</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138"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722"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21"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2130"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intercept and slope,Vuong-Lo-Mendell-Rubin,Log Likelihood</w:t>
            </w:r>
          </w:p>
        </w:tc>
      </w:tr>
      <w:tr w:rsidR="00740AEB">
        <w:trPr>
          <w:trHeight w:val="326"/>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Gonzalez-Bautista et al,2023,France</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LTA</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SAS 9.3</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740AEB">
            <w:pPr>
              <w:widowControl/>
              <w:spacing w:line="240" w:lineRule="auto"/>
              <w:ind w:firstLineChars="0" w:firstLine="0"/>
              <w:jc w:val="left"/>
              <w:rPr>
                <w:rFonts w:cs="Times New Roman"/>
                <w:b/>
                <w:sz w:val="16"/>
                <w:szCs w:val="16"/>
              </w:rPr>
            </w:pPr>
          </w:p>
        </w:tc>
        <w:tc>
          <w:tcPr>
            <w:tcW w:w="0" w:type="auto"/>
          </w:tcPr>
          <w:p w:rsidR="00740AEB" w:rsidRDefault="00740AEB">
            <w:pPr>
              <w:widowControl/>
              <w:spacing w:line="240" w:lineRule="auto"/>
              <w:ind w:firstLineChars="0" w:firstLine="0"/>
              <w:jc w:val="left"/>
              <w:rPr>
                <w:rFonts w:cs="Times New Roman"/>
                <w:b/>
                <w:sz w:val="16"/>
                <w:szCs w:val="16"/>
              </w:rPr>
            </w:pPr>
          </w:p>
        </w:tc>
        <w:tc>
          <w:tcPr>
            <w:tcW w:w="1138" w:type="dxa"/>
          </w:tcPr>
          <w:p w:rsidR="00740AEB" w:rsidRDefault="00740AEB">
            <w:pPr>
              <w:widowControl/>
              <w:spacing w:line="240" w:lineRule="auto"/>
              <w:ind w:firstLineChars="0" w:firstLine="0"/>
              <w:jc w:val="left"/>
              <w:rPr>
                <w:rFonts w:cs="Times New Roman"/>
                <w:b/>
                <w:sz w:val="16"/>
                <w:szCs w:val="16"/>
              </w:rPr>
            </w:pPr>
          </w:p>
        </w:tc>
        <w:tc>
          <w:tcPr>
            <w:tcW w:w="722" w:type="dxa"/>
          </w:tcPr>
          <w:p w:rsidR="00740AEB" w:rsidRDefault="00740AEB">
            <w:pPr>
              <w:widowControl/>
              <w:spacing w:line="240" w:lineRule="auto"/>
              <w:ind w:firstLineChars="0" w:firstLine="0"/>
              <w:jc w:val="left"/>
              <w:rPr>
                <w:rFonts w:cs="Times New Roman"/>
                <w:b/>
                <w:sz w:val="16"/>
                <w:szCs w:val="16"/>
              </w:rPr>
            </w:pPr>
          </w:p>
        </w:tc>
        <w:tc>
          <w:tcPr>
            <w:tcW w:w="1321"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740AEB">
            <w:pPr>
              <w:widowControl/>
              <w:spacing w:line="240" w:lineRule="auto"/>
              <w:ind w:firstLineChars="0" w:firstLine="0"/>
              <w:jc w:val="left"/>
              <w:rPr>
                <w:rFonts w:cs="Times New Roman"/>
                <w:b/>
                <w:sz w:val="16"/>
                <w:szCs w:val="16"/>
              </w:rPr>
            </w:pPr>
          </w:p>
        </w:tc>
        <w:tc>
          <w:tcPr>
            <w:tcW w:w="2130"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Log Likelihood</w:t>
            </w:r>
          </w:p>
        </w:tc>
      </w:tr>
      <w:tr w:rsidR="00740AEB">
        <w:trPr>
          <w:trHeight w:val="326"/>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Lu et al,2023,France</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GBTM</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SASversion 9.4</w:t>
            </w:r>
          </w:p>
        </w:tc>
        <w:tc>
          <w:tcPr>
            <w:tcW w:w="0" w:type="auto"/>
          </w:tcPr>
          <w:p w:rsidR="00740AEB" w:rsidRDefault="00740AEB">
            <w:pPr>
              <w:widowControl/>
              <w:spacing w:line="240" w:lineRule="auto"/>
              <w:ind w:firstLineChars="0" w:firstLine="0"/>
              <w:jc w:val="left"/>
              <w:rPr>
                <w:rFonts w:cs="Times New Roman"/>
                <w:b/>
                <w:sz w:val="16"/>
                <w:szCs w:val="16"/>
              </w:rPr>
            </w:pP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740AEB">
            <w:pPr>
              <w:widowControl/>
              <w:spacing w:line="240" w:lineRule="auto"/>
              <w:ind w:firstLineChars="0" w:firstLine="0"/>
              <w:jc w:val="left"/>
              <w:rPr>
                <w:rFonts w:cs="Times New Roman"/>
                <w:b/>
                <w:sz w:val="16"/>
                <w:szCs w:val="16"/>
              </w:rPr>
            </w:pPr>
          </w:p>
        </w:tc>
        <w:tc>
          <w:tcPr>
            <w:tcW w:w="0" w:type="auto"/>
          </w:tcPr>
          <w:p w:rsidR="00740AEB" w:rsidRDefault="00740AEB">
            <w:pPr>
              <w:widowControl/>
              <w:spacing w:line="240" w:lineRule="auto"/>
              <w:ind w:firstLineChars="0" w:firstLine="0"/>
              <w:jc w:val="left"/>
              <w:rPr>
                <w:rFonts w:cs="Times New Roman"/>
                <w:b/>
                <w:sz w:val="16"/>
                <w:szCs w:val="16"/>
              </w:rPr>
            </w:pPr>
          </w:p>
        </w:tc>
        <w:tc>
          <w:tcPr>
            <w:tcW w:w="1138" w:type="dxa"/>
          </w:tcPr>
          <w:p w:rsidR="00740AEB" w:rsidRDefault="00740AEB">
            <w:pPr>
              <w:widowControl/>
              <w:spacing w:line="240" w:lineRule="auto"/>
              <w:ind w:firstLineChars="0" w:firstLine="0"/>
              <w:jc w:val="left"/>
              <w:rPr>
                <w:rFonts w:cs="Times New Roman"/>
                <w:b/>
                <w:sz w:val="16"/>
                <w:szCs w:val="16"/>
              </w:rPr>
            </w:pPr>
          </w:p>
        </w:tc>
        <w:tc>
          <w:tcPr>
            <w:tcW w:w="722" w:type="dxa"/>
          </w:tcPr>
          <w:p w:rsidR="00740AEB" w:rsidRDefault="00740AEB">
            <w:pPr>
              <w:widowControl/>
              <w:spacing w:line="240" w:lineRule="auto"/>
              <w:ind w:firstLineChars="0" w:firstLine="0"/>
              <w:jc w:val="left"/>
              <w:rPr>
                <w:rFonts w:cs="Times New Roman"/>
                <w:b/>
                <w:sz w:val="16"/>
                <w:szCs w:val="16"/>
              </w:rPr>
            </w:pPr>
          </w:p>
        </w:tc>
        <w:tc>
          <w:tcPr>
            <w:tcW w:w="1321"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740AEB">
            <w:pPr>
              <w:widowControl/>
              <w:spacing w:line="240" w:lineRule="auto"/>
              <w:ind w:firstLineChars="0" w:firstLine="0"/>
              <w:jc w:val="left"/>
              <w:rPr>
                <w:rFonts w:cs="Times New Roman"/>
                <w:b/>
                <w:sz w:val="16"/>
                <w:szCs w:val="16"/>
              </w:rPr>
            </w:pPr>
          </w:p>
        </w:tc>
        <w:tc>
          <w:tcPr>
            <w:tcW w:w="2130"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APPA(average posterior probability of assignment),OCC(odds of correct classification)</w:t>
            </w:r>
          </w:p>
        </w:tc>
      </w:tr>
      <w:tr w:rsidR="00740AEB">
        <w:trPr>
          <w:trHeight w:val="326"/>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Meng et al,2023,China Taiwan</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GBTM</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SASversion 9.4</w:t>
            </w:r>
          </w:p>
        </w:tc>
        <w:tc>
          <w:tcPr>
            <w:tcW w:w="0" w:type="auto"/>
          </w:tcPr>
          <w:p w:rsidR="00740AEB" w:rsidRDefault="00740AEB">
            <w:pPr>
              <w:widowControl/>
              <w:spacing w:line="240" w:lineRule="auto"/>
              <w:ind w:firstLineChars="0" w:firstLine="0"/>
              <w:jc w:val="left"/>
              <w:rPr>
                <w:rFonts w:cs="Times New Roman"/>
                <w:b/>
                <w:sz w:val="16"/>
                <w:szCs w:val="16"/>
              </w:rPr>
            </w:pP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740AEB">
            <w:pPr>
              <w:widowControl/>
              <w:spacing w:line="240" w:lineRule="auto"/>
              <w:ind w:firstLineChars="0" w:firstLine="0"/>
              <w:jc w:val="left"/>
              <w:rPr>
                <w:rFonts w:cs="Times New Roman"/>
                <w:b/>
                <w:sz w:val="16"/>
                <w:szCs w:val="16"/>
              </w:rPr>
            </w:pPr>
          </w:p>
        </w:tc>
        <w:tc>
          <w:tcPr>
            <w:tcW w:w="0" w:type="auto"/>
          </w:tcPr>
          <w:p w:rsidR="00740AEB" w:rsidRDefault="00740AEB">
            <w:pPr>
              <w:widowControl/>
              <w:spacing w:line="240" w:lineRule="auto"/>
              <w:ind w:firstLineChars="0" w:firstLine="0"/>
              <w:jc w:val="left"/>
              <w:rPr>
                <w:rFonts w:cs="Times New Roman"/>
                <w:b/>
                <w:sz w:val="16"/>
                <w:szCs w:val="16"/>
              </w:rPr>
            </w:pPr>
          </w:p>
        </w:tc>
        <w:tc>
          <w:tcPr>
            <w:tcW w:w="1138" w:type="dxa"/>
          </w:tcPr>
          <w:p w:rsidR="00740AEB" w:rsidRDefault="00740AEB">
            <w:pPr>
              <w:widowControl/>
              <w:spacing w:line="240" w:lineRule="auto"/>
              <w:ind w:firstLineChars="0" w:firstLine="0"/>
              <w:jc w:val="left"/>
              <w:rPr>
                <w:rFonts w:cs="Times New Roman"/>
                <w:b/>
                <w:sz w:val="16"/>
                <w:szCs w:val="16"/>
              </w:rPr>
            </w:pPr>
          </w:p>
        </w:tc>
        <w:tc>
          <w:tcPr>
            <w:tcW w:w="722" w:type="dxa"/>
          </w:tcPr>
          <w:p w:rsidR="00740AEB" w:rsidRDefault="00740AEB">
            <w:pPr>
              <w:widowControl/>
              <w:spacing w:line="240" w:lineRule="auto"/>
              <w:ind w:firstLineChars="0" w:firstLine="0"/>
              <w:jc w:val="left"/>
              <w:rPr>
                <w:rFonts w:cs="Times New Roman"/>
                <w:b/>
                <w:sz w:val="16"/>
                <w:szCs w:val="16"/>
              </w:rPr>
            </w:pPr>
          </w:p>
        </w:tc>
        <w:tc>
          <w:tcPr>
            <w:tcW w:w="1321"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2130"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AvePP</w:t>
            </w:r>
          </w:p>
        </w:tc>
      </w:tr>
      <w:tr w:rsidR="00740AEB">
        <w:trPr>
          <w:trHeight w:val="326"/>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Yu et al,2023,China</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LC</w:t>
            </w:r>
            <w:r>
              <w:rPr>
                <w:rFonts w:cs="Times New Roman" w:hint="eastAsia"/>
                <w:sz w:val="16"/>
                <w:szCs w:val="16"/>
              </w:rPr>
              <w:t>G</w:t>
            </w:r>
            <w:r>
              <w:rPr>
                <w:rFonts w:cs="Times New Roman"/>
                <w:sz w:val="16"/>
                <w:szCs w:val="16"/>
              </w:rPr>
              <w:t>A</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Mplus</w:t>
            </w:r>
          </w:p>
          <w:p w:rsidR="00740AEB" w:rsidRDefault="00A54893">
            <w:pPr>
              <w:widowControl/>
              <w:spacing w:line="240" w:lineRule="auto"/>
              <w:ind w:firstLineChars="0" w:firstLine="0"/>
              <w:jc w:val="left"/>
              <w:rPr>
                <w:rFonts w:cs="Times New Roman"/>
                <w:sz w:val="16"/>
                <w:szCs w:val="16"/>
              </w:rPr>
            </w:pPr>
            <w:r>
              <w:rPr>
                <w:rFonts w:cs="Times New Roman"/>
                <w:sz w:val="16"/>
                <w:szCs w:val="16"/>
              </w:rPr>
              <w:t>version 8.4</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138"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722"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21" w:type="dxa"/>
          </w:tcPr>
          <w:p w:rsidR="00740AEB" w:rsidRDefault="00740AEB">
            <w:pPr>
              <w:widowControl/>
              <w:spacing w:line="240" w:lineRule="auto"/>
              <w:ind w:firstLineChars="0" w:firstLine="0"/>
              <w:jc w:val="left"/>
              <w:rPr>
                <w:rFonts w:cs="Times New Roman"/>
                <w:b/>
                <w:sz w:val="16"/>
                <w:szCs w:val="16"/>
              </w:rPr>
            </w:pP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740AEB">
            <w:pPr>
              <w:widowControl/>
              <w:spacing w:line="240" w:lineRule="auto"/>
              <w:ind w:firstLineChars="0" w:firstLine="0"/>
              <w:jc w:val="left"/>
              <w:rPr>
                <w:rFonts w:cs="Times New Roman"/>
                <w:b/>
                <w:sz w:val="16"/>
                <w:szCs w:val="16"/>
              </w:rPr>
            </w:pPr>
          </w:p>
        </w:tc>
        <w:tc>
          <w:tcPr>
            <w:tcW w:w="2130"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estimation/convergence issues,  adjusted LMR-LRT</w:t>
            </w:r>
          </w:p>
        </w:tc>
      </w:tr>
      <w:tr w:rsidR="00740AEB">
        <w:trPr>
          <w:trHeight w:val="333"/>
        </w:trPr>
        <w:tc>
          <w:tcPr>
            <w:tcW w:w="1486"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Aaron et</w:t>
            </w:r>
          </w:p>
          <w:p w:rsidR="00740AEB" w:rsidRDefault="00A54893">
            <w:pPr>
              <w:widowControl/>
              <w:spacing w:line="240" w:lineRule="auto"/>
              <w:ind w:firstLineChars="0" w:firstLine="0"/>
              <w:jc w:val="left"/>
              <w:rPr>
                <w:rFonts w:cs="Times New Roman"/>
                <w:sz w:val="16"/>
                <w:szCs w:val="16"/>
              </w:rPr>
            </w:pPr>
            <w:r>
              <w:rPr>
                <w:rFonts w:cs="Times New Roman"/>
                <w:sz w:val="16"/>
                <w:szCs w:val="16"/>
              </w:rPr>
              <w:t>al,2022,Mexico</w:t>
            </w:r>
          </w:p>
        </w:tc>
        <w:tc>
          <w:tcPr>
            <w:tcW w:w="1821"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GMM</w:t>
            </w:r>
          </w:p>
        </w:tc>
        <w:tc>
          <w:tcPr>
            <w:tcW w:w="1182"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Mplus v8.5</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138"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722"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21"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Pr>
          <w:p w:rsidR="00740AEB" w:rsidRDefault="00740AEB">
            <w:pPr>
              <w:widowControl/>
              <w:spacing w:line="240" w:lineRule="auto"/>
              <w:ind w:firstLineChars="0" w:firstLine="0"/>
              <w:jc w:val="left"/>
              <w:rPr>
                <w:rFonts w:cs="Times New Roman"/>
                <w:b/>
                <w:sz w:val="16"/>
                <w:szCs w:val="16"/>
              </w:rPr>
            </w:pPr>
          </w:p>
        </w:tc>
        <w:tc>
          <w:tcPr>
            <w:tcW w:w="2376" w:type="dxa"/>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2130" w:type="dxa"/>
          </w:tcPr>
          <w:p w:rsidR="00740AEB" w:rsidRDefault="00A54893">
            <w:pPr>
              <w:widowControl/>
              <w:spacing w:line="240" w:lineRule="auto"/>
              <w:ind w:firstLineChars="0" w:firstLine="0"/>
              <w:jc w:val="left"/>
              <w:rPr>
                <w:rFonts w:cs="Times New Roman"/>
                <w:sz w:val="16"/>
                <w:szCs w:val="16"/>
              </w:rPr>
            </w:pPr>
            <w:r>
              <w:rPr>
                <w:rFonts w:cs="Times New Roman"/>
                <w:sz w:val="16"/>
                <w:szCs w:val="16"/>
              </w:rPr>
              <w:t>intercept and slope,Vuong-Lo-Mendell-Rubin,Log Likelihood</w:t>
            </w:r>
          </w:p>
        </w:tc>
      </w:tr>
      <w:tr w:rsidR="00740AEB">
        <w:trPr>
          <w:trHeight w:val="326"/>
        </w:trPr>
        <w:tc>
          <w:tcPr>
            <w:tcW w:w="1486" w:type="dxa"/>
            <w:tcBorders>
              <w:bottom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Zhao et al,2024,China</w:t>
            </w:r>
          </w:p>
        </w:tc>
        <w:tc>
          <w:tcPr>
            <w:tcW w:w="1821" w:type="dxa"/>
            <w:tcBorders>
              <w:bottom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GBTM</w:t>
            </w:r>
          </w:p>
        </w:tc>
        <w:tc>
          <w:tcPr>
            <w:tcW w:w="1182" w:type="dxa"/>
            <w:tcBorders>
              <w:bottom w:val="single" w:sz="8" w:space="0" w:color="auto"/>
            </w:tcBorders>
          </w:tcPr>
          <w:p w:rsidR="00740AEB" w:rsidRDefault="00A54893">
            <w:pPr>
              <w:widowControl/>
              <w:spacing w:line="240" w:lineRule="auto"/>
              <w:ind w:firstLineChars="0" w:firstLine="0"/>
              <w:jc w:val="left"/>
              <w:rPr>
                <w:rFonts w:cs="Times New Roman"/>
                <w:sz w:val="16"/>
                <w:szCs w:val="16"/>
              </w:rPr>
            </w:pPr>
            <w:r>
              <w:rPr>
                <w:rFonts w:cs="Times New Roman"/>
                <w:sz w:val="16"/>
                <w:szCs w:val="16"/>
              </w:rPr>
              <w:t>R software (version 4.1.3)</w:t>
            </w:r>
          </w:p>
        </w:tc>
        <w:tc>
          <w:tcPr>
            <w:tcW w:w="0" w:type="auto"/>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0" w:type="auto"/>
            <w:tcBorders>
              <w:bottom w:val="single" w:sz="8" w:space="0" w:color="auto"/>
            </w:tcBorders>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0" w:type="auto"/>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0" w:type="auto"/>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1138" w:type="dxa"/>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722" w:type="dxa"/>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1321" w:type="dxa"/>
            <w:tcBorders>
              <w:bottom w:val="single" w:sz="8" w:space="0" w:color="auto"/>
            </w:tcBorders>
          </w:tcPr>
          <w:p w:rsidR="00740AEB" w:rsidRDefault="00A54893">
            <w:pPr>
              <w:widowControl/>
              <w:spacing w:line="240" w:lineRule="auto"/>
              <w:ind w:firstLineChars="0" w:firstLine="0"/>
              <w:jc w:val="left"/>
              <w:rPr>
                <w:rFonts w:cs="Times New Roman"/>
                <w:b/>
                <w:sz w:val="16"/>
                <w:szCs w:val="16"/>
              </w:rPr>
            </w:pPr>
            <w:r>
              <w:rPr>
                <w:rFonts w:cs="Times New Roman"/>
                <w:b/>
                <w:sz w:val="16"/>
                <w:szCs w:val="16"/>
              </w:rPr>
              <w:t>√</w:t>
            </w:r>
          </w:p>
        </w:tc>
        <w:tc>
          <w:tcPr>
            <w:tcW w:w="1355" w:type="dxa"/>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2376" w:type="dxa"/>
            <w:tcBorders>
              <w:bottom w:val="single" w:sz="8" w:space="0" w:color="auto"/>
            </w:tcBorders>
          </w:tcPr>
          <w:p w:rsidR="00740AEB" w:rsidRDefault="00740AEB">
            <w:pPr>
              <w:widowControl/>
              <w:spacing w:line="240" w:lineRule="auto"/>
              <w:ind w:firstLineChars="0" w:firstLine="0"/>
              <w:jc w:val="left"/>
              <w:rPr>
                <w:rFonts w:cs="Times New Roman"/>
                <w:b/>
                <w:sz w:val="16"/>
                <w:szCs w:val="16"/>
              </w:rPr>
            </w:pPr>
          </w:p>
        </w:tc>
        <w:tc>
          <w:tcPr>
            <w:tcW w:w="2130" w:type="dxa"/>
            <w:tcBorders>
              <w:bottom w:val="single" w:sz="8" w:space="0" w:color="auto"/>
            </w:tcBorders>
          </w:tcPr>
          <w:p w:rsidR="00740AEB" w:rsidRDefault="00740AEB">
            <w:pPr>
              <w:widowControl/>
              <w:spacing w:line="240" w:lineRule="auto"/>
              <w:ind w:firstLineChars="0" w:firstLine="0"/>
              <w:jc w:val="left"/>
              <w:rPr>
                <w:rFonts w:cs="Times New Roman"/>
                <w:sz w:val="16"/>
                <w:szCs w:val="16"/>
              </w:rPr>
            </w:pPr>
          </w:p>
        </w:tc>
      </w:tr>
    </w:tbl>
    <w:p w:rsidR="00740AEB" w:rsidRDefault="00A54893">
      <w:pPr>
        <w:widowControl/>
        <w:spacing w:line="240" w:lineRule="auto"/>
        <w:ind w:firstLineChars="0" w:firstLine="0"/>
        <w:jc w:val="left"/>
        <w:rPr>
          <w:szCs w:val="24"/>
        </w:rPr>
      </w:pPr>
      <w:r>
        <w:rPr>
          <w:szCs w:val="24"/>
        </w:rPr>
        <w:t>Note. Abbreviation: AIC, Akaike Information Criterion; BIC, Bayesian Information Criterion; BLRT, Bootstrap likelihood ratio Test; LCLMM, Latent class linear mixed models; LTA, The latent transitions model; GBTM, Group-based trajectory model; GMM, Growth m</w:t>
      </w:r>
      <w:r>
        <w:rPr>
          <w:rFonts w:hint="eastAsia"/>
          <w:szCs w:val="24"/>
        </w:rPr>
        <w:t>ixture modeling ; LCGA,Latent class growth analysis; LRT, Likelihood Ratio Test; LMR-LRT, Lo</w:t>
      </w:r>
      <w:r>
        <w:rPr>
          <w:rFonts w:hint="eastAsia"/>
          <w:szCs w:val="24"/>
        </w:rPr>
        <w:t>–</w:t>
      </w:r>
      <w:r>
        <w:rPr>
          <w:rFonts w:hint="eastAsia"/>
          <w:szCs w:val="24"/>
        </w:rPr>
        <w:t>Mendell</w:t>
      </w:r>
      <w:r>
        <w:rPr>
          <w:rFonts w:hint="eastAsia"/>
          <w:szCs w:val="24"/>
        </w:rPr>
        <w:t>–</w:t>
      </w:r>
      <w:r>
        <w:rPr>
          <w:rFonts w:hint="eastAsia"/>
          <w:szCs w:val="24"/>
        </w:rPr>
        <w:t xml:space="preserve">Rubin likelihood ratio test; SSBIC, Sample-sized adjusted Bayesian; -2LL, -2 Log likelihood ratio test. log Bayes factor (2loge(B10) </w:t>
      </w:r>
      <w:r>
        <w:rPr>
          <w:rFonts w:hint="eastAsia"/>
          <w:szCs w:val="24"/>
        </w:rPr>
        <w:t>≈</w:t>
      </w:r>
      <w:r>
        <w:rPr>
          <w:rFonts w:hint="eastAsia"/>
          <w:szCs w:val="24"/>
        </w:rPr>
        <w:t xml:space="preserve"> 2(</w:t>
      </w:r>
      <w:r>
        <w:rPr>
          <w:rFonts w:hint="eastAsia"/>
          <w:szCs w:val="24"/>
        </w:rPr>
        <w:t>Δ</w:t>
      </w:r>
      <w:r>
        <w:rPr>
          <w:rFonts w:hint="eastAsia"/>
          <w:szCs w:val="24"/>
        </w:rPr>
        <w:t>BIC)).</w:t>
      </w:r>
    </w:p>
    <w:sectPr w:rsidR="00740AEB">
      <w:headerReference w:type="default" r:id="rId16"/>
      <w:pgSz w:w="16838" w:h="11906" w:orient="landscape"/>
      <w:pgMar w:top="1418" w:right="1418" w:bottom="1418" w:left="1418"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806" w:rsidRDefault="00D60806">
      <w:pPr>
        <w:spacing w:line="240" w:lineRule="auto"/>
        <w:ind w:firstLine="480"/>
      </w:pPr>
      <w:r>
        <w:separator/>
      </w:r>
    </w:p>
  </w:endnote>
  <w:endnote w:type="continuationSeparator" w:id="0">
    <w:p w:rsidR="00D60806" w:rsidRDefault="00D6080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5"/>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235147"/>
      <w:docPartObj>
        <w:docPartGallery w:val="AutoText"/>
      </w:docPartObj>
    </w:sdtPr>
    <w:sdtEndPr/>
    <w:sdtContent>
      <w:p w:rsidR="00A54893" w:rsidRDefault="00A54893">
        <w:pPr>
          <w:pStyle w:val="a5"/>
          <w:ind w:firstLine="360"/>
          <w:jc w:val="center"/>
        </w:pPr>
        <w:r>
          <w:fldChar w:fldCharType="begin"/>
        </w:r>
        <w:r>
          <w:instrText>PAGE   \* MERGEFORMAT</w:instrText>
        </w:r>
        <w:r>
          <w:fldChar w:fldCharType="separate"/>
        </w:r>
        <w:r w:rsidR="00B9619B" w:rsidRPr="00B9619B">
          <w:rPr>
            <w:noProof/>
            <w:lang w:val="zh-CN"/>
          </w:rPr>
          <w:t>17</w:t>
        </w:r>
        <w:r>
          <w:fldChar w:fldCharType="end"/>
        </w:r>
      </w:p>
    </w:sdtContent>
  </w:sdt>
  <w:p w:rsidR="00A54893" w:rsidRDefault="00A54893">
    <w:pPr>
      <w:pStyle w:val="a5"/>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5"/>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806" w:rsidRDefault="00D60806">
      <w:pPr>
        <w:spacing w:line="240" w:lineRule="auto"/>
        <w:ind w:firstLine="480"/>
      </w:pPr>
      <w:r>
        <w:separator/>
      </w:r>
    </w:p>
  </w:footnote>
  <w:footnote w:type="continuationSeparator" w:id="0">
    <w:p w:rsidR="00D60806" w:rsidRDefault="00D60806">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7"/>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7"/>
      <w:pBdr>
        <w:bottom w:val="none" w:sz="0" w:space="0" w:color="auto"/>
      </w:pBdr>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7"/>
      <w:ind w:firstLine="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7"/>
      <w:pBdr>
        <w:bottom w:val="none" w:sz="0" w:space="0" w:color="auto"/>
      </w:pBdr>
      <w:ind w:firstLine="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7"/>
      <w:pBdr>
        <w:bottom w:val="none" w:sz="0" w:space="0" w:color="auto"/>
      </w:pBdr>
      <w:ind w:firstLine="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93" w:rsidRDefault="00A54893">
    <w:pPr>
      <w:pStyle w:val="a7"/>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04FA"/>
    <w:multiLevelType w:val="multilevel"/>
    <w:tmpl w:val="09A704F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A8E5BBF"/>
    <w:multiLevelType w:val="multilevel"/>
    <w:tmpl w:val="7A8E5BB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bordersDoNotSurroundHeader/>
  <w:bordersDoNotSurroundFooter/>
  <w:hideGrammaticalErrors/>
  <w:activeWritingStyle w:appName="MSWord" w:lang="en-US" w:vendorID="64" w:dllVersion="131078" w:nlCheck="1" w:checkStyle="0"/>
  <w:activeWritingStyle w:appName="MSWord" w:lang="zh-CN" w:vendorID="64" w:dllVersion="131077" w:nlCheck="1" w:checkStyle="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zt25et9rrpz7efrwppp9zxz9a95ez5eepa&quot;&gt;My EndNote Library&lt;record-ids&gt;&lt;item&gt;3&lt;/item&gt;&lt;item&gt;5&lt;/item&gt;&lt;item&gt;8&lt;/item&gt;&lt;item&gt;9&lt;/item&gt;&lt;item&gt;12&lt;/item&gt;&lt;item&gt;13&lt;/item&gt;&lt;item&gt;16&lt;/item&gt;&lt;item&gt;17&lt;/item&gt;&lt;item&gt;18&lt;/item&gt;&lt;item&gt;19&lt;/item&gt;&lt;item&gt;21&lt;/item&gt;&lt;item&gt;22&lt;/item&gt;&lt;item&gt;23&lt;/item&gt;&lt;item&gt;24&lt;/item&gt;&lt;item&gt;26&lt;/item&gt;&lt;item&gt;27&lt;/item&gt;&lt;item&gt;29&lt;/item&gt;&lt;item&gt;30&lt;/item&gt;&lt;item&gt;31&lt;/item&gt;&lt;item&gt;32&lt;/item&gt;&lt;item&gt;36&lt;/item&gt;&lt;item&gt;37&lt;/item&gt;&lt;item&gt;38&lt;/item&gt;&lt;item&gt;39&lt;/item&gt;&lt;item&gt;40&lt;/item&gt;&lt;item&gt;41&lt;/item&gt;&lt;item&gt;43&lt;/item&gt;&lt;item&gt;44&lt;/item&gt;&lt;item&gt;45&lt;/item&gt;&lt;item&gt;47&lt;/item&gt;&lt;item&gt;53&lt;/item&gt;&lt;item&gt;54&lt;/item&gt;&lt;item&gt;55&lt;/item&gt;&lt;item&gt;57&lt;/item&gt;&lt;item&gt;83&lt;/item&gt;&lt;item&gt;86&lt;/item&gt;&lt;item&gt;88&lt;/item&gt;&lt;item&gt;101&lt;/item&gt;&lt;/record-ids&gt;&lt;/item&gt;&lt;/Libraries&gt;"/>
  </w:docVars>
  <w:rsids>
    <w:rsidRoot w:val="00933A1C"/>
    <w:rsid w:val="00083023"/>
    <w:rsid w:val="00087000"/>
    <w:rsid w:val="000A7832"/>
    <w:rsid w:val="000A7B13"/>
    <w:rsid w:val="000F7E23"/>
    <w:rsid w:val="001203DF"/>
    <w:rsid w:val="001242E7"/>
    <w:rsid w:val="00132AEF"/>
    <w:rsid w:val="00137568"/>
    <w:rsid w:val="00175A3C"/>
    <w:rsid w:val="001A20F3"/>
    <w:rsid w:val="001A21B5"/>
    <w:rsid w:val="001C46B9"/>
    <w:rsid w:val="001D36C5"/>
    <w:rsid w:val="001F43F8"/>
    <w:rsid w:val="001F7B31"/>
    <w:rsid w:val="00220295"/>
    <w:rsid w:val="00236384"/>
    <w:rsid w:val="00253125"/>
    <w:rsid w:val="00261C36"/>
    <w:rsid w:val="0027583A"/>
    <w:rsid w:val="002977F9"/>
    <w:rsid w:val="002B5A14"/>
    <w:rsid w:val="002C28C5"/>
    <w:rsid w:val="002D6A12"/>
    <w:rsid w:val="002F1FAA"/>
    <w:rsid w:val="003052E1"/>
    <w:rsid w:val="0031577A"/>
    <w:rsid w:val="003322B8"/>
    <w:rsid w:val="003600CF"/>
    <w:rsid w:val="00363FF0"/>
    <w:rsid w:val="00367F64"/>
    <w:rsid w:val="00380ADF"/>
    <w:rsid w:val="003967D2"/>
    <w:rsid w:val="003A0D19"/>
    <w:rsid w:val="003B3454"/>
    <w:rsid w:val="003B3D60"/>
    <w:rsid w:val="004143CE"/>
    <w:rsid w:val="0044291A"/>
    <w:rsid w:val="00474D7C"/>
    <w:rsid w:val="004969E2"/>
    <w:rsid w:val="004A6DCD"/>
    <w:rsid w:val="004B2F69"/>
    <w:rsid w:val="004D1893"/>
    <w:rsid w:val="00501283"/>
    <w:rsid w:val="00522B7E"/>
    <w:rsid w:val="00527D9C"/>
    <w:rsid w:val="00553522"/>
    <w:rsid w:val="005777E2"/>
    <w:rsid w:val="00587EEF"/>
    <w:rsid w:val="005A37E7"/>
    <w:rsid w:val="005A6C2A"/>
    <w:rsid w:val="005C6154"/>
    <w:rsid w:val="005F2055"/>
    <w:rsid w:val="00606782"/>
    <w:rsid w:val="00616CB0"/>
    <w:rsid w:val="006333B6"/>
    <w:rsid w:val="006350B8"/>
    <w:rsid w:val="00644911"/>
    <w:rsid w:val="006504D1"/>
    <w:rsid w:val="006654E0"/>
    <w:rsid w:val="00675E8B"/>
    <w:rsid w:val="00695B09"/>
    <w:rsid w:val="006E0FB1"/>
    <w:rsid w:val="006F746A"/>
    <w:rsid w:val="007049CE"/>
    <w:rsid w:val="00727520"/>
    <w:rsid w:val="00740AEB"/>
    <w:rsid w:val="00742DD3"/>
    <w:rsid w:val="0074381F"/>
    <w:rsid w:val="00772929"/>
    <w:rsid w:val="007B0235"/>
    <w:rsid w:val="007C7D11"/>
    <w:rsid w:val="007F5643"/>
    <w:rsid w:val="00814AFC"/>
    <w:rsid w:val="0082198A"/>
    <w:rsid w:val="0084534F"/>
    <w:rsid w:val="00854926"/>
    <w:rsid w:val="00880BD4"/>
    <w:rsid w:val="00881DF6"/>
    <w:rsid w:val="00890FD6"/>
    <w:rsid w:val="0089215A"/>
    <w:rsid w:val="008B795C"/>
    <w:rsid w:val="008E37F5"/>
    <w:rsid w:val="008E698F"/>
    <w:rsid w:val="00926B26"/>
    <w:rsid w:val="009314E2"/>
    <w:rsid w:val="00933A1C"/>
    <w:rsid w:val="00935707"/>
    <w:rsid w:val="00946A13"/>
    <w:rsid w:val="009556C8"/>
    <w:rsid w:val="00965C9E"/>
    <w:rsid w:val="00966819"/>
    <w:rsid w:val="00966E7C"/>
    <w:rsid w:val="00967B95"/>
    <w:rsid w:val="00967DB3"/>
    <w:rsid w:val="009846AE"/>
    <w:rsid w:val="009F453C"/>
    <w:rsid w:val="009F673A"/>
    <w:rsid w:val="00A05F22"/>
    <w:rsid w:val="00A32AAB"/>
    <w:rsid w:val="00A46BCE"/>
    <w:rsid w:val="00A54893"/>
    <w:rsid w:val="00A76B2F"/>
    <w:rsid w:val="00AD7A99"/>
    <w:rsid w:val="00B04A1E"/>
    <w:rsid w:val="00B350FA"/>
    <w:rsid w:val="00B37F0D"/>
    <w:rsid w:val="00B43202"/>
    <w:rsid w:val="00B6695E"/>
    <w:rsid w:val="00B84FCB"/>
    <w:rsid w:val="00B9619B"/>
    <w:rsid w:val="00BA2109"/>
    <w:rsid w:val="00BB11E6"/>
    <w:rsid w:val="00BF152A"/>
    <w:rsid w:val="00BF22AA"/>
    <w:rsid w:val="00C21E56"/>
    <w:rsid w:val="00C26B1C"/>
    <w:rsid w:val="00C55887"/>
    <w:rsid w:val="00C64571"/>
    <w:rsid w:val="00C8099F"/>
    <w:rsid w:val="00CA0BED"/>
    <w:rsid w:val="00CA7B47"/>
    <w:rsid w:val="00CB4BCB"/>
    <w:rsid w:val="00CC2769"/>
    <w:rsid w:val="00CC4141"/>
    <w:rsid w:val="00CC7312"/>
    <w:rsid w:val="00CE22FC"/>
    <w:rsid w:val="00CF607A"/>
    <w:rsid w:val="00D1259A"/>
    <w:rsid w:val="00D3325B"/>
    <w:rsid w:val="00D374DB"/>
    <w:rsid w:val="00D438F5"/>
    <w:rsid w:val="00D60806"/>
    <w:rsid w:val="00D749A6"/>
    <w:rsid w:val="00DB6962"/>
    <w:rsid w:val="00DC183C"/>
    <w:rsid w:val="00DC6116"/>
    <w:rsid w:val="00DD3DAE"/>
    <w:rsid w:val="00DF00F1"/>
    <w:rsid w:val="00DF34D8"/>
    <w:rsid w:val="00DF4825"/>
    <w:rsid w:val="00E00148"/>
    <w:rsid w:val="00E06FC0"/>
    <w:rsid w:val="00E572D8"/>
    <w:rsid w:val="00E57B4F"/>
    <w:rsid w:val="00E64D41"/>
    <w:rsid w:val="00E66ABF"/>
    <w:rsid w:val="00EB3BBB"/>
    <w:rsid w:val="00EB45A3"/>
    <w:rsid w:val="00EC7B71"/>
    <w:rsid w:val="00F5243E"/>
    <w:rsid w:val="00F557D8"/>
    <w:rsid w:val="00F758A9"/>
    <w:rsid w:val="00F83A06"/>
    <w:rsid w:val="00F87D17"/>
    <w:rsid w:val="00F92150"/>
    <w:rsid w:val="00FA1332"/>
    <w:rsid w:val="00FC67E4"/>
    <w:rsid w:val="00FD6077"/>
    <w:rsid w:val="00FE2FB6"/>
    <w:rsid w:val="0A732B5C"/>
    <w:rsid w:val="0F7B4C6E"/>
    <w:rsid w:val="134374E7"/>
    <w:rsid w:val="15FC19E9"/>
    <w:rsid w:val="1AC307D4"/>
    <w:rsid w:val="26BB3CAD"/>
    <w:rsid w:val="2BF73EDA"/>
    <w:rsid w:val="2E2652C2"/>
    <w:rsid w:val="456A388B"/>
    <w:rsid w:val="4E45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ADF1E"/>
  <w15:docId w15:val="{2B1DBDFA-E4E7-4AA9-A29F-D8E0DF7A7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400" w:lineRule="exact"/>
      <w:ind w:firstLineChars="200" w:firstLine="200"/>
      <w:jc w:val="both"/>
    </w:pPr>
    <w:rPr>
      <w:rFonts w:ascii="Times New Roman" w:eastAsia="宋体" w:hAnsi="Times New Roman"/>
      <w:kern w:val="2"/>
      <w:sz w:val="24"/>
      <w:szCs w:val="22"/>
    </w:rPr>
  </w:style>
  <w:style w:type="paragraph" w:styleId="1">
    <w:name w:val="heading 1"/>
    <w:basedOn w:val="a"/>
    <w:next w:val="a"/>
    <w:link w:val="10"/>
    <w:uiPriority w:val="9"/>
    <w:qFormat/>
    <w:pPr>
      <w:keepNext/>
      <w:keepLines/>
      <w:spacing w:before="240" w:after="120" w:line="240" w:lineRule="auto"/>
      <w:ind w:firstLineChars="0" w:firstLine="0"/>
      <w:jc w:val="left"/>
      <w:outlineLvl w:val="0"/>
    </w:pPr>
    <w:rPr>
      <w:rFonts w:eastAsia="黑体"/>
      <w:bCs/>
      <w:kern w:val="44"/>
      <w:sz w:val="32"/>
      <w:szCs w:val="44"/>
    </w:rPr>
  </w:style>
  <w:style w:type="paragraph" w:styleId="2">
    <w:name w:val="heading 2"/>
    <w:basedOn w:val="a"/>
    <w:next w:val="a"/>
    <w:link w:val="20"/>
    <w:uiPriority w:val="9"/>
    <w:unhideWhenUsed/>
    <w:qFormat/>
    <w:pPr>
      <w:keepNext/>
      <w:keepLines/>
      <w:spacing w:before="480" w:after="120"/>
      <w:ind w:firstLineChars="0" w:firstLine="0"/>
      <w:jc w:val="left"/>
      <w:outlineLvl w:val="1"/>
    </w:pPr>
    <w:rPr>
      <w:rFonts w:eastAsia="黑体" w:cstheme="majorBidi"/>
      <w:bCs/>
      <w:sz w:val="28"/>
      <w:szCs w:val="32"/>
    </w:rPr>
  </w:style>
  <w:style w:type="paragraph" w:styleId="3">
    <w:name w:val="heading 3"/>
    <w:basedOn w:val="a"/>
    <w:next w:val="a"/>
    <w:link w:val="30"/>
    <w:uiPriority w:val="9"/>
    <w:semiHidden/>
    <w:unhideWhenUsed/>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spacing w:line="240" w:lineRule="auto"/>
      <w:ind w:firstLineChars="0" w:firstLine="0"/>
    </w:pPr>
    <w:rPr>
      <w:rFonts w:asciiTheme="minorHAnsi" w:eastAsiaTheme="minorEastAsia" w:hAnsiTheme="minorHAnsi"/>
      <w:sz w:val="20"/>
      <w:szCs w:val="20"/>
    </w:rPr>
  </w:style>
  <w:style w:type="paragraph" w:styleId="a5">
    <w:name w:val="footer"/>
    <w:basedOn w:val="a"/>
    <w:link w:val="a6"/>
    <w:uiPriority w:val="99"/>
    <w:unhideWhenUsed/>
    <w:qFormat/>
    <w:pPr>
      <w:tabs>
        <w:tab w:val="center" w:pos="4153"/>
        <w:tab w:val="right" w:pos="8306"/>
      </w:tabs>
      <w:snapToGrid w:val="0"/>
      <w:spacing w:line="240" w:lineRule="atLeast"/>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9">
    <w:name w:val="annotation subject"/>
    <w:basedOn w:val="a3"/>
    <w:next w:val="a3"/>
    <w:link w:val="aa"/>
    <w:uiPriority w:val="99"/>
    <w:semiHidden/>
    <w:unhideWhenUsed/>
    <w:qFormat/>
    <w:pPr>
      <w:spacing w:line="400" w:lineRule="exact"/>
      <w:ind w:firstLineChars="200" w:firstLine="200"/>
      <w:jc w:val="left"/>
    </w:pPr>
    <w:rPr>
      <w:rFonts w:ascii="Times New Roman" w:eastAsia="宋体" w:hAnsi="Times New Roman"/>
      <w:b/>
      <w:bCs/>
      <w:sz w:val="24"/>
      <w:szCs w:val="22"/>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qFormat/>
    <w:rPr>
      <w:color w:val="954F72" w:themeColor="followedHyperlink"/>
      <w:u w:val="single"/>
    </w:r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16"/>
      <w:szCs w:val="16"/>
    </w:rPr>
  </w:style>
  <w:style w:type="character" w:customStyle="1" w:styleId="20">
    <w:name w:val="标题 2 字符"/>
    <w:basedOn w:val="a0"/>
    <w:link w:val="2"/>
    <w:uiPriority w:val="9"/>
    <w:qFormat/>
    <w:rPr>
      <w:rFonts w:ascii="Times New Roman" w:eastAsia="黑体" w:hAnsi="Times New Roman" w:cstheme="majorBidi"/>
      <w:bCs/>
      <w:sz w:val="28"/>
      <w:szCs w:val="32"/>
    </w:rPr>
  </w:style>
  <w:style w:type="character" w:customStyle="1" w:styleId="10">
    <w:name w:val="标题 1 字符"/>
    <w:basedOn w:val="a0"/>
    <w:link w:val="1"/>
    <w:uiPriority w:val="9"/>
    <w:qFormat/>
    <w:rPr>
      <w:rFonts w:ascii="Times New Roman" w:eastAsia="黑体" w:hAnsi="Times New Roman"/>
      <w:bCs/>
      <w:kern w:val="44"/>
      <w:sz w:val="32"/>
      <w:szCs w:val="44"/>
    </w:rPr>
  </w:style>
  <w:style w:type="paragraph" w:styleId="af">
    <w:name w:val="Quote"/>
    <w:basedOn w:val="a"/>
    <w:next w:val="a"/>
    <w:link w:val="af0"/>
    <w:uiPriority w:val="29"/>
    <w:qFormat/>
    <w:pPr>
      <w:spacing w:line="240" w:lineRule="exact"/>
      <w:ind w:firstLineChars="0" w:firstLine="0"/>
      <w:jc w:val="left"/>
    </w:pPr>
    <w:rPr>
      <w:iCs/>
      <w:color w:val="000000" w:themeColor="text1"/>
      <w:sz w:val="18"/>
    </w:rPr>
  </w:style>
  <w:style w:type="character" w:customStyle="1" w:styleId="af0">
    <w:name w:val="引用 字符"/>
    <w:basedOn w:val="a0"/>
    <w:link w:val="af"/>
    <w:uiPriority w:val="29"/>
    <w:qFormat/>
    <w:rPr>
      <w:rFonts w:ascii="Times New Roman" w:eastAsia="宋体" w:hAnsi="Times New Roman"/>
      <w:iCs/>
      <w:color w:val="000000" w:themeColor="text1"/>
      <w:sz w:val="18"/>
    </w:rPr>
  </w:style>
  <w:style w:type="paragraph" w:customStyle="1" w:styleId="EndNoteBibliographyTitle">
    <w:name w:val="EndNote Bibliography Title"/>
    <w:basedOn w:val="a"/>
    <w:link w:val="EndNoteBibliographyTitle0"/>
    <w:qFormat/>
    <w:pPr>
      <w:jc w:val="center"/>
    </w:pPr>
    <w:rPr>
      <w:rFonts w:cs="Times New Roman"/>
    </w:rPr>
  </w:style>
  <w:style w:type="character" w:customStyle="1" w:styleId="EndNoteBibliographyTitle0">
    <w:name w:val="EndNote Bibliography Title 字符"/>
    <w:basedOn w:val="a0"/>
    <w:link w:val="EndNoteBibliographyTitle"/>
    <w:qFormat/>
    <w:rPr>
      <w:rFonts w:ascii="Times New Roman" w:eastAsia="宋体" w:hAnsi="Times New Roman" w:cs="Times New Roman"/>
      <w:sz w:val="24"/>
    </w:rPr>
  </w:style>
  <w:style w:type="paragraph" w:customStyle="1" w:styleId="EndNoteBibliography">
    <w:name w:val="EndNote Bibliography"/>
    <w:basedOn w:val="a"/>
    <w:link w:val="EndNoteBibliography0"/>
    <w:qFormat/>
    <w:pPr>
      <w:spacing w:line="240" w:lineRule="exact"/>
    </w:pPr>
    <w:rPr>
      <w:rFonts w:cs="Times New Roman"/>
    </w:rPr>
  </w:style>
  <w:style w:type="character" w:customStyle="1" w:styleId="EndNoteBibliography0">
    <w:name w:val="EndNote Bibliography 字符"/>
    <w:basedOn w:val="a0"/>
    <w:link w:val="EndNoteBibliography"/>
    <w:qFormat/>
    <w:rPr>
      <w:rFonts w:ascii="Times New Roman" w:eastAsia="宋体" w:hAnsi="Times New Roman" w:cs="Times New Roman"/>
      <w:sz w:val="24"/>
    </w:rPr>
  </w:style>
  <w:style w:type="paragraph" w:styleId="af1">
    <w:name w:val="List Paragraph"/>
    <w:basedOn w:val="a"/>
    <w:uiPriority w:val="34"/>
    <w:qFormat/>
    <w:pPr>
      <w:ind w:firstLine="420"/>
    </w:pPr>
  </w:style>
  <w:style w:type="character" w:customStyle="1" w:styleId="a4">
    <w:name w:val="批注文字 字符"/>
    <w:basedOn w:val="a0"/>
    <w:link w:val="a3"/>
    <w:uiPriority w:val="99"/>
    <w:qFormat/>
    <w:rPr>
      <w:sz w:val="20"/>
      <w:szCs w:val="20"/>
    </w:rPr>
  </w:style>
  <w:style w:type="character" w:customStyle="1" w:styleId="aa">
    <w:name w:val="批注主题 字符"/>
    <w:basedOn w:val="a4"/>
    <w:link w:val="a9"/>
    <w:uiPriority w:val="99"/>
    <w:semiHidden/>
    <w:qFormat/>
    <w:rPr>
      <w:rFonts w:ascii="Times New Roman" w:eastAsia="宋体" w:hAnsi="Times New Roman"/>
      <w:b/>
      <w:bCs/>
      <w:sz w:val="24"/>
      <w:szCs w:val="20"/>
    </w:rPr>
  </w:style>
  <w:style w:type="character" w:customStyle="1" w:styleId="a8">
    <w:name w:val="页眉 字符"/>
    <w:basedOn w:val="a0"/>
    <w:link w:val="a7"/>
    <w:uiPriority w:val="99"/>
    <w:qFormat/>
    <w:rPr>
      <w:rFonts w:ascii="Times New Roman" w:eastAsia="宋体" w:hAnsi="Times New Roman"/>
      <w:sz w:val="18"/>
      <w:szCs w:val="18"/>
    </w:rPr>
  </w:style>
  <w:style w:type="character" w:customStyle="1" w:styleId="a6">
    <w:name w:val="页脚 字符"/>
    <w:basedOn w:val="a0"/>
    <w:link w:val="a5"/>
    <w:uiPriority w:val="99"/>
    <w:qFormat/>
    <w:rPr>
      <w:rFonts w:ascii="Times New Roman" w:eastAsia="宋体" w:hAnsi="Times New Roman"/>
      <w:sz w:val="18"/>
      <w:szCs w:val="18"/>
    </w:rPr>
  </w:style>
  <w:style w:type="character" w:customStyle="1" w:styleId="UnresolvedMention">
    <w:name w:val="Unresolved Mention"/>
    <w:basedOn w:val="a0"/>
    <w:uiPriority w:val="99"/>
    <w:semiHidden/>
    <w:unhideWhenUsed/>
    <w:qFormat/>
    <w:rPr>
      <w:color w:val="605E5C"/>
      <w:shd w:val="clear" w:color="auto" w:fill="E1DFDD"/>
    </w:rPr>
  </w:style>
  <w:style w:type="paragraph" w:customStyle="1" w:styleId="11">
    <w:name w:val="修订1"/>
    <w:hidden/>
    <w:uiPriority w:val="99"/>
    <w:semiHidden/>
    <w:qFormat/>
    <w:rPr>
      <w:rFonts w:ascii="Times New Roman" w:eastAsia="宋体" w:hAnsi="Times New Roman"/>
      <w:kern w:val="2"/>
      <w:sz w:val="24"/>
      <w:szCs w:val="22"/>
    </w:rPr>
  </w:style>
  <w:style w:type="character" w:customStyle="1" w:styleId="30">
    <w:name w:val="标题 3 字符"/>
    <w:basedOn w:val="a0"/>
    <w:link w:val="3"/>
    <w:uiPriority w:val="9"/>
    <w:semiHidden/>
    <w:qFormat/>
    <w:rPr>
      <w:rFonts w:ascii="Times New Roman" w:eastAsia="宋体" w:hAnsi="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54648">
      <w:bodyDiv w:val="1"/>
      <w:marLeft w:val="0"/>
      <w:marRight w:val="0"/>
      <w:marTop w:val="0"/>
      <w:marBottom w:val="0"/>
      <w:divBdr>
        <w:top w:val="none" w:sz="0" w:space="0" w:color="auto"/>
        <w:left w:val="none" w:sz="0" w:space="0" w:color="auto"/>
        <w:bottom w:val="none" w:sz="0" w:space="0" w:color="auto"/>
        <w:right w:val="none" w:sz="0" w:space="0" w:color="auto"/>
      </w:divBdr>
      <w:divsChild>
        <w:div w:id="179785357">
          <w:marLeft w:val="0"/>
          <w:marRight w:val="0"/>
          <w:marTop w:val="0"/>
          <w:marBottom w:val="206"/>
          <w:divBdr>
            <w:top w:val="none" w:sz="0" w:space="0" w:color="auto"/>
            <w:left w:val="none" w:sz="0" w:space="0" w:color="auto"/>
            <w:bottom w:val="none" w:sz="0" w:space="0" w:color="auto"/>
            <w:right w:val="none" w:sz="0" w:space="0" w:color="auto"/>
          </w:divBdr>
        </w:div>
        <w:div w:id="6575368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F2AD4-4A8F-4765-AE74-2657660C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18</Pages>
  <Words>4904</Words>
  <Characters>27956</Characters>
  <Application>Microsoft Office Word</Application>
  <DocSecurity>0</DocSecurity>
  <Lines>232</Lines>
  <Paragraphs>65</Paragraphs>
  <ScaleCrop>false</ScaleCrop>
  <Company/>
  <LinksUpToDate>false</LinksUpToDate>
  <CharactersWithSpaces>32795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Yuhang Wang</dc:creator>
  <cp:lastModifiedBy>Wang yt</cp:lastModifiedBy>
  <cp:revision>40</cp:revision>
  <dcterms:created xsi:type="dcterms:W3CDTF">2024-11-25T09:15:00Z</dcterms:created>
  <dcterms:modified xsi:type="dcterms:W3CDTF">2025-02-09T13:22:00Z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eyJoZGlkIjoiOGU3NjU4NDk1OGNhZDA4ODc3NTJmNmY5YTdhNTcwYTQiLCJ1c2VySWQiOiI2NDQ4NDEzMzgifQ==</vt:lpwstr>
  </property>
  <property fmtid="{D5CDD505-2E9C-101B-9397-08002B2CF9AE}" pid="3" name="KSOProductBuildVer">
    <vt:lpwstr>2052-12.1.0.19770</vt:lpwstr>
  </property>
  <property fmtid="{D5CDD505-2E9C-101B-9397-08002B2CF9AE}" pid="4" name="ICV">
    <vt:lpwstr>A5D1A092A4F34F2BA78FE11D3FB2B1A0_12</vt:lpwstr>
  </property>
</Properties>
</file>