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D570F">
      <w:pPr>
        <w:spacing w:before="100" w:beforeAutospacing="1" w:after="160" w:line="360" w:lineRule="auto"/>
        <w:ind w:left="720" w:hanging="360"/>
        <w:jc w:val="center"/>
        <w:rPr>
          <w:rFonts w:hint="default" w:ascii="Times New Roman" w:hAnsi="Times New Roman" w:eastAsia="宋体" w:cs="Times New Roman"/>
          <w:kern w:val="0"/>
          <w:sz w:val="28"/>
          <w:szCs w:val="28"/>
          <w14:ligatures w14:val="none"/>
        </w:rPr>
      </w:pPr>
      <w:bookmarkStart w:id="0" w:name="OLE_LINK5"/>
      <w:bookmarkStart w:id="1" w:name="OLE_LINK22"/>
      <w:bookmarkStart w:id="2" w:name="OLE_LINK23"/>
      <w:r>
        <w:rPr>
          <w:rFonts w:hint="default" w:ascii="Times New Roman" w:hAnsi="Times New Roman" w:eastAsia="宋体" w:cs="Times New Roman"/>
          <w:b/>
          <w:kern w:val="0"/>
          <w:sz w:val="28"/>
          <w:szCs w:val="28"/>
          <w:lang w:val="en-US" w:eastAsia="zh-CN"/>
          <w14:ligatures w14:val="none"/>
        </w:rPr>
        <w:t>S</w:t>
      </w:r>
      <w:r>
        <w:rPr>
          <w:rFonts w:hint="default" w:ascii="Times New Roman" w:hAnsi="Times New Roman" w:eastAsia="宋体" w:cs="Times New Roman"/>
          <w:b/>
          <w:kern w:val="0"/>
          <w:sz w:val="28"/>
          <w:szCs w:val="28"/>
          <w14:ligatures w14:val="none"/>
        </w:rPr>
        <w:t>upplementary file 1 Standardized outcome</w:t>
      </w:r>
      <w:r>
        <w:rPr>
          <w:rFonts w:hint="eastAsia" w:ascii="Times New Roman" w:hAnsi="Times New Roman" w:eastAsia="宋体" w:cs="Times New Roman"/>
          <w:b/>
          <w:kern w:val="0"/>
          <w:sz w:val="28"/>
          <w:szCs w:val="28"/>
          <w:lang w:val="en-US" w:eastAsia="zh-CN"/>
          <w14:ligatures w14:val="none"/>
        </w:rPr>
        <w:t>s</w:t>
      </w:r>
      <w:r>
        <w:rPr>
          <w:rFonts w:hint="default" w:ascii="Times New Roman" w:hAnsi="Times New Roman" w:eastAsia="宋体" w:cs="Times New Roman"/>
          <w:b/>
          <w:kern w:val="0"/>
          <w:sz w:val="28"/>
          <w:szCs w:val="28"/>
          <w14:ligatures w14:val="none"/>
        </w:rPr>
        <w:t xml:space="preserve"> Definitions</w:t>
      </w:r>
    </w:p>
    <w:p w14:paraId="132EEE78">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0"/>
        <w:textAlignment w:val="auto"/>
        <w:rPr>
          <w:rFonts w:hint="default" w:ascii="Times New Roman" w:hAnsi="Times New Roman" w:eastAsia="宋体" w:cs="Times New Roman"/>
          <w:sz w:val="24"/>
          <w:szCs w:val="24"/>
          <w14:ligatures w14:val="none"/>
        </w:rPr>
      </w:pPr>
      <w:r>
        <w:rPr>
          <w:rFonts w:hint="default" w:ascii="Times New Roman" w:hAnsi="Times New Roman" w:eastAsia="宋体" w:cs="Times New Roman"/>
          <w:sz w:val="24"/>
          <w:szCs w:val="24"/>
          <w14:ligatures w14:val="none"/>
        </w:rPr>
        <w:t>TICS-m includes the following items</w:t>
      </w:r>
      <w:r>
        <w:rPr>
          <w:rFonts w:hint="default" w:ascii="Times New Roman" w:hAnsi="Times New Roman" w:eastAsia="宋体" w:cs="Times New Roman"/>
          <w:sz w:val="24"/>
          <w:szCs w:val="24"/>
          <w:lang w:val="en-US" w:eastAsia="zh-CN"/>
          <w14:ligatures w14:val="none"/>
        </w:rPr>
        <w:t>.</w:t>
      </w:r>
      <w:r>
        <w:rPr>
          <w:rFonts w:hint="default" w:ascii="Times New Roman" w:hAnsi="Times New Roman" w:eastAsia="宋体" w:cs="Times New Roman"/>
          <w:sz w:val="24"/>
          <w:szCs w:val="24"/>
          <w14:ligatures w14:val="none"/>
        </w:rPr>
        <w:t xml:space="preserve"> (1) </w:t>
      </w:r>
      <w:r>
        <w:rPr>
          <w:rFonts w:hint="eastAsia" w:ascii="Times New Roman" w:hAnsi="Times New Roman" w:eastAsia="宋体" w:cs="Times New Roman"/>
          <w:sz w:val="24"/>
          <w:szCs w:val="24"/>
          <w:lang w:val="en-US" w:eastAsia="zh-CN"/>
          <w14:ligatures w14:val="none"/>
        </w:rPr>
        <w:t>N</w:t>
      </w:r>
      <w:r>
        <w:rPr>
          <w:rFonts w:hint="default" w:ascii="Times New Roman" w:hAnsi="Times New Roman" w:eastAsia="宋体" w:cs="Times New Roman"/>
          <w:sz w:val="24"/>
          <w:szCs w:val="24"/>
          <w14:ligatures w14:val="none"/>
        </w:rPr>
        <w:t xml:space="preserve">ame, date, age, telephone number (9 points); </w:t>
      </w:r>
      <w:r>
        <w:rPr>
          <w:rFonts w:hint="eastAsia" w:ascii="Times New Roman" w:hAnsi="Times New Roman" w:eastAsia="宋体" w:cs="Times New Roman"/>
          <w:sz w:val="24"/>
          <w:szCs w:val="24"/>
          <w:lang w:val="en-US" w:eastAsia="zh-CN"/>
          <w14:ligatures w14:val="none"/>
        </w:rPr>
        <w:t>(</w:t>
      </w:r>
      <w:r>
        <w:rPr>
          <w:rFonts w:hint="default" w:ascii="Times New Roman" w:hAnsi="Times New Roman" w:eastAsia="宋体" w:cs="Times New Roman"/>
          <w:sz w:val="24"/>
          <w:szCs w:val="24"/>
          <w14:ligatures w14:val="none"/>
        </w:rPr>
        <w:t>2</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 xml:space="preserve">countdown (2 points); (3) First, a 10-word list learning exercise was performed, and then the recall of the list was delayed (10 points for each); (4) </w:t>
      </w:r>
      <w:r>
        <w:rPr>
          <w:rFonts w:hint="eastAsia" w:ascii="Times New Roman" w:hAnsi="Times New Roman" w:eastAsia="宋体" w:cs="Times New Roman"/>
          <w:sz w:val="24"/>
          <w:szCs w:val="24"/>
          <w:lang w:val="en-US" w:eastAsia="zh-CN"/>
          <w14:ligatures w14:val="none"/>
        </w:rPr>
        <w:t>S</w:t>
      </w:r>
      <w:r>
        <w:rPr>
          <w:rFonts w:hint="default" w:ascii="Times New Roman" w:hAnsi="Times New Roman" w:eastAsia="宋体" w:cs="Times New Roman"/>
          <w:sz w:val="24"/>
          <w:szCs w:val="24"/>
          <w14:ligatures w14:val="none"/>
        </w:rPr>
        <w:t xml:space="preserve">ubtraction (5 points); (5) Responsive naming (4 points); (6) Repeat (2 points); (7) The current president and vice president (4 points); (8) finger tapping (2 points), (9) </w:t>
      </w:r>
      <w:r>
        <w:rPr>
          <w:rFonts w:hint="eastAsia" w:ascii="Times New Roman" w:hAnsi="Times New Roman" w:eastAsia="宋体" w:cs="Times New Roman"/>
          <w:sz w:val="24"/>
          <w:szCs w:val="24"/>
          <w:lang w:val="en-US" w:eastAsia="zh-CN"/>
          <w14:ligatures w14:val="none"/>
        </w:rPr>
        <w:t>W</w:t>
      </w:r>
      <w:r>
        <w:rPr>
          <w:rFonts w:hint="default" w:ascii="Times New Roman" w:hAnsi="Times New Roman" w:eastAsia="宋体" w:cs="Times New Roman"/>
          <w:sz w:val="24"/>
          <w:szCs w:val="24"/>
          <w14:ligatures w14:val="none"/>
        </w:rPr>
        <w:t>ord opposition (2 points). It consists of 12 items with a maximum score of 50. A total score of ≤27 was defined as dementia, ≥33 as normal, and 28-32 as mild cognitive impairment (MCI).</w:t>
      </w:r>
      <w:r>
        <w:rPr>
          <w:rFonts w:hint="default" w:ascii="Times New Roman" w:hAnsi="Times New Roman" w:eastAsia="宋体" w:cs="Times New Roman"/>
          <w:sz w:val="24"/>
          <w:szCs w:val="24"/>
          <w:lang w:val="en-US" w:eastAsia="zh-CN"/>
          <w14:ligatures w14:val="none"/>
        </w:rPr>
        <w:t xml:space="preserve"> DNR was considered mild when the reliable change index of TICS-m score decreased by 1-2, and severe when the reliable change index </w:t>
      </w:r>
      <w:bookmarkStart w:id="4" w:name="_GoBack"/>
      <w:bookmarkEnd w:id="4"/>
      <w:r>
        <w:rPr>
          <w:rFonts w:hint="default" w:ascii="Times New Roman" w:hAnsi="Times New Roman" w:eastAsia="宋体" w:cs="Times New Roman"/>
          <w:sz w:val="24"/>
          <w:szCs w:val="24"/>
          <w:lang w:val="en-US" w:eastAsia="zh-CN"/>
          <w14:ligatures w14:val="none"/>
        </w:rPr>
        <w:t>of TICS-m score decreased by ≥2. The same applies to POCD (i.e., cognitive decline from baseline to 6 months after surgery). POCD was considered as mild when TICS-</w:t>
      </w:r>
      <w:r>
        <w:rPr>
          <w:rFonts w:hint="eastAsia" w:ascii="Times New Roman" w:hAnsi="Times New Roman" w:eastAsia="宋体" w:cs="Times New Roman"/>
          <w:sz w:val="24"/>
          <w:szCs w:val="24"/>
          <w:lang w:val="en-US" w:eastAsia="zh-CN"/>
          <w14:ligatures w14:val="none"/>
        </w:rPr>
        <w:t>m</w:t>
      </w:r>
      <w:r>
        <w:rPr>
          <w:rFonts w:hint="default" w:ascii="Times New Roman" w:hAnsi="Times New Roman" w:eastAsia="宋体" w:cs="Times New Roman"/>
          <w:sz w:val="24"/>
          <w:szCs w:val="24"/>
          <w:lang w:val="en-US" w:eastAsia="zh-CN"/>
          <w14:ligatures w14:val="none"/>
        </w:rPr>
        <w:t xml:space="preserve"> reliability change index decreased by 1-2, and POCD was considered as severe when TICS-m reliability change index decreased ≥2. The Reliable change index is a psychometric expression of the extent to which individual differences between pre - and post-measurement scores represent clinically relevant change. TICS-m, modeled on the Mini-Mental State Examination (MMSE), is a test of global cognitive function. It has the added benefit of being administered over the phone. It consists of 12 items with a maximum score of 50.</w:t>
      </w:r>
      <w:bookmarkEnd w:id="0"/>
      <w:bookmarkEnd w:id="1"/>
    </w:p>
    <w:p w14:paraId="1A31B85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0"/>
        <w:textAlignment w:val="auto"/>
        <w:rPr>
          <w:rFonts w:hint="default" w:ascii="Times New Roman" w:hAnsi="Times New Roman" w:eastAsia="宋体" w:cs="Times New Roman"/>
          <w:sz w:val="24"/>
          <w:szCs w:val="24"/>
          <w14:ligatures w14:val="none"/>
        </w:rPr>
      </w:pPr>
      <w:r>
        <w:rPr>
          <w:rFonts w:hint="default" w:ascii="Times New Roman" w:hAnsi="Times New Roman" w:eastAsia="宋体" w:cs="Times New Roman"/>
          <w:sz w:val="24"/>
          <w:szCs w:val="24"/>
          <w14:ligatures w14:val="none"/>
        </w:rPr>
        <w:t>Delirium assessment</w:t>
      </w:r>
      <w:r>
        <w:rPr>
          <w:rFonts w:hint="default" w:ascii="Times New Roman" w:hAnsi="Times New Roman" w:eastAsia="宋体" w:cs="Times New Roman"/>
          <w:sz w:val="24"/>
          <w:szCs w:val="24"/>
          <w:lang w:val="en-US" w:eastAsia="zh-CN"/>
          <w14:ligatures w14:val="none"/>
        </w:rPr>
        <w:t>.</w:t>
      </w:r>
      <w:r>
        <w:rPr>
          <w:rFonts w:hint="default" w:ascii="Times New Roman" w:hAnsi="Times New Roman" w:eastAsia="宋体" w:cs="Times New Roman"/>
          <w:sz w:val="24"/>
          <w:szCs w:val="24"/>
          <w14:ligatures w14:val="none"/>
        </w:rPr>
        <w:t xml:space="preserve"> POD was assessed by 3D-CAM twice a day (8:00-10:00 and 18:00-20:00) from day 1 to day 7 after surgery. In a prospective validation study in hospitalized patients, the 3D-CAM provided a brief assessment (3 orientation items, 4 attention items, 3 symptom probes, and 10 observation items) compared with a clinical reference standard rating that facilitated the rating of 4 core features of CAM with 95% sensitivity and 94% specificity. Confusion Assessment method for Intensive Care Unit (CAM-ICU) for ICU patients</w:t>
      </w:r>
      <w:r>
        <w:rPr>
          <w:rFonts w:hint="default" w:ascii="Times New Roman" w:hAnsi="Times New Roman" w:eastAsia="宋体" w:cs="Times New Roman"/>
          <w:sz w:val="24"/>
          <w:szCs w:val="24"/>
          <w:lang w:val="en-US" w:eastAsia="zh-CN"/>
          <w14:ligatures w14:val="none"/>
        </w:rPr>
        <w:t>.</w:t>
      </w:r>
    </w:p>
    <w:p w14:paraId="0C9B143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0"/>
        <w:textAlignment w:val="auto"/>
        <w:rPr>
          <w:rFonts w:hint="default" w:ascii="Times New Roman" w:hAnsi="Times New Roman" w:eastAsia="宋体" w:cs="Times New Roman"/>
          <w:sz w:val="24"/>
          <w:szCs w:val="24"/>
          <w14:ligatures w14:val="none"/>
        </w:rPr>
      </w:pPr>
      <w:r>
        <w:rPr>
          <w:rFonts w:hint="default" w:ascii="Times New Roman" w:hAnsi="Times New Roman" w:eastAsia="宋体" w:cs="Times New Roman"/>
          <w:sz w:val="24"/>
          <w:szCs w:val="24"/>
          <w14:ligatures w14:val="none"/>
        </w:rPr>
        <w:t>Assessment of postoperative analgesia</w:t>
      </w:r>
      <w:r>
        <w:rPr>
          <w:rFonts w:hint="default" w:ascii="Times New Roman" w:hAnsi="Times New Roman" w:eastAsia="宋体" w:cs="Times New Roman"/>
          <w:sz w:val="24"/>
          <w:szCs w:val="24"/>
          <w:lang w:val="en-US" w:eastAsia="zh-CN"/>
          <w14:ligatures w14:val="none"/>
        </w:rPr>
        <w:t>.</w:t>
      </w:r>
      <w:r>
        <w:rPr>
          <w:rFonts w:hint="default" w:ascii="Times New Roman" w:hAnsi="Times New Roman" w:eastAsia="宋体" w:cs="Times New Roman"/>
          <w:sz w:val="24"/>
          <w:szCs w:val="24"/>
          <w14:ligatures w14:val="none"/>
        </w:rPr>
        <w:t xml:space="preserve"> Subjects were instructed to use NRS to assess pain intensity at rest and during exercise (cough). NRS scores at rest and during exercise at 4</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h, 8</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h, 12</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h and on the first day after surgery (8:30 am, 12:00 PM, 4:00 PM) were recorded. Resting and motor NRS scores were assessed once daily at 4:00 PM from 2-7 days after surgery. If the subject falls asleep, no assessment will be performed. Rescue analgesia: within 72 h (including 72 h) after the start of injection of the investigational drug, if the NRS score was ≥4 after three consecutive doses of PCA, intravenous analgesia was administered for rescue analgesia and recorded. It is recommended that the interval between two salvage treatments be ≥2 h. NRS pain intensity was assessed at rest and during exercise (cough) within 5min of each rescue analgesia. Pain assessments were still performed at the indicated time points after the use of rescue analgesia. If the NRS score was ≥7 for 24</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h, the condition would be defined as an adverse event and all details would be recorded in the CRF</w:t>
      </w:r>
      <w:r>
        <w:rPr>
          <w:rFonts w:hint="default" w:ascii="Times New Roman" w:hAnsi="Times New Roman" w:eastAsia="宋体" w:cs="Times New Roman"/>
          <w:sz w:val="24"/>
          <w:szCs w:val="24"/>
          <w:lang w:val="en-US" w:eastAsia="zh-CN"/>
          <w14:ligatures w14:val="none"/>
        </w:rPr>
        <w:t>.</w:t>
      </w:r>
    </w:p>
    <w:p w14:paraId="346247C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0"/>
        <w:textAlignment w:val="auto"/>
        <w:rPr>
          <w:rFonts w:hint="default" w:ascii="Times New Roman" w:hAnsi="Times New Roman" w:eastAsia="宋体" w:cs="Times New Roman"/>
          <w:sz w:val="24"/>
          <w:szCs w:val="24"/>
          <w14:ligatures w14:val="none"/>
        </w:rPr>
      </w:pPr>
      <w:r>
        <w:rPr>
          <w:rFonts w:hint="default" w:ascii="Times New Roman" w:hAnsi="Times New Roman" w:eastAsia="宋体" w:cs="Times New Roman"/>
          <w:sz w:val="24"/>
          <w:szCs w:val="24"/>
          <w14:ligatures w14:val="none"/>
        </w:rPr>
        <w:t>Postoperative opioid dosage (morphine milligram equivalent, MME): morphine (intravenous)1mg= morphine (oral</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3mg = oxycodone (oral)</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1.5mg; Morphine (IV)1mg= fentanyl (IV)</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10μg = remifentanil (IV)</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10μg = sufentanil (IV)</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1μg= tramadol (IV)</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10mg= pethidine (IV)</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10mg; Morphine (intravenous)1mg= sufentanil (epidural)</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1μg; Each opioid analgesic has a conversion factor, such as 1.5 for oxycodone (oral), 3 for oxycodone (intravenous), and 0.2 for tramadol (oral).</w:t>
      </w:r>
    </w:p>
    <w:p w14:paraId="0F288CB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0"/>
        <w:textAlignment w:val="auto"/>
        <w:rPr>
          <w:rFonts w:hint="default" w:ascii="Times New Roman" w:hAnsi="Times New Roman" w:eastAsia="宋体" w:cs="Times New Roman"/>
          <w:sz w:val="24"/>
          <w:szCs w:val="24"/>
          <w14:ligatures w14:val="none"/>
        </w:rPr>
      </w:pPr>
      <w:r>
        <w:rPr>
          <w:rFonts w:hint="default" w:ascii="Times New Roman" w:hAnsi="Times New Roman" w:eastAsia="宋体" w:cs="Times New Roman"/>
          <w:sz w:val="24"/>
          <w:szCs w:val="24"/>
          <w14:ligatures w14:val="none"/>
        </w:rPr>
        <w:t>Vital signs were tested</w:t>
      </w:r>
      <w:bookmarkStart w:id="3" w:name="OLE_LINK13"/>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Vital signs, including SpO</w:t>
      </w:r>
      <w:r>
        <w:rPr>
          <w:rFonts w:hint="default" w:ascii="Times New Roman" w:hAnsi="Times New Roman" w:eastAsia="宋体" w:cs="Times New Roman"/>
          <w:sz w:val="24"/>
          <w:szCs w:val="24"/>
          <w:vertAlign w:val="subscript"/>
          <w14:ligatures w14:val="none"/>
        </w:rPr>
        <w:t>2</w:t>
      </w:r>
      <w:r>
        <w:rPr>
          <w:rFonts w:hint="default" w:ascii="Times New Roman" w:hAnsi="Times New Roman" w:eastAsia="宋体" w:cs="Times New Roman"/>
          <w:sz w:val="24"/>
          <w:szCs w:val="24"/>
          <w14:ligatures w14:val="none"/>
        </w:rPr>
        <w:t>, pulse, blood pressure, and BIS, were measured 10 min</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(±2min) and 5min</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(±2min) after calm entering the room. Vital signs including SpO</w:t>
      </w:r>
      <w:r>
        <w:rPr>
          <w:rFonts w:hint="default" w:ascii="Times New Roman" w:hAnsi="Times New Roman" w:eastAsia="宋体" w:cs="Times New Roman"/>
          <w:sz w:val="24"/>
          <w:szCs w:val="24"/>
          <w:vertAlign w:val="subscript"/>
          <w14:ligatures w14:val="none"/>
        </w:rPr>
        <w:t>2</w:t>
      </w:r>
      <w:r>
        <w:rPr>
          <w:rFonts w:hint="default" w:ascii="Times New Roman" w:hAnsi="Times New Roman" w:eastAsia="宋体" w:cs="Times New Roman"/>
          <w:sz w:val="24"/>
          <w:szCs w:val="24"/>
          <w14:ligatures w14:val="none"/>
        </w:rPr>
        <w:t>, pulse, blood pressure and BIS were recorded before intubation or laryngeal mask insertion, immediately after intubation, at the beginning of surgery, immediately after pneumoperitoneum, 30min</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(±5min), 60min</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(±5min), 120 min</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(±5min), at the end of surgery and at the time of extubation.</w:t>
      </w:r>
    </w:p>
    <w:p w14:paraId="19BD071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0"/>
        <w:textAlignment w:val="auto"/>
        <w:rPr>
          <w:rFonts w:hint="default" w:ascii="Times New Roman" w:hAnsi="Times New Roman" w:eastAsia="宋体" w:cs="Times New Roman"/>
        </w:rPr>
      </w:pPr>
      <w:r>
        <w:rPr>
          <w:rFonts w:hint="default" w:ascii="Times New Roman" w:hAnsi="Times New Roman" w:eastAsia="宋体" w:cs="Times New Roman"/>
          <w:sz w:val="24"/>
          <w:szCs w:val="24"/>
          <w14:ligatures w14:val="none"/>
        </w:rPr>
        <w:t>QoR - 15</w:t>
      </w:r>
      <w:bookmarkEnd w:id="3"/>
      <w:r>
        <w:rPr>
          <w:rFonts w:hint="default" w:ascii="Times New Roman" w:hAnsi="Times New Roman" w:eastAsia="宋体" w:cs="Times New Roman"/>
          <w:sz w:val="24"/>
          <w:szCs w:val="24"/>
          <w14:ligatures w14:val="none"/>
        </w:rPr>
        <w:t>. The quality of recovery-15 (QoR-15) is a patient reported outcome measurement validated to measure QoR after surgery and general anesthesia. It ranges from 0 to 150 with a higher score indicating better recovery. The QoR-15 is a smaller version of the QoR-40; the psychometric properties are comparable, but the QoR-15 is more practical to use because it is shorter and takes less time to complete. QoR score: excellent (QoR-15 &gt;135), good (122≤ QoR-15 ≤ 135), moderate (90≤ QoR-15 ≤ 121), or poor (QoR-15 &lt;90).</w:t>
      </w:r>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EF2CF2"/>
    <w:multiLevelType w:val="multilevel"/>
    <w:tmpl w:val="0AEF2CF2"/>
    <w:lvl w:ilvl="0" w:tentative="0">
      <w:start w:val="1"/>
      <w:numFmt w:val="lowerLetter"/>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BMC Geriatric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affp2vx3xavsnewzxnp9rzrpttwfwszw5pw&quot;&gt;My EndNote Library&lt;record-ids&gt;&lt;item&gt;273&lt;/item&gt;&lt;item&gt;274&lt;/item&gt;&lt;item&gt;288&lt;/item&gt;&lt;item&gt;289&lt;/item&gt;&lt;item&gt;290&lt;/item&gt;&lt;/record-ids&gt;&lt;/item&gt;&lt;/Libraries&gt;"/>
  </w:docVars>
  <w:rsids>
    <w:rsidRoot w:val="0078371C"/>
    <w:rsid w:val="00150602"/>
    <w:rsid w:val="002B4D67"/>
    <w:rsid w:val="0078371C"/>
    <w:rsid w:val="00B235F0"/>
    <w:rsid w:val="00CA4A47"/>
    <w:rsid w:val="0D7002CE"/>
    <w:rsid w:val="1C252021"/>
    <w:rsid w:val="24151305"/>
    <w:rsid w:val="25700DFA"/>
    <w:rsid w:val="25C10CB1"/>
    <w:rsid w:val="29664D50"/>
    <w:rsid w:val="39691347"/>
    <w:rsid w:val="4D292E6F"/>
    <w:rsid w:val="51C27612"/>
    <w:rsid w:val="555E2B6B"/>
    <w:rsid w:val="5FCA6F16"/>
    <w:rsid w:val="7A972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 w:type="paragraph" w:customStyle="1" w:styleId="5">
    <w:name w:val="EndNote Bibliography Title"/>
    <w:basedOn w:val="1"/>
    <w:link w:val="6"/>
    <w:qFormat/>
    <w:uiPriority w:val="0"/>
    <w:pPr>
      <w:jc w:val="center"/>
    </w:pPr>
    <w:rPr>
      <w:rFonts w:ascii="等线" w:hAnsi="等线" w:eastAsia="等线"/>
      <w:sz w:val="20"/>
    </w:rPr>
  </w:style>
  <w:style w:type="character" w:customStyle="1" w:styleId="6">
    <w:name w:val="EndNote Bibliography Title 字符"/>
    <w:basedOn w:val="3"/>
    <w:link w:val="5"/>
    <w:qFormat/>
    <w:uiPriority w:val="0"/>
    <w:rPr>
      <w:rFonts w:ascii="等线" w:hAnsi="等线" w:eastAsia="等线"/>
      <w:sz w:val="20"/>
    </w:rPr>
  </w:style>
  <w:style w:type="paragraph" w:customStyle="1" w:styleId="7">
    <w:name w:val="EndNote Bibliography"/>
    <w:basedOn w:val="1"/>
    <w:link w:val="8"/>
    <w:qFormat/>
    <w:uiPriority w:val="0"/>
    <w:rPr>
      <w:rFonts w:ascii="等线" w:hAnsi="等线" w:eastAsia="等线"/>
      <w:sz w:val="20"/>
    </w:rPr>
  </w:style>
  <w:style w:type="character" w:customStyle="1" w:styleId="8">
    <w:name w:val="EndNote Bibliography 字符"/>
    <w:basedOn w:val="3"/>
    <w:link w:val="7"/>
    <w:qFormat/>
    <w:uiPriority w:val="0"/>
    <w:rPr>
      <w:rFonts w:ascii="等线" w:hAnsi="等线" w:eastAsia="等线"/>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728</Words>
  <Characters>3828</Characters>
  <Lines>14</Lines>
  <Paragraphs>3</Paragraphs>
  <TotalTime>53</TotalTime>
  <ScaleCrop>false</ScaleCrop>
  <LinksUpToDate>false</LinksUpToDate>
  <CharactersWithSpaces>4549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2025-03-29T07:33:00Z</dcterms:created>
  <dc:creator>SYT</dc:creator>
  <cp:lastModifiedBy>SYT</cp:lastModifiedBy>
  <dcterms:modified xsi:type="dcterms:W3CDTF">2025-06-02T07:49:09Z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61F1EAF774864956B7CF6326AA6AF86F_13</vt:lpwstr>
  </property>
  <property fmtid="{D5CDD505-2E9C-101B-9397-08002B2CF9AE}" pid="4" name="KSOTemplateDocerSaveRecord">
    <vt:lpwstr>eyJoZGlkIjoiMzYwYzU2MWI3N2Y3MzJlNmMwOWM2NjNjMmYxYjQ1MmYiLCJ1c2VySWQiOiIzNTE4MjgyMjEifQ==</vt:lpwstr>
  </property>
</Properties>
</file>