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9C7F8">
      <w:pPr>
        <w:rPr>
          <w:rFonts w:hint="eastAsia" w:ascii="Times New Roman Uni" w:hAnsi="Times New Roman Uni" w:cs="Times New Roman Uni" w:eastAsiaTheme="minorEastAsia"/>
          <w:b/>
          <w:bCs/>
          <w:lang w:eastAsia="zh-CN"/>
        </w:rPr>
      </w:pPr>
      <w:r>
        <w:rPr>
          <w:rFonts w:hint="eastAsia" w:ascii="Times New Roman Uni" w:hAnsi="Times New Roman Uni" w:eastAsia="Times New Roman Uni" w:cs="Times New Roman Uni"/>
          <w:b/>
          <w:bCs/>
        </w:rPr>
        <w:t>Appendix：</w:t>
      </w:r>
      <w:r>
        <w:rPr>
          <w:rFonts w:hint="eastAsia" w:ascii="Times New Roman Uni" w:hAnsi="Times New Roman Uni" w:cs="Times New Roman Uni" w:eastAsiaTheme="minorEastAsia"/>
          <w:b/>
          <w:bCs/>
          <w:lang w:eastAsia="zh-CN"/>
        </w:rPr>
        <w:drawing>
          <wp:inline distT="0" distB="0" distL="114300" distR="114300">
            <wp:extent cx="5266690" cy="7021830"/>
            <wp:effectExtent l="0" t="0" r="635" b="7620"/>
            <wp:docPr id="1" name="图片 1" descr="图S1 - 2025060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S1 - 20250603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4578">
      <w:pPr>
        <w:rPr>
          <w:rFonts w:hint="eastAsia" w:ascii="Times New Roman Uni" w:hAnsi="Times New Roman Uni" w:cs="Times New Roman Uni" w:eastAsiaTheme="minorEastAsia"/>
          <w:b/>
          <w:bCs/>
          <w:lang w:eastAsia="zh-CN"/>
        </w:rPr>
      </w:pPr>
      <w:r>
        <w:rPr>
          <w:rFonts w:hint="eastAsia" w:ascii="Times New Roman Uni" w:hAnsi="Times New Roman Uni" w:cs="Times New Roman Uni" w:eastAsiaTheme="minorEastAsia"/>
          <w:b/>
          <w:bCs/>
          <w:lang w:eastAsia="zh-CN"/>
        </w:rPr>
        <w:drawing>
          <wp:inline distT="0" distB="0" distL="114300" distR="114300">
            <wp:extent cx="5266690" cy="5507355"/>
            <wp:effectExtent l="0" t="0" r="0" b="0"/>
            <wp:docPr id="2" name="图片 2" descr="图S1 - 20250603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S1 - 20250603_02"/>
                    <pic:cNvPicPr>
                      <a:picLocks noChangeAspect="1"/>
                    </pic:cNvPicPr>
                  </pic:nvPicPr>
                  <pic:blipFill>
                    <a:blip r:embed="rId5"/>
                    <a:srcRect b="215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50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A2E05">
      <w:pPr>
        <w:jc w:val="center"/>
        <w:rPr>
          <w:rFonts w:hint="eastAsia" w:ascii="Times New Roman Uni" w:hAnsi="Times New Roman Uni" w:eastAsia="Times New Roman Uni" w:cs="Times New Roman Uni"/>
          <w:b/>
          <w:bCs/>
        </w:rPr>
      </w:pPr>
      <w:r>
        <w:rPr>
          <w:rFonts w:hint="eastAsia" w:ascii="Times New Roman Uni" w:hAnsi="Times New Roman Uni" w:eastAsia="Times New Roman Uni" w:cs="Times New Roman Uni"/>
          <w:b/>
          <w:bCs/>
        </w:rPr>
        <w:t xml:space="preserve">Figure </w:t>
      </w:r>
      <w:r>
        <w:rPr>
          <w:rFonts w:hint="eastAsia" w:ascii="Times New Roman Uni" w:hAnsi="Times New Roman Uni" w:eastAsia="Times New Roman Uni" w:cs="Times New Roman Uni"/>
          <w:b/>
          <w:bCs/>
          <w:lang w:val="en-US" w:eastAsia="zh-CN"/>
        </w:rPr>
        <w:t>S</w:t>
      </w:r>
      <w:bookmarkStart w:id="0" w:name="_GoBack"/>
      <w:bookmarkEnd w:id="0"/>
      <w:r>
        <w:rPr>
          <w:rFonts w:hint="eastAsia" w:ascii="Times New Roman Uni" w:hAnsi="Times New Roman Uni" w:eastAsia="Times New Roman Uni" w:cs="Times New Roman Uni"/>
          <w:b/>
          <w:bCs/>
        </w:rPr>
        <w:t xml:space="preserve">1 </w:t>
      </w:r>
      <w:r>
        <w:rPr>
          <w:rFonts w:ascii="Times New Roman Uni" w:hAnsi="Times New Roman Uni" w:eastAsia="Times New Roman Uni" w:cs="Times New Roman Uni"/>
          <w:b/>
          <w:bCs/>
        </w:rPr>
        <w:t>Centrality,</w:t>
      </w:r>
      <w:r>
        <w:rPr>
          <w:rFonts w:hint="eastAsia" w:ascii="Times New Roman Uni" w:hAnsi="Times New Roman Uni" w:eastAsia="Times New Roman Uni" w:cs="Times New Roman Uni"/>
          <w:b/>
          <w:bCs/>
        </w:rPr>
        <w:t xml:space="preserve"> A</w:t>
      </w:r>
      <w:r>
        <w:rPr>
          <w:rFonts w:ascii="Times New Roman Uni" w:hAnsi="Times New Roman Uni" w:eastAsia="Times New Roman Uni" w:cs="Times New Roman Uni"/>
          <w:b/>
          <w:bCs/>
        </w:rPr>
        <w:t xml:space="preserve">ccuracy and </w:t>
      </w:r>
      <w:r>
        <w:rPr>
          <w:rFonts w:hint="eastAsia" w:ascii="Times New Roman Uni" w:hAnsi="Times New Roman Uni" w:eastAsia="Times New Roman Uni" w:cs="Times New Roman Uni"/>
          <w:b/>
          <w:bCs/>
        </w:rPr>
        <w:t>S</w:t>
      </w:r>
      <w:r>
        <w:rPr>
          <w:rFonts w:ascii="Times New Roman Uni" w:hAnsi="Times New Roman Uni" w:eastAsia="Times New Roman Uni" w:cs="Times New Roman Uni"/>
          <w:b/>
          <w:bCs/>
        </w:rPr>
        <w:t xml:space="preserve">tability </w:t>
      </w:r>
      <w:r>
        <w:rPr>
          <w:rFonts w:hint="eastAsia" w:ascii="Times New Roman Uni" w:hAnsi="Times New Roman Uni" w:eastAsia="Times New Roman Uni" w:cs="Times New Roman Uni"/>
          <w:b/>
          <w:bCs/>
        </w:rPr>
        <w:t>E</w:t>
      </w:r>
      <w:r>
        <w:rPr>
          <w:rFonts w:ascii="Times New Roman Uni" w:hAnsi="Times New Roman Uni" w:eastAsia="Times New Roman Uni" w:cs="Times New Roman Uni"/>
          <w:b/>
          <w:bCs/>
        </w:rPr>
        <w:t>stimation</w:t>
      </w:r>
      <w:r>
        <w:rPr>
          <w:rFonts w:hint="eastAsia" w:ascii="Times New Roman Uni" w:hAnsi="Times New Roman Uni" w:eastAsia="Times New Roman Uni" w:cs="Times New Roman Uni"/>
          <w:b/>
          <w:bCs/>
        </w:rPr>
        <w:t xml:space="preserve"> of the Network.</w:t>
      </w:r>
    </w:p>
    <w:p w14:paraId="55D32353">
      <w:pPr>
        <w:jc w:val="left"/>
        <w:rPr>
          <w:rFonts w:ascii="Times New Roman Uni" w:hAnsi="Times New Roman Uni" w:eastAsia="Times New Roman Uni" w:cs="Times New Roman Uni"/>
        </w:rPr>
      </w:pPr>
      <w:r>
        <w:rPr>
          <w:rFonts w:ascii="Times New Roman Uni" w:hAnsi="Times New Roman Uni" w:eastAsia="Times New Roman Uni" w:cs="Times New Roman Uni"/>
        </w:rPr>
        <w:t xml:space="preserve">Variables: 1: Suicide Ideation, 2: Depressive Mood, 3: </w:t>
      </w:r>
      <w:r>
        <w:rPr>
          <w:rFonts w:hint="eastAsia" w:ascii="Times New Roman Uni" w:hAnsi="Times New Roman Uni" w:eastAsia="Times New Roman Uni" w:cs="Times New Roman Uni"/>
          <w:lang w:val="en-US" w:eastAsia="zh-CN"/>
        </w:rPr>
        <w:t>Anxiety</w:t>
      </w:r>
      <w:r>
        <w:rPr>
          <w:rFonts w:ascii="Times New Roman Uni" w:hAnsi="Times New Roman Uni" w:eastAsia="Times New Roman Uni" w:cs="Times New Roman Uni"/>
        </w:rPr>
        <w:t xml:space="preserve">, </w:t>
      </w:r>
      <w:r>
        <w:rPr>
          <w:rFonts w:hint="eastAsia" w:ascii="Times New Roman Uni" w:hAnsi="Times New Roman Uni" w:eastAsia="Times New Roman Uni" w:cs="Times New Roman Uni"/>
          <w:lang w:val="en-US" w:eastAsia="zh-CN"/>
        </w:rPr>
        <w:t>4</w:t>
      </w:r>
      <w:r>
        <w:rPr>
          <w:rFonts w:ascii="Times New Roman Uni" w:hAnsi="Times New Roman Uni" w:eastAsia="Times New Roman Uni" w:cs="Times New Roman Uni"/>
        </w:rPr>
        <w:t xml:space="preserve">: Dependence Domain, </w:t>
      </w:r>
    </w:p>
    <w:p w14:paraId="6975CA53">
      <w:pPr>
        <w:jc w:val="left"/>
        <w:rPr>
          <w:rFonts w:ascii="Times New Roman Uni" w:hAnsi="Times New Roman Uni" w:eastAsia="Times New Roman Uni" w:cs="Times New Roman Uni"/>
        </w:rPr>
      </w:pPr>
      <w:r>
        <w:rPr>
          <w:rFonts w:hint="eastAsia" w:ascii="Times New Roman Uni" w:hAnsi="Times New Roman Uni" w:eastAsia="Times New Roman Uni" w:cs="Times New Roman Uni"/>
          <w:lang w:val="en-US" w:eastAsia="zh-CN"/>
        </w:rPr>
        <w:t>5</w:t>
      </w:r>
      <w:r>
        <w:rPr>
          <w:rFonts w:ascii="Times New Roman Uni" w:hAnsi="Times New Roman Uni" w:eastAsia="Times New Roman Uni" w:cs="Times New Roman Uni"/>
        </w:rPr>
        <w:t xml:space="preserve">: Household Domain, </w:t>
      </w:r>
      <w:r>
        <w:rPr>
          <w:rFonts w:hint="eastAsia" w:ascii="Times New Roman Uni" w:hAnsi="Times New Roman Uni" w:eastAsia="Times New Roman Uni" w:cs="Times New Roman Uni"/>
          <w:lang w:val="en-US" w:eastAsia="zh-CN"/>
        </w:rPr>
        <w:t>6</w:t>
      </w:r>
      <w:r>
        <w:rPr>
          <w:rFonts w:ascii="Times New Roman Uni" w:hAnsi="Times New Roman Uni" w:eastAsia="Times New Roman Uni" w:cs="Times New Roman Uni"/>
        </w:rPr>
        <w:t xml:space="preserve">: Judgment </w:t>
      </w:r>
      <w:r>
        <w:rPr>
          <w:rFonts w:hint="eastAsia" w:ascii="Times New Roman Uni" w:hAnsi="Times New Roman Uni" w:eastAsia="Times New Roman Uni" w:cs="Times New Roman Uni"/>
        </w:rPr>
        <w:t xml:space="preserve">and problem-solving </w:t>
      </w:r>
      <w:r>
        <w:rPr>
          <w:rFonts w:ascii="Times New Roman Uni" w:hAnsi="Times New Roman Uni" w:eastAsia="Times New Roman Uni" w:cs="Times New Roman Uni"/>
        </w:rPr>
        <w:t xml:space="preserve">Domain, </w:t>
      </w:r>
      <w:r>
        <w:rPr>
          <w:rFonts w:hint="eastAsia" w:ascii="Times New Roman Uni" w:hAnsi="Times New Roman Uni" w:eastAsia="Times New Roman Uni" w:cs="Times New Roman Uni"/>
          <w:lang w:val="en-US" w:eastAsia="zh-CN"/>
        </w:rPr>
        <w:t>7</w:t>
      </w:r>
      <w:r>
        <w:rPr>
          <w:rFonts w:ascii="Times New Roman Uni" w:hAnsi="Times New Roman Uni" w:eastAsia="Times New Roman Uni" w:cs="Times New Roman Uni"/>
        </w:rPr>
        <w:t xml:space="preserve">: Orientation Domain, </w:t>
      </w:r>
    </w:p>
    <w:p w14:paraId="43646409">
      <w:pPr>
        <w:jc w:val="left"/>
        <w:rPr>
          <w:rFonts w:hint="eastAsia" w:ascii="Times New Roman Uni" w:hAnsi="Times New Roman Uni" w:eastAsia="Times New Roman Uni" w:cs="Times New Roman Uni"/>
        </w:rPr>
      </w:pPr>
      <w:r>
        <w:rPr>
          <w:rFonts w:hint="eastAsia" w:ascii="Times New Roman Uni" w:hAnsi="Times New Roman Uni" w:eastAsia="Times New Roman Uni" w:cs="Times New Roman Uni"/>
          <w:lang w:val="en-US" w:eastAsia="zh-CN"/>
        </w:rPr>
        <w:t>8</w:t>
      </w:r>
      <w:r>
        <w:rPr>
          <w:rFonts w:ascii="Times New Roman Uni" w:hAnsi="Times New Roman Uni" w:eastAsia="Times New Roman Uni" w:cs="Times New Roman Uni"/>
        </w:rPr>
        <w:t xml:space="preserve">: Memory Domain, </w:t>
      </w:r>
      <w:r>
        <w:rPr>
          <w:rFonts w:hint="eastAsia" w:ascii="Times New Roman Uni" w:hAnsi="Times New Roman Uni" w:eastAsia="Times New Roman Uni" w:cs="Times New Roman Uni"/>
          <w:lang w:val="en-US" w:eastAsia="zh-CN"/>
        </w:rPr>
        <w:t>9</w:t>
      </w:r>
      <w:r>
        <w:rPr>
          <w:rFonts w:ascii="Times New Roman Uni" w:hAnsi="Times New Roman Uni" w:eastAsia="Times New Roman Uni" w:cs="Times New Roman Uni"/>
        </w:rPr>
        <w:t>: Community Domain.</w:t>
      </w:r>
    </w:p>
    <w:p w14:paraId="7D5E8E99">
      <w:pPr>
        <w:rPr>
          <w:rFonts w:hint="eastAsia" w:ascii="Times New Roman Uni" w:hAnsi="Times New Roman Uni" w:eastAsia="Times New Roman Uni" w:cs="Times New Roman Uni"/>
        </w:rPr>
      </w:pPr>
      <w:r>
        <w:rPr>
          <w:rFonts w:ascii="Times New Roman Uni" w:hAnsi="Times New Roman Uni" w:eastAsia="Times New Roman Uni" w:cs="Times New Roman Uni"/>
        </w:rPr>
        <w:t xml:space="preserve">Fig S1A: Centrality indices of the network. </w:t>
      </w:r>
      <w:r>
        <w:rPr>
          <w:rFonts w:hint="eastAsia" w:ascii="Times New Roman Uni" w:hAnsi="Times New Roman Uni" w:eastAsia="Times New Roman Uni" w:cs="Times New Roman Uni"/>
        </w:rPr>
        <w:t xml:space="preserve">Orange </w:t>
      </w:r>
      <w:r>
        <w:rPr>
          <w:rFonts w:ascii="Times New Roman Uni" w:hAnsi="Times New Roman Uni" w:eastAsia="Times New Roman Uni" w:cs="Times New Roman Uni"/>
        </w:rPr>
        <w:t xml:space="preserve">nodes represent </w:t>
      </w:r>
      <w:r>
        <w:rPr>
          <w:rFonts w:hint="eastAsia" w:ascii="Times New Roman Uni" w:hAnsi="Times New Roman Uni" w:eastAsia="Times New Roman Uni" w:cs="Times New Roman Uni"/>
        </w:rPr>
        <w:t>general populations</w:t>
      </w:r>
      <w:r>
        <w:rPr>
          <w:rFonts w:ascii="Times New Roman Uni" w:hAnsi="Times New Roman Uni" w:eastAsia="Times New Roman Uni" w:cs="Times New Roman Uni"/>
        </w:rPr>
        <w:t xml:space="preserve">, </w:t>
      </w:r>
      <w:r>
        <w:rPr>
          <w:rFonts w:hint="eastAsia" w:ascii="Times New Roman Uni" w:hAnsi="Times New Roman Uni" w:eastAsia="Times New Roman Uni" w:cs="Times New Roman Uni"/>
        </w:rPr>
        <w:t>green</w:t>
      </w:r>
      <w:r>
        <w:rPr>
          <w:rFonts w:ascii="Times New Roman Uni" w:hAnsi="Times New Roman Uni" w:eastAsia="Times New Roman Uni" w:cs="Times New Roman Uni"/>
        </w:rPr>
        <w:t xml:space="preserve"> nodes represent individuals without dementia, and blue nodes represent mild dementia patients. Node strength indicates the centrality within the entire network.</w:t>
      </w:r>
    </w:p>
    <w:p w14:paraId="2F9181EA">
      <w:pPr>
        <w:rPr>
          <w:rFonts w:hint="eastAsia" w:ascii="Times New Roman Uni" w:hAnsi="Times New Roman Uni" w:eastAsia="Times New Roman Uni" w:cs="Times New Roman Uni"/>
        </w:rPr>
      </w:pPr>
      <w:r>
        <w:rPr>
          <w:rFonts w:ascii="Times New Roman Uni" w:hAnsi="Times New Roman Uni" w:eastAsia="Times New Roman Uni" w:cs="Times New Roman Uni"/>
        </w:rPr>
        <w:t>Fig S1B-</w:t>
      </w:r>
      <w:r>
        <w:rPr>
          <w:rFonts w:hint="eastAsia" w:ascii="Times New Roman Uni" w:hAnsi="Times New Roman Uni" w:eastAsia="Times New Roman Uni" w:cs="Times New Roman Uni"/>
        </w:rPr>
        <w:t>D</w:t>
      </w:r>
      <w:r>
        <w:rPr>
          <w:rFonts w:ascii="Times New Roman Uni" w:hAnsi="Times New Roman Uni" w:eastAsia="Times New Roman Uni" w:cs="Times New Roman Uni"/>
        </w:rPr>
        <w:t xml:space="preserve">: Stability of centrality indices assessed via case-drop bootstrapping. Fig S1B shows stability for </w:t>
      </w:r>
      <w:r>
        <w:rPr>
          <w:rFonts w:hint="eastAsia" w:ascii="Times New Roman Uni" w:hAnsi="Times New Roman Uni" w:eastAsia="Times New Roman Uni" w:cs="Times New Roman Uni"/>
        </w:rPr>
        <w:t xml:space="preserve">general populations; </w:t>
      </w:r>
      <w:r>
        <w:rPr>
          <w:rFonts w:ascii="Times New Roman Uni" w:hAnsi="Times New Roman Uni" w:eastAsia="Times New Roman Uni" w:cs="Times New Roman Uni"/>
        </w:rPr>
        <w:t>Fig S1</w:t>
      </w:r>
      <w:r>
        <w:rPr>
          <w:rFonts w:hint="eastAsia" w:ascii="Times New Roman Uni" w:hAnsi="Times New Roman Uni" w:eastAsia="Times New Roman Uni" w:cs="Times New Roman Uni"/>
        </w:rPr>
        <w:t>C</w:t>
      </w:r>
      <w:r>
        <w:rPr>
          <w:rFonts w:ascii="Times New Roman Uni" w:hAnsi="Times New Roman Uni" w:eastAsia="Times New Roman Uni" w:cs="Times New Roman Uni"/>
        </w:rPr>
        <w:t xml:space="preserve"> shows stability for individuals without dementia; Fig S1</w:t>
      </w:r>
      <w:r>
        <w:rPr>
          <w:rFonts w:hint="eastAsia" w:ascii="Times New Roman Uni" w:hAnsi="Times New Roman Uni" w:eastAsia="Times New Roman Uni" w:cs="Times New Roman Uni"/>
        </w:rPr>
        <w:t>D</w:t>
      </w:r>
      <w:r>
        <w:rPr>
          <w:rFonts w:ascii="Times New Roman Uni" w:hAnsi="Times New Roman Uni" w:eastAsia="Times New Roman Uni" w:cs="Times New Roman Uni"/>
        </w:rPr>
        <w:t xml:space="preserve"> </w:t>
      </w:r>
      <w:r>
        <w:rPr>
          <w:rFonts w:hint="eastAsia" w:ascii="Times New Roman Uni" w:hAnsi="Times New Roman Uni" w:eastAsia="Times New Roman Uni" w:cs="Times New Roman Uni"/>
        </w:rPr>
        <w:t xml:space="preserve">is the </w:t>
      </w:r>
      <w:r>
        <w:rPr>
          <w:rFonts w:ascii="Times New Roman Uni" w:hAnsi="Times New Roman Uni" w:eastAsia="Times New Roman Uni" w:cs="Times New Roman Uni"/>
        </w:rPr>
        <w:t>stability</w:t>
      </w:r>
      <w:r>
        <w:rPr>
          <w:rFonts w:hint="eastAsia" w:ascii="Times New Roman Uni" w:hAnsi="Times New Roman Uni" w:eastAsia="Times New Roman Uni" w:cs="Times New Roman Uni"/>
        </w:rPr>
        <w:t xml:space="preserve"> of</w:t>
      </w:r>
      <w:r>
        <w:rPr>
          <w:rFonts w:ascii="Times New Roman Uni" w:hAnsi="Times New Roman Uni" w:eastAsia="Times New Roman Uni" w:cs="Times New Roman Uni"/>
        </w:rPr>
        <w:t xml:space="preserve"> mild dementia patients.</w:t>
      </w:r>
    </w:p>
    <w:p w14:paraId="7C31AB12">
      <w:pPr>
        <w:rPr>
          <w:rFonts w:hint="eastAsia" w:ascii="Times New Roman Uni" w:hAnsi="Times New Roman Uni" w:eastAsia="Times New Roman Uni" w:cs="Times New Roman Uni"/>
        </w:rPr>
      </w:pPr>
      <w:r>
        <w:rPr>
          <w:rFonts w:ascii="Times New Roman Uni" w:hAnsi="Times New Roman Uni" w:eastAsia="Times New Roman Uni" w:cs="Times New Roman Uni"/>
        </w:rPr>
        <w:t>Fig S1</w:t>
      </w:r>
      <w:r>
        <w:rPr>
          <w:rFonts w:hint="eastAsia" w:ascii="Times New Roman Uni" w:hAnsi="Times New Roman Uni" w:eastAsia="Times New Roman Uni" w:cs="Times New Roman Uni"/>
        </w:rPr>
        <w:t xml:space="preserve">E-G: </w:t>
      </w:r>
      <w:r>
        <w:rPr>
          <w:rFonts w:ascii="Times New Roman Uni" w:hAnsi="Times New Roman Uni" w:eastAsia="Times New Roman Uni" w:cs="Times New Roman Uni"/>
        </w:rPr>
        <w:t>Non-parametric bootstrapping tests for strength differences. Black squares denote significant differences between edge weights, and the gray grid indicates no significant difference.</w:t>
      </w:r>
      <w:r>
        <w:rPr>
          <w:rFonts w:hint="eastAsia" w:ascii="Times New Roman Uni" w:hAnsi="Times New Roman Uni" w:eastAsia="Times New Roman Uni" w:cs="Times New Roman Uni"/>
        </w:rPr>
        <w:t xml:space="preserve"> </w:t>
      </w:r>
      <w:r>
        <w:rPr>
          <w:rFonts w:ascii="Times New Roman Uni" w:hAnsi="Times New Roman Uni" w:eastAsia="Times New Roman Uni" w:cs="Times New Roman Uni"/>
        </w:rPr>
        <w:t>Fig S1</w:t>
      </w:r>
      <w:r>
        <w:rPr>
          <w:rFonts w:hint="eastAsia" w:ascii="Times New Roman Uni" w:hAnsi="Times New Roman Uni" w:eastAsia="Times New Roman Uni" w:cs="Times New Roman Uni"/>
        </w:rPr>
        <w:t>D</w:t>
      </w:r>
      <w:r>
        <w:rPr>
          <w:rFonts w:ascii="Times New Roman Uni" w:hAnsi="Times New Roman Uni" w:eastAsia="Times New Roman Uni" w:cs="Times New Roman Uni"/>
        </w:rPr>
        <w:t xml:space="preserve"> is the result of the strength difference test </w:t>
      </w:r>
      <w:r>
        <w:rPr>
          <w:rFonts w:hint="eastAsia" w:ascii="Times New Roman Uni" w:hAnsi="Times New Roman Uni" w:eastAsia="Times New Roman Uni" w:cs="Times New Roman Uni"/>
        </w:rPr>
        <w:t xml:space="preserve">of general populations, </w:t>
      </w:r>
      <w:r>
        <w:rPr>
          <w:rFonts w:ascii="Times New Roman Uni" w:hAnsi="Times New Roman Uni" w:eastAsia="Times New Roman Uni" w:cs="Times New Roman Uni"/>
        </w:rPr>
        <w:t>Fig S1</w:t>
      </w:r>
      <w:r>
        <w:rPr>
          <w:rFonts w:hint="eastAsia" w:ascii="Times New Roman Uni" w:hAnsi="Times New Roman Uni" w:eastAsia="Times New Roman Uni" w:cs="Times New Roman Uni"/>
        </w:rPr>
        <w:t>E</w:t>
      </w:r>
      <w:r>
        <w:rPr>
          <w:rFonts w:ascii="Times New Roman Uni" w:hAnsi="Times New Roman Uni" w:eastAsia="Times New Roman Uni" w:cs="Times New Roman Uni"/>
        </w:rPr>
        <w:t xml:space="preserve"> is the result of </w:t>
      </w:r>
      <w:r>
        <w:rPr>
          <w:rFonts w:hint="eastAsia" w:ascii="Times New Roman Uni" w:hAnsi="Times New Roman Uni" w:eastAsia="Times New Roman Uni" w:cs="Times New Roman Uni"/>
        </w:rPr>
        <w:t>individuals without dementia</w:t>
      </w:r>
      <w:r>
        <w:rPr>
          <w:rFonts w:ascii="Times New Roman Uni" w:hAnsi="Times New Roman Uni" w:eastAsia="Times New Roman Uni" w:cs="Times New Roman Uni"/>
        </w:rPr>
        <w:t>, and Fig S1</w:t>
      </w:r>
      <w:r>
        <w:rPr>
          <w:rFonts w:hint="eastAsia" w:ascii="Times New Roman Uni" w:hAnsi="Times New Roman Uni" w:eastAsia="Times New Roman Uni" w:cs="Times New Roman Uni"/>
        </w:rPr>
        <w:t>F</w:t>
      </w:r>
      <w:r>
        <w:rPr>
          <w:rFonts w:ascii="Times New Roman Uni" w:hAnsi="Times New Roman Uni" w:eastAsia="Times New Roman Uni" w:cs="Times New Roman Uni"/>
        </w:rPr>
        <w:t xml:space="preserve"> is the result </w:t>
      </w:r>
      <w:r>
        <w:rPr>
          <w:rFonts w:hint="eastAsia" w:ascii="Times New Roman Uni" w:hAnsi="Times New Roman Uni" w:eastAsia="Times New Roman Uni" w:cs="Times New Roman Uni"/>
        </w:rPr>
        <w:t>of mild dementia patients.</w:t>
      </w:r>
    </w:p>
    <w:p w14:paraId="187CD32B">
      <w:pPr>
        <w:rPr>
          <w:rFonts w:hint="eastAsia" w:ascii="Times New Roman Uni" w:hAnsi="Times New Roman Uni" w:eastAsia="Times New Roman Uni" w:cs="Times New Roman Uni"/>
        </w:rPr>
      </w:pPr>
      <w:r>
        <w:rPr>
          <w:rFonts w:ascii="Times New Roman Uni" w:hAnsi="Times New Roman Uni" w:eastAsia="Times New Roman Uni" w:cs="Times New Roman Uni"/>
        </w:rPr>
        <w:t xml:space="preserve">Fig </w:t>
      </w:r>
      <w:r>
        <w:rPr>
          <w:rFonts w:hint="eastAsia" w:ascii="Times New Roman Uni" w:hAnsi="Times New Roman Uni" w:eastAsia="Times New Roman Uni" w:cs="Times New Roman Uni"/>
        </w:rPr>
        <w:t xml:space="preserve">S1H-J: </w:t>
      </w:r>
      <w:r>
        <w:rPr>
          <w:rFonts w:ascii="Times New Roman Uni" w:hAnsi="Times New Roman Uni" w:eastAsia="Times New Roman Uni" w:cs="Times New Roman Uni"/>
        </w:rPr>
        <w:t>Accuracy of edge weights evaluated by non-parametric bootstrapping. S1</w:t>
      </w:r>
      <w:r>
        <w:rPr>
          <w:rFonts w:hint="eastAsia" w:ascii="Times New Roman Uni" w:hAnsi="Times New Roman Uni" w:eastAsia="Times New Roman Uni" w:cs="Times New Roman Uni"/>
        </w:rPr>
        <w:t>H</w:t>
      </w:r>
      <w:r>
        <w:rPr>
          <w:rFonts w:ascii="Times New Roman Uni" w:hAnsi="Times New Roman Uni" w:eastAsia="Times New Roman Uni" w:cs="Times New Roman Uni"/>
        </w:rPr>
        <w:t xml:space="preserve"> presents </w:t>
      </w:r>
      <w:r>
        <w:rPr>
          <w:rFonts w:hint="eastAsia" w:ascii="Times New Roman Uni" w:hAnsi="Times New Roman Uni" w:eastAsia="Times New Roman Uni" w:cs="Times New Roman Uni"/>
        </w:rPr>
        <w:t xml:space="preserve">the </w:t>
      </w:r>
      <w:r>
        <w:rPr>
          <w:rFonts w:ascii="Times New Roman Uni" w:hAnsi="Times New Roman Uni" w:eastAsia="Times New Roman Uni" w:cs="Times New Roman Uni"/>
        </w:rPr>
        <w:t>result</w:t>
      </w:r>
      <w:r>
        <w:rPr>
          <w:rFonts w:hint="eastAsia" w:ascii="Times New Roman Uni" w:hAnsi="Times New Roman Uni" w:eastAsia="Times New Roman Uni" w:cs="Times New Roman Uni"/>
        </w:rPr>
        <w:t xml:space="preserve"> of </w:t>
      </w:r>
      <w:r>
        <w:rPr>
          <w:rFonts w:ascii="Times New Roman Uni" w:hAnsi="Times New Roman Uni" w:eastAsia="Times New Roman Uni" w:cs="Times New Roman Uni"/>
        </w:rPr>
        <w:t xml:space="preserve">accuracy for </w:t>
      </w:r>
      <w:r>
        <w:rPr>
          <w:rFonts w:hint="eastAsia" w:ascii="Times New Roman Uni" w:hAnsi="Times New Roman Uni" w:eastAsia="Times New Roman Uni" w:cs="Times New Roman Uni"/>
        </w:rPr>
        <w:t>general populations,</w:t>
      </w:r>
      <w:r>
        <w:rPr>
          <w:rFonts w:ascii="Times New Roman Uni" w:hAnsi="Times New Roman Uni" w:eastAsia="Times New Roman Uni" w:cs="Times New Roman Uni"/>
        </w:rPr>
        <w:t xml:space="preserve"> S1</w:t>
      </w:r>
      <w:r>
        <w:rPr>
          <w:rFonts w:hint="eastAsia" w:ascii="Times New Roman Uni" w:hAnsi="Times New Roman Uni" w:eastAsia="Times New Roman Uni" w:cs="Times New Roman Uni"/>
        </w:rPr>
        <w:t>I</w:t>
      </w:r>
      <w:r>
        <w:rPr>
          <w:rFonts w:ascii="Times New Roman Uni" w:hAnsi="Times New Roman Uni" w:eastAsia="Times New Roman Uni" w:cs="Times New Roman Uni"/>
        </w:rPr>
        <w:t xml:space="preserve"> presents </w:t>
      </w:r>
      <w:r>
        <w:rPr>
          <w:rFonts w:hint="eastAsia" w:ascii="Times New Roman Uni" w:hAnsi="Times New Roman Uni" w:eastAsia="Times New Roman Uni" w:cs="Times New Roman Uni"/>
        </w:rPr>
        <w:t xml:space="preserve">the </w:t>
      </w:r>
      <w:r>
        <w:rPr>
          <w:rFonts w:ascii="Times New Roman Uni" w:hAnsi="Times New Roman Uni" w:eastAsia="Times New Roman Uni" w:cs="Times New Roman Uni"/>
        </w:rPr>
        <w:t>result</w:t>
      </w:r>
      <w:r>
        <w:rPr>
          <w:rFonts w:hint="eastAsia" w:ascii="Times New Roman Uni" w:hAnsi="Times New Roman Uni" w:eastAsia="Times New Roman Uni" w:cs="Times New Roman Uni"/>
        </w:rPr>
        <w:t xml:space="preserve"> of </w:t>
      </w:r>
      <w:r>
        <w:rPr>
          <w:rFonts w:ascii="Times New Roman Uni" w:hAnsi="Times New Roman Uni" w:eastAsia="Times New Roman Uni" w:cs="Times New Roman Uni"/>
        </w:rPr>
        <w:t xml:space="preserve">accuracy for </w:t>
      </w:r>
      <w:r>
        <w:rPr>
          <w:rFonts w:hint="eastAsia" w:ascii="Times New Roman Uni" w:hAnsi="Times New Roman Uni" w:eastAsia="Times New Roman Uni" w:cs="Times New Roman Uni"/>
        </w:rPr>
        <w:t>individuals without dementia,</w:t>
      </w:r>
      <w:r>
        <w:rPr>
          <w:rFonts w:ascii="Times New Roman Uni" w:hAnsi="Times New Roman Uni" w:eastAsia="Times New Roman Uni" w:cs="Times New Roman Uni"/>
        </w:rPr>
        <w:t xml:space="preserve"> and Fig S1</w:t>
      </w:r>
      <w:r>
        <w:rPr>
          <w:rFonts w:hint="eastAsia" w:ascii="Times New Roman Uni" w:hAnsi="Times New Roman Uni" w:eastAsia="Times New Roman Uni" w:cs="Times New Roman Uni"/>
        </w:rPr>
        <w:t>J</w:t>
      </w:r>
      <w:r>
        <w:rPr>
          <w:rFonts w:ascii="Times New Roman Uni" w:hAnsi="Times New Roman Uni" w:eastAsia="Times New Roman Uni" w:cs="Times New Roman Uni"/>
        </w:rPr>
        <w:t xml:space="preserve"> is the result </w:t>
      </w:r>
      <w:r>
        <w:rPr>
          <w:rFonts w:hint="eastAsia" w:ascii="Times New Roman Uni" w:hAnsi="Times New Roman Uni" w:eastAsia="Times New Roman Uni" w:cs="Times New Roman Uni"/>
        </w:rPr>
        <w:t xml:space="preserve">of </w:t>
      </w:r>
      <w:r>
        <w:rPr>
          <w:rFonts w:ascii="Times New Roman Uni" w:hAnsi="Times New Roman Uni" w:eastAsia="Times New Roman Uni" w:cs="Times New Roman Uni"/>
        </w:rPr>
        <w:t>mild dementia patients</w:t>
      </w:r>
      <w:r>
        <w:rPr>
          <w:rFonts w:hint="eastAsia" w:ascii="Times New Roman Uni" w:hAnsi="Times New Roman Uni" w:eastAsia="Times New Roman Uni" w:cs="Times New Roman Uni"/>
        </w:rPr>
        <w:t>.</w:t>
      </w:r>
    </w:p>
    <w:p w14:paraId="592F3AB9">
      <w:r>
        <w:rPr>
          <w:rFonts w:ascii="Times New Roman Uni" w:hAnsi="Times New Roman Uni" w:eastAsia="Times New Roman Uni" w:cs="Times New Roman Uni"/>
        </w:rPr>
        <w:t xml:space="preserve">Fig </w:t>
      </w:r>
      <w:r>
        <w:rPr>
          <w:rFonts w:hint="eastAsia" w:ascii="Times New Roman Uni" w:hAnsi="Times New Roman Uni" w:eastAsia="Times New Roman Uni" w:cs="Times New Roman Uni"/>
        </w:rPr>
        <w:t xml:space="preserve">S1K-M: </w:t>
      </w:r>
      <w:r>
        <w:rPr>
          <w:rFonts w:ascii="Times New Roman Uni" w:hAnsi="Times New Roman Uni" w:eastAsia="Times New Roman Uni" w:cs="Times New Roman Uni"/>
        </w:rPr>
        <w:t>Edge difference tests using non-parametric bootstrapping. Black squares signal significant differences between edge weights, and the gray grid indicates no significant difference. Fig S1</w:t>
      </w:r>
      <w:r>
        <w:rPr>
          <w:rFonts w:hint="eastAsia" w:ascii="Times New Roman Uni" w:hAnsi="Times New Roman Uni" w:eastAsia="Times New Roman Uni" w:cs="Times New Roman Uni"/>
        </w:rPr>
        <w:t>K</w:t>
      </w:r>
      <w:r>
        <w:rPr>
          <w:rFonts w:ascii="Times New Roman Uni" w:hAnsi="Times New Roman Uni" w:eastAsia="Times New Roman Uni" w:cs="Times New Roman Uni"/>
        </w:rPr>
        <w:t xml:space="preserve"> is the result of the edge difference test of </w:t>
      </w:r>
      <w:r>
        <w:rPr>
          <w:rFonts w:hint="eastAsia" w:ascii="Times New Roman Uni" w:hAnsi="Times New Roman Uni" w:eastAsia="Times New Roman Uni" w:cs="Times New Roman Uni"/>
        </w:rPr>
        <w:t>general populations</w:t>
      </w:r>
      <w:r>
        <w:rPr>
          <w:rFonts w:ascii="Times New Roman Uni" w:hAnsi="Times New Roman Uni" w:eastAsia="Times New Roman Uni" w:cs="Times New Roman Uni"/>
        </w:rPr>
        <w:t>,</w:t>
      </w:r>
      <w:r>
        <w:rPr>
          <w:rFonts w:hint="eastAsia" w:ascii="Times New Roman Uni" w:hAnsi="Times New Roman Uni" w:eastAsia="Times New Roman Uni" w:cs="Times New Roman Uni"/>
        </w:rPr>
        <w:t xml:space="preserve"> </w:t>
      </w:r>
      <w:r>
        <w:rPr>
          <w:rFonts w:ascii="Times New Roman Uni" w:hAnsi="Times New Roman Uni" w:eastAsia="Times New Roman Uni" w:cs="Times New Roman Uni"/>
        </w:rPr>
        <w:t>Fig S1</w:t>
      </w:r>
      <w:r>
        <w:rPr>
          <w:rFonts w:hint="eastAsia" w:ascii="Times New Roman Uni" w:hAnsi="Times New Roman Uni" w:eastAsia="Times New Roman Uni" w:cs="Times New Roman Uni"/>
        </w:rPr>
        <w:t>L</w:t>
      </w:r>
      <w:r>
        <w:rPr>
          <w:rFonts w:ascii="Times New Roman Uni" w:hAnsi="Times New Roman Uni" w:eastAsia="Times New Roman Uni" w:cs="Times New Roman Uni"/>
        </w:rPr>
        <w:t xml:space="preserve"> is the result of individuals without dementia, and Fig S1</w:t>
      </w:r>
      <w:r>
        <w:rPr>
          <w:rFonts w:hint="eastAsia" w:ascii="Times New Roman Uni" w:hAnsi="Times New Roman Uni" w:eastAsia="Times New Roman Uni" w:cs="Times New Roman Uni"/>
        </w:rPr>
        <w:t>M</w:t>
      </w:r>
      <w:r>
        <w:rPr>
          <w:rFonts w:ascii="Times New Roman Uni" w:hAnsi="Times New Roman Uni" w:eastAsia="Times New Roman Uni" w:cs="Times New Roman Uni"/>
        </w:rPr>
        <w:t xml:space="preserve"> is the result of mild dementia patients.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Uni">
    <w:panose1 w:val="02020603050405020304"/>
    <w:charset w:val="86"/>
    <w:family w:val="roman"/>
    <w:pitch w:val="default"/>
    <w:sig w:usb0="B334AAFF" w:usb1="F9FFFFFF" w:usb2="0000003E" w:usb3="00000000" w:csb0="601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3ZDA4ZjY0YzYxYTgxMTI0YmZlY2EzYzQ1NjZmODMifQ=="/>
  </w:docVars>
  <w:rsids>
    <w:rsidRoot w:val="07833EFF"/>
    <w:rsid w:val="07833EFF"/>
    <w:rsid w:val="07CA4C73"/>
    <w:rsid w:val="09313207"/>
    <w:rsid w:val="17F43647"/>
    <w:rsid w:val="20D71C95"/>
    <w:rsid w:val="2492046F"/>
    <w:rsid w:val="265D16AC"/>
    <w:rsid w:val="38FE0DAD"/>
    <w:rsid w:val="5B2A2BD4"/>
    <w:rsid w:val="6384309D"/>
    <w:rsid w:val="642B176B"/>
    <w:rsid w:val="67087B42"/>
    <w:rsid w:val="6AD761A9"/>
    <w:rsid w:val="6CD9503C"/>
    <w:rsid w:val="704911DC"/>
    <w:rsid w:val="776668EA"/>
    <w:rsid w:val="78AD7B0B"/>
    <w:rsid w:val="7A37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258</Words>
  <Characters>1533</Characters>
  <Lines>0</Lines>
  <Paragraphs>0</Paragraphs>
  <TotalTime>0</TotalTime>
  <ScaleCrop>false</ScaleCrop>
  <LinksUpToDate>false</LinksUpToDate>
  <CharactersWithSpaces>1782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2024-08-22T06:11:00Z</dcterms:created>
  <dc:creator>田小翊</dc:creator>
  <cp:lastModifiedBy>田小翊</cp:lastModifiedBy>
  <dcterms:modified xsi:type="dcterms:W3CDTF">2025-06-03T02:12:32Z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5E0FEC2015D245B98EF0E90EAFA17320_13</vt:lpwstr>
  </property>
  <property fmtid="{D5CDD505-2E9C-101B-9397-08002B2CF9AE}" pid="4" name="KSOTemplateDocerSaveRecord">
    <vt:lpwstr>eyJoZGlkIjoiNjQyMjY2MDAwNjBlNDliM2I5ZDZjYzU2ODFiMjYyMWYiLCJ1c2VySWQiOiIyMzcwMjI1ODcifQ==</vt:lpwstr>
  </property>
</Properties>
</file>