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3A01" w14:textId="061773B6" w:rsidR="00DC2A22" w:rsidRDefault="00303FA4" w:rsidP="00303FA4">
      <w:pPr>
        <w:pStyle w:val="Heading1"/>
        <w:rPr>
          <w:lang w:val="en-US"/>
        </w:rPr>
      </w:pPr>
      <w:r w:rsidRPr="00303FA4">
        <w:rPr>
          <w:lang w:val="en-US"/>
        </w:rPr>
        <w:t xml:space="preserve">Code book </w:t>
      </w:r>
    </w:p>
    <w:p w14:paraId="08A3248A" w14:textId="77777777" w:rsidR="00303FA4" w:rsidRDefault="00303FA4" w:rsidP="00303FA4">
      <w:pPr>
        <w:rPr>
          <w:lang w:val="en-US"/>
        </w:rPr>
      </w:pPr>
    </w:p>
    <w:p w14:paraId="61EFE57E" w14:textId="77777777" w:rsidR="00303FA4" w:rsidRPr="00303FA4" w:rsidRDefault="00303FA4" w:rsidP="00303FA4">
      <w:pPr>
        <w:rPr>
          <w:b/>
          <w:bCs/>
          <w:lang w:val="en-US"/>
        </w:rPr>
      </w:pPr>
      <w:r w:rsidRPr="00303FA4">
        <w:rPr>
          <w:b/>
          <w:bCs/>
          <w:lang w:val="en-US"/>
        </w:rPr>
        <w:t>Organizational prerequisites</w:t>
      </w:r>
    </w:p>
    <w:p w14:paraId="4B43F0A9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Factors related to institutional support, staffing, and structural conditions that affect implementation.</w:t>
      </w:r>
    </w:p>
    <w:p w14:paraId="08744DBA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Facilitators: Organizational commitment, continuity in care, and structured tools.</w:t>
      </w:r>
    </w:p>
    <w:p w14:paraId="70D6933D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Barriers: Unclear responsibilities, short-term admissions, understaffing, and lack of guidelines.</w:t>
      </w:r>
    </w:p>
    <w:p w14:paraId="72DB6D9D" w14:textId="77777777" w:rsidR="00303FA4" w:rsidRPr="00303FA4" w:rsidRDefault="00303FA4" w:rsidP="00303FA4">
      <w:pPr>
        <w:rPr>
          <w:lang w:val="en-US"/>
        </w:rPr>
      </w:pPr>
    </w:p>
    <w:p w14:paraId="670913F2" w14:textId="77777777" w:rsidR="00303FA4" w:rsidRPr="00303FA4" w:rsidRDefault="00303FA4" w:rsidP="00303FA4">
      <w:pPr>
        <w:rPr>
          <w:b/>
          <w:bCs/>
          <w:lang w:val="en-US"/>
        </w:rPr>
      </w:pPr>
      <w:r w:rsidRPr="00303FA4">
        <w:rPr>
          <w:b/>
          <w:bCs/>
          <w:lang w:val="en-US"/>
        </w:rPr>
        <w:t>Knowledge of palliative care</w:t>
      </w:r>
    </w:p>
    <w:p w14:paraId="624F2B1D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Healthcare professionals' understanding and competence in palliative care principles and practices.</w:t>
      </w:r>
    </w:p>
    <w:p w14:paraId="1235EF93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Facilitators: Shared understanding, adequate symptom management knowledge, and educational initiatives.</w:t>
      </w:r>
    </w:p>
    <w:p w14:paraId="3A348D6E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Barriers: Disparities in knowledge, insufficient training, and lack of preparedness.</w:t>
      </w:r>
    </w:p>
    <w:p w14:paraId="0D228331" w14:textId="77777777" w:rsidR="00303FA4" w:rsidRPr="00303FA4" w:rsidRDefault="00303FA4" w:rsidP="00303FA4">
      <w:pPr>
        <w:rPr>
          <w:lang w:val="en-US"/>
        </w:rPr>
      </w:pPr>
    </w:p>
    <w:p w14:paraId="000F9432" w14:textId="77777777" w:rsidR="00303FA4" w:rsidRPr="00303FA4" w:rsidRDefault="00303FA4" w:rsidP="00303FA4">
      <w:pPr>
        <w:rPr>
          <w:b/>
          <w:bCs/>
          <w:lang w:val="en-US"/>
        </w:rPr>
      </w:pPr>
      <w:r w:rsidRPr="00303FA4">
        <w:rPr>
          <w:b/>
          <w:bCs/>
          <w:lang w:val="en-US"/>
        </w:rPr>
        <w:t>Teamwork</w:t>
      </w:r>
    </w:p>
    <w:p w14:paraId="70B4E7C7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The dynamics of collaboration and shared responsibilities among interprofessional team members.</w:t>
      </w:r>
    </w:p>
    <w:p w14:paraId="672C9E2D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Facilitators: Shared goals, improved coordination, and continuity in care.</w:t>
      </w:r>
    </w:p>
    <w:p w14:paraId="35BD0694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Barriers: Fragmented collaboration, unclear roles, and differing expectations.</w:t>
      </w:r>
    </w:p>
    <w:p w14:paraId="2FB23AA0" w14:textId="77777777" w:rsidR="00303FA4" w:rsidRPr="00303FA4" w:rsidRDefault="00303FA4" w:rsidP="00303FA4">
      <w:pPr>
        <w:rPr>
          <w:lang w:val="en-US"/>
        </w:rPr>
      </w:pPr>
    </w:p>
    <w:p w14:paraId="637FE450" w14:textId="77777777" w:rsidR="00303FA4" w:rsidRPr="00303FA4" w:rsidRDefault="00303FA4" w:rsidP="00303FA4">
      <w:pPr>
        <w:rPr>
          <w:b/>
          <w:bCs/>
          <w:lang w:val="en-US"/>
        </w:rPr>
      </w:pPr>
      <w:r w:rsidRPr="00303FA4">
        <w:rPr>
          <w:b/>
          <w:bCs/>
          <w:lang w:val="en-US"/>
        </w:rPr>
        <w:t>Communication</w:t>
      </w:r>
    </w:p>
    <w:p w14:paraId="3C66C93F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The quality and openness of interactions with patients and within the care team regarding palliative care topics.</w:t>
      </w:r>
    </w:p>
    <w:p w14:paraId="4E435D36" w14:textId="77777777" w:rsidR="00303FA4" w:rsidRPr="00303FA4" w:rsidRDefault="00303FA4" w:rsidP="00303FA4">
      <w:pPr>
        <w:rPr>
          <w:lang w:val="en-US"/>
        </w:rPr>
      </w:pPr>
      <w:r w:rsidRPr="00303FA4">
        <w:rPr>
          <w:lang w:val="en-US"/>
        </w:rPr>
        <w:t>Facilitators: Early discussions, open dialogue, and improved patient experience.</w:t>
      </w:r>
    </w:p>
    <w:p w14:paraId="7EC62551" w14:textId="095BCCF8" w:rsidR="00303FA4" w:rsidRDefault="00303FA4" w:rsidP="00303FA4">
      <w:pPr>
        <w:rPr>
          <w:lang w:val="en-US"/>
        </w:rPr>
      </w:pPr>
      <w:r w:rsidRPr="00303FA4">
        <w:rPr>
          <w:lang w:val="en-US"/>
        </w:rPr>
        <w:t>Barriers: Fear of discussing death, risk of overwhelming patients, and lack of clear communication routines.</w:t>
      </w:r>
    </w:p>
    <w:p w14:paraId="33BD7EBB" w14:textId="77777777" w:rsidR="00303FA4" w:rsidRDefault="00303FA4" w:rsidP="00303FA4">
      <w:pPr>
        <w:rPr>
          <w:lang w:val="en-US"/>
        </w:rPr>
      </w:pPr>
    </w:p>
    <w:p w14:paraId="128C675D" w14:textId="4FB838D1" w:rsidR="00303FA4" w:rsidRDefault="00303FA4" w:rsidP="00303FA4">
      <w:pPr>
        <w:pStyle w:val="Heading1"/>
        <w:rPr>
          <w:lang w:val="en-US"/>
        </w:rPr>
      </w:pPr>
      <w:r>
        <w:rPr>
          <w:lang w:val="en-US"/>
        </w:rPr>
        <w:lastRenderedPageBreak/>
        <w:t>C</w:t>
      </w:r>
      <w:r w:rsidRPr="00303FA4">
        <w:rPr>
          <w:lang w:val="en-US"/>
        </w:rPr>
        <w:t>oding form t</w:t>
      </w:r>
      <w:r>
        <w:rPr>
          <w:lang w:val="en-US"/>
        </w:rPr>
        <w:t>emplate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62"/>
        <w:gridCol w:w="1967"/>
        <w:gridCol w:w="1640"/>
        <w:gridCol w:w="1639"/>
        <w:gridCol w:w="1639"/>
      </w:tblGrid>
      <w:tr w:rsidR="00303FA4" w:rsidRPr="00303FA4" w14:paraId="1A791D04" w14:textId="67CA02D1" w:rsidTr="00303FA4">
        <w:trPr>
          <w:trHeight w:val="2281"/>
        </w:trPr>
        <w:tc>
          <w:tcPr>
            <w:tcW w:w="1962" w:type="dxa"/>
          </w:tcPr>
          <w:p w14:paraId="11605122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  <w:proofErr w:type="spellStart"/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Interview</w:t>
            </w:r>
            <w:proofErr w:type="spellEnd"/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 xml:space="preserve"> ID</w:t>
            </w:r>
          </w:p>
        </w:tc>
        <w:tc>
          <w:tcPr>
            <w:tcW w:w="1967" w:type="dxa"/>
          </w:tcPr>
          <w:p w14:paraId="37153AC7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  <w:proofErr w:type="spellStart"/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Theme</w:t>
            </w:r>
            <w:proofErr w:type="spellEnd"/>
          </w:p>
        </w:tc>
        <w:tc>
          <w:tcPr>
            <w:tcW w:w="1640" w:type="dxa"/>
          </w:tcPr>
          <w:p w14:paraId="447CAB53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  <w:proofErr w:type="spellStart"/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Presence</w:t>
            </w:r>
            <w:proofErr w:type="spellEnd"/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 xml:space="preserve"> (</w:t>
            </w:r>
            <w:proofErr w:type="spellStart"/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Yes</w:t>
            </w:r>
            <w:proofErr w:type="spellEnd"/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/No)</w:t>
            </w:r>
          </w:p>
        </w:tc>
        <w:tc>
          <w:tcPr>
            <w:tcW w:w="1639" w:type="dxa"/>
          </w:tcPr>
          <w:p w14:paraId="46CBD8F6" w14:textId="77777777" w:rsid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Valence (Positive/</w:t>
            </w:r>
          </w:p>
          <w:p w14:paraId="1B2046ED" w14:textId="77777777" w:rsid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Negative/</w:t>
            </w:r>
          </w:p>
          <w:p w14:paraId="7DC5707B" w14:textId="154F37E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  <w:r w:rsidRPr="00303FA4"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Neutral)</w:t>
            </w:r>
          </w:p>
        </w:tc>
        <w:tc>
          <w:tcPr>
            <w:tcW w:w="1639" w:type="dxa"/>
          </w:tcPr>
          <w:p w14:paraId="4BDAFA5F" w14:textId="76D9B6BA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  <w:r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  <w:t>Text</w:t>
            </w:r>
          </w:p>
        </w:tc>
      </w:tr>
      <w:tr w:rsidR="00303FA4" w:rsidRPr="00303FA4" w14:paraId="6EBB673B" w14:textId="2AC3DE50" w:rsidTr="00303FA4">
        <w:trPr>
          <w:trHeight w:val="558"/>
        </w:trPr>
        <w:tc>
          <w:tcPr>
            <w:tcW w:w="1962" w:type="dxa"/>
          </w:tcPr>
          <w:p w14:paraId="335ADF85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967" w:type="dxa"/>
          </w:tcPr>
          <w:p w14:paraId="403DCC94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</w:tcPr>
          <w:p w14:paraId="1DDE2CC0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39" w:type="dxa"/>
          </w:tcPr>
          <w:p w14:paraId="6F677333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39" w:type="dxa"/>
          </w:tcPr>
          <w:p w14:paraId="373467B3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</w:tr>
      <w:tr w:rsidR="00303FA4" w:rsidRPr="00303FA4" w14:paraId="4A0B7E50" w14:textId="707B0030" w:rsidTr="00303FA4">
        <w:trPr>
          <w:trHeight w:val="574"/>
        </w:trPr>
        <w:tc>
          <w:tcPr>
            <w:tcW w:w="1962" w:type="dxa"/>
          </w:tcPr>
          <w:p w14:paraId="26743E71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967" w:type="dxa"/>
          </w:tcPr>
          <w:p w14:paraId="548C4034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</w:tcPr>
          <w:p w14:paraId="2387EBDA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39" w:type="dxa"/>
          </w:tcPr>
          <w:p w14:paraId="306FBF52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39" w:type="dxa"/>
          </w:tcPr>
          <w:p w14:paraId="39C31A30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</w:tr>
      <w:tr w:rsidR="00303FA4" w:rsidRPr="00303FA4" w14:paraId="5EFCD170" w14:textId="0CD07AE2" w:rsidTr="00303FA4">
        <w:trPr>
          <w:trHeight w:val="558"/>
        </w:trPr>
        <w:tc>
          <w:tcPr>
            <w:tcW w:w="1962" w:type="dxa"/>
          </w:tcPr>
          <w:p w14:paraId="35F98E84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967" w:type="dxa"/>
          </w:tcPr>
          <w:p w14:paraId="41DD346C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</w:tcPr>
          <w:p w14:paraId="5E30DE3C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39" w:type="dxa"/>
          </w:tcPr>
          <w:p w14:paraId="13CA9D2F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  <w:tc>
          <w:tcPr>
            <w:tcW w:w="1639" w:type="dxa"/>
          </w:tcPr>
          <w:p w14:paraId="3506E29B" w14:textId="77777777" w:rsidR="00303FA4" w:rsidRPr="00303FA4" w:rsidRDefault="00303FA4" w:rsidP="00303FA4">
            <w:pPr>
              <w:spacing w:line="480" w:lineRule="auto"/>
              <w:rPr>
                <w:rFonts w:ascii="Times New Roman" w:eastAsia="Aptos" w:hAnsi="Times New Roman" w:cs="Arial"/>
                <w:kern w:val="0"/>
                <w:szCs w:val="22"/>
                <w14:ligatures w14:val="none"/>
              </w:rPr>
            </w:pPr>
          </w:p>
        </w:tc>
      </w:tr>
    </w:tbl>
    <w:p w14:paraId="6B9370DA" w14:textId="77777777" w:rsidR="00303FA4" w:rsidRPr="00303FA4" w:rsidRDefault="00303FA4" w:rsidP="00303FA4">
      <w:pPr>
        <w:rPr>
          <w:lang w:val="en-US"/>
        </w:rPr>
      </w:pPr>
    </w:p>
    <w:sectPr w:rsidR="00303FA4" w:rsidRPr="00303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A4"/>
    <w:rsid w:val="00117556"/>
    <w:rsid w:val="00303FA4"/>
    <w:rsid w:val="00BE1D36"/>
    <w:rsid w:val="00DC2A22"/>
    <w:rsid w:val="00FA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05966"/>
  <w15:chartTrackingRefBased/>
  <w15:docId w15:val="{17345232-E513-4CA8-8CDC-EAAA4E19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F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F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3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FA4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303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03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1168</Characters>
  <Application>Microsoft Office Word</Application>
  <DocSecurity>0</DocSecurity>
  <Lines>54</Lines>
  <Paragraphs>25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Marie-Louise Möllerberg</dc:creator>
  <cp:keywords/>
  <dc:description/>
  <cp:lastModifiedBy>Marie-Louise Möllerberg</cp:lastModifiedBy>
  <cp:revision>1</cp:revision>
  <dcterms:created xsi:type="dcterms:W3CDTF">2025-09-01T12:30:00Z</dcterms:created>
  <dcterms:modified xsi:type="dcterms:W3CDTF">2025-09-01T12:35:00Z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d6810ad4-0865-499f-b907-a0edf84f3130</vt:lpwstr>
  </property>
</Properties>
</file>