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cleaned_by_fortinet-->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1EB9A9" w14:textId="173DB54D" w:rsidR="00702F65" w:rsidRPr="006C2950" w:rsidRDefault="00834CD7">
      <w:pPr>
        <w:rPr>
          <w:rFonts w:ascii="Calibri" w:eastAsia="Calibri" w:hAnsi="Calibri" w:cs="Calibri"/>
          <w:bCs/>
        </w:rPr>
      </w:pPr>
      <w:r>
        <w:rPr>
          <w:rFonts w:ascii="Calibri" w:eastAsia="Calibri" w:hAnsi="Calibri" w:cs="Calibri"/>
          <w:b/>
          <w:color w:val="000000"/>
        </w:rPr>
        <w:t>SPIRIT 2025 checklist of items to address in a randomized trial protocol</w:t>
      </w:r>
      <w:r w:rsidR="006C2950" w:rsidRPr="00DB2CA8">
        <w:rPr>
          <w:rFonts w:ascii="Calibri" w:eastAsia="Calibri" w:hAnsi="Calibri" w:cs="Calibri"/>
          <w:bCs/>
          <w:color w:val="000000"/>
        </w:rPr>
        <w:t>*</w:t>
      </w:r>
    </w:p>
    <w:tbl>
      <w:tblPr>
        <w:tblStyle w:val="a0"/>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1260"/>
      </w:tblGrid>
      <w:tr w:rsidR="009F67E7" w14:paraId="14F2E775" w14:textId="0C205F3F" w:rsidTr="00E94F88">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1260"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E94F88">
        <w:trPr>
          <w:trHeight w:val="268"/>
        </w:trPr>
        <w:tc>
          <w:tcPr>
            <w:tcW w:w="1169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1260" w:type="dxa"/>
            <w:shd w:val="clear" w:color="auto" w:fill="B4C6E7"/>
          </w:tcPr>
          <w:p w14:paraId="1DB33C25" w14:textId="77777777" w:rsidR="009F67E7" w:rsidRDefault="009F67E7" w:rsidP="009F67E7">
            <w:pPr>
              <w:rPr>
                <w:rFonts w:ascii="Calibri" w:eastAsia="Calibri" w:hAnsi="Calibri" w:cs="Calibri"/>
                <w:b/>
                <w:sz w:val="20"/>
                <w:szCs w:val="20"/>
              </w:rPr>
            </w:pPr>
          </w:p>
        </w:tc>
      </w:tr>
      <w:tr w:rsidR="009F67E7" w14:paraId="6CC70222" w14:textId="00172BAA" w:rsidTr="00E94F88">
        <w:trPr>
          <w:trHeight w:val="276"/>
        </w:trPr>
        <w:tc>
          <w:tcPr>
            <w:tcW w:w="2405" w:type="dxa"/>
            <w:vMerge w:val="restart"/>
            <w:shd w:val="clear" w:color="auto" w:fill="auto"/>
          </w:tcPr>
          <w:p w14:paraId="4BBCA0D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shd w:val="clear" w:color="auto" w:fill="auto"/>
          </w:tcPr>
          <w:p w14:paraId="1E72A1D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1a</w:t>
            </w:r>
          </w:p>
        </w:tc>
        <w:tc>
          <w:tcPr>
            <w:tcW w:w="8723" w:type="dxa"/>
            <w:shd w:val="clear" w:color="auto" w:fill="auto"/>
          </w:tcPr>
          <w:p w14:paraId="2EB83B48" w14:textId="7AEADA72" w:rsidR="009F67E7" w:rsidRDefault="009F67E7" w:rsidP="009F67E7">
            <w:pPr>
              <w:rPr>
                <w:rFonts w:ascii="Calibri" w:eastAsia="Calibri" w:hAnsi="Calibri" w:cs="Calibri"/>
                <w:sz w:val="20"/>
                <w:szCs w:val="20"/>
              </w:rPr>
            </w:pPr>
            <w:r>
              <w:rPr>
                <w:rFonts w:ascii="Calibri" w:eastAsia="Calibri" w:hAnsi="Calibri" w:cs="Calibri"/>
                <w:sz w:val="20"/>
                <w:szCs w:val="20"/>
              </w:rPr>
              <w:t>Title stating the trial design, population, and interventions, with identification as a protocol</w:t>
            </w:r>
          </w:p>
        </w:tc>
        <w:tc>
          <w:tcPr>
            <w:tcW w:w="1260" w:type="dxa"/>
          </w:tcPr>
          <w:p w14:paraId="13F2D288" w14:textId="077B1561" w:rsidR="009F67E7" w:rsidRDefault="00CB6499" w:rsidP="009F67E7">
            <w:pPr>
              <w:rPr>
                <w:rFonts w:ascii="Calibri" w:eastAsia="Calibri" w:hAnsi="Calibri" w:cs="Calibri"/>
                <w:sz w:val="20"/>
                <w:szCs w:val="20"/>
              </w:rPr>
            </w:pPr>
            <w:r>
              <w:rPr>
                <w:rFonts w:ascii="Calibri" w:eastAsia="Calibri" w:hAnsi="Calibri" w:cs="Calibri"/>
                <w:sz w:val="20"/>
                <w:szCs w:val="20"/>
              </w:rPr>
              <w:t>1</w:t>
            </w:r>
          </w:p>
        </w:tc>
      </w:tr>
      <w:tr w:rsidR="009F67E7" w14:paraId="69C889BF" w14:textId="6583609B" w:rsidTr="00E94F88">
        <w:trPr>
          <w:trHeight w:val="262"/>
        </w:trPr>
        <w:tc>
          <w:tcPr>
            <w:tcW w:w="2405" w:type="dxa"/>
            <w:vMerge/>
            <w:shd w:val="clear" w:color="auto" w:fill="auto"/>
          </w:tcPr>
          <w:p w14:paraId="29A9CF6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vAlign w:val="center"/>
          </w:tcPr>
          <w:p w14:paraId="7286A8C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1b</w:t>
            </w:r>
          </w:p>
        </w:tc>
        <w:tc>
          <w:tcPr>
            <w:tcW w:w="8723" w:type="dxa"/>
            <w:shd w:val="clear" w:color="auto" w:fill="auto"/>
            <w:vAlign w:val="center"/>
          </w:tcPr>
          <w:p w14:paraId="330534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Structured summary of trial design and methods, including items from the World Health Organization Trial Registration Data Set</w:t>
            </w:r>
          </w:p>
        </w:tc>
        <w:tc>
          <w:tcPr>
            <w:tcW w:w="1260" w:type="dxa"/>
          </w:tcPr>
          <w:p w14:paraId="7C1E0074" w14:textId="59568F8F" w:rsidR="009F67E7" w:rsidRDefault="00CB6499" w:rsidP="009F67E7">
            <w:pPr>
              <w:rPr>
                <w:rFonts w:ascii="Calibri" w:eastAsia="Calibri" w:hAnsi="Calibri" w:cs="Calibri"/>
                <w:sz w:val="20"/>
                <w:szCs w:val="20"/>
              </w:rPr>
            </w:pPr>
            <w:r>
              <w:rPr>
                <w:rFonts w:ascii="Calibri" w:eastAsia="Calibri" w:hAnsi="Calibri" w:cs="Calibri"/>
                <w:sz w:val="20"/>
                <w:szCs w:val="20"/>
              </w:rPr>
              <w:t>1-2</w:t>
            </w:r>
          </w:p>
        </w:tc>
      </w:tr>
      <w:tr w:rsidR="009F67E7" w14:paraId="5C5AA670" w14:textId="26044A38" w:rsidTr="00E94F88">
        <w:trPr>
          <w:trHeight w:val="280"/>
        </w:trPr>
        <w:tc>
          <w:tcPr>
            <w:tcW w:w="2405" w:type="dxa"/>
            <w:shd w:val="clear" w:color="auto" w:fill="auto"/>
          </w:tcPr>
          <w:p w14:paraId="4D59515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version</w:t>
            </w:r>
          </w:p>
        </w:tc>
        <w:tc>
          <w:tcPr>
            <w:tcW w:w="567" w:type="dxa"/>
            <w:shd w:val="clear" w:color="auto" w:fill="auto"/>
          </w:tcPr>
          <w:p w14:paraId="769207C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w:t>
            </w:r>
          </w:p>
        </w:tc>
        <w:tc>
          <w:tcPr>
            <w:tcW w:w="8723" w:type="dxa"/>
            <w:shd w:val="clear" w:color="auto" w:fill="auto"/>
          </w:tcPr>
          <w:p w14:paraId="5B40B488" w14:textId="78536109"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Version </w:t>
            </w:r>
            <w:r>
              <w:rPr>
                <w:rFonts w:ascii="Calibri" w:eastAsia="Calibri" w:hAnsi="Calibri" w:cs="Calibri"/>
                <w:color w:val="000000"/>
                <w:sz w:val="20"/>
                <w:szCs w:val="20"/>
              </w:rPr>
              <w:t>date and identifier</w:t>
            </w:r>
          </w:p>
        </w:tc>
        <w:tc>
          <w:tcPr>
            <w:tcW w:w="1260" w:type="dxa"/>
          </w:tcPr>
          <w:p w14:paraId="0DA0055D" w14:textId="7DBED11B" w:rsidR="009F67E7" w:rsidRDefault="00CB6499" w:rsidP="009F67E7">
            <w:pPr>
              <w:rPr>
                <w:rFonts w:ascii="Calibri" w:eastAsia="Calibri" w:hAnsi="Calibri" w:cs="Calibri"/>
                <w:sz w:val="20"/>
                <w:szCs w:val="20"/>
              </w:rPr>
            </w:pPr>
            <w:r>
              <w:rPr>
                <w:rFonts w:ascii="Calibri" w:eastAsia="Calibri" w:hAnsi="Calibri" w:cs="Calibri"/>
                <w:sz w:val="20"/>
                <w:szCs w:val="20"/>
              </w:rPr>
              <w:t>17</w:t>
            </w:r>
          </w:p>
        </w:tc>
      </w:tr>
      <w:tr w:rsidR="009F67E7" w14:paraId="4C5EBD59" w14:textId="4EFA6B0B" w:rsidTr="00E94F88">
        <w:trPr>
          <w:trHeight w:val="124"/>
        </w:trPr>
        <w:tc>
          <w:tcPr>
            <w:tcW w:w="2405" w:type="dxa"/>
            <w:vMerge w:val="restart"/>
            <w:tcBorders>
              <w:top w:val="single" w:sz="4" w:space="0" w:color="000000"/>
              <w:left w:val="single" w:sz="4" w:space="0" w:color="000000"/>
              <w:right w:val="single" w:sz="4" w:space="0" w:color="000000"/>
            </w:tcBorders>
            <w:shd w:val="clear" w:color="auto" w:fill="auto"/>
          </w:tcPr>
          <w:p w14:paraId="1CAFF92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9F67E7"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E6A34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3a</w:t>
            </w:r>
          </w:p>
        </w:tc>
        <w:tc>
          <w:tcPr>
            <w:tcW w:w="8723" w:type="dxa"/>
            <w:tcBorders>
              <w:top w:val="single" w:sz="4" w:space="0" w:color="000000"/>
              <w:left w:val="single" w:sz="4" w:space="0" w:color="000000"/>
              <w:right w:val="single" w:sz="4" w:space="0" w:color="000000"/>
            </w:tcBorders>
            <w:shd w:val="clear" w:color="auto" w:fill="auto"/>
          </w:tcPr>
          <w:p w14:paraId="68136D8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1260" w:type="dxa"/>
            <w:tcBorders>
              <w:top w:val="single" w:sz="4" w:space="0" w:color="000000"/>
              <w:left w:val="single" w:sz="4" w:space="0" w:color="000000"/>
              <w:right w:val="single" w:sz="4" w:space="0" w:color="000000"/>
            </w:tcBorders>
          </w:tcPr>
          <w:p w14:paraId="77E96FEA" w14:textId="1C68EFB9" w:rsidR="009F67E7" w:rsidRDefault="00CB6499" w:rsidP="009F67E7">
            <w:pPr>
              <w:rPr>
                <w:rFonts w:ascii="Calibri" w:eastAsia="Calibri" w:hAnsi="Calibri" w:cs="Calibri"/>
                <w:sz w:val="20"/>
                <w:szCs w:val="20"/>
              </w:rPr>
            </w:pPr>
            <w:r>
              <w:rPr>
                <w:rFonts w:ascii="Calibri" w:eastAsia="Calibri" w:hAnsi="Calibri" w:cs="Calibri"/>
                <w:sz w:val="20"/>
                <w:szCs w:val="20"/>
              </w:rPr>
              <w:t>1</w:t>
            </w:r>
          </w:p>
        </w:tc>
      </w:tr>
      <w:tr w:rsidR="009F67E7" w14:paraId="554D2C13" w14:textId="51776BED" w:rsidTr="00E94F88">
        <w:trPr>
          <w:trHeight w:val="122"/>
        </w:trPr>
        <w:tc>
          <w:tcPr>
            <w:tcW w:w="2405" w:type="dxa"/>
            <w:vMerge/>
            <w:tcBorders>
              <w:top w:val="single" w:sz="4" w:space="0" w:color="000000"/>
              <w:left w:val="single" w:sz="4" w:space="0" w:color="000000"/>
              <w:right w:val="single" w:sz="4" w:space="0" w:color="000000"/>
            </w:tcBorders>
            <w:shd w:val="clear" w:color="auto" w:fill="auto"/>
          </w:tcPr>
          <w:p w14:paraId="6992D43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0E4873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3b</w:t>
            </w:r>
          </w:p>
        </w:tc>
        <w:tc>
          <w:tcPr>
            <w:tcW w:w="8723" w:type="dxa"/>
            <w:tcBorders>
              <w:left w:val="single" w:sz="4" w:space="0" w:color="000000"/>
              <w:right w:val="single" w:sz="4" w:space="0" w:color="000000"/>
            </w:tcBorders>
            <w:shd w:val="clear" w:color="auto" w:fill="auto"/>
          </w:tcPr>
          <w:p w14:paraId="1A233FA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 and contact information for the trial sponsor</w:t>
            </w:r>
          </w:p>
        </w:tc>
        <w:tc>
          <w:tcPr>
            <w:tcW w:w="1260" w:type="dxa"/>
            <w:tcBorders>
              <w:left w:val="single" w:sz="4" w:space="0" w:color="000000"/>
              <w:right w:val="single" w:sz="4" w:space="0" w:color="000000"/>
            </w:tcBorders>
          </w:tcPr>
          <w:p w14:paraId="6D74501E" w14:textId="137E8A41" w:rsidR="009F67E7" w:rsidRDefault="00CB6499" w:rsidP="009F67E7">
            <w:pPr>
              <w:rPr>
                <w:rFonts w:ascii="Calibri" w:eastAsia="Calibri" w:hAnsi="Calibri" w:cs="Calibri"/>
                <w:sz w:val="20"/>
                <w:szCs w:val="20"/>
              </w:rPr>
            </w:pPr>
            <w:r>
              <w:rPr>
                <w:rFonts w:ascii="Calibri" w:eastAsia="Calibri" w:hAnsi="Calibri" w:cs="Calibri"/>
                <w:sz w:val="20"/>
                <w:szCs w:val="20"/>
              </w:rPr>
              <w:t>17</w:t>
            </w:r>
          </w:p>
        </w:tc>
      </w:tr>
      <w:tr w:rsidR="009F67E7" w14:paraId="1BF5FD18" w14:textId="223273C1" w:rsidTr="00E94F88">
        <w:trPr>
          <w:trHeight w:val="122"/>
        </w:trPr>
        <w:tc>
          <w:tcPr>
            <w:tcW w:w="2405" w:type="dxa"/>
            <w:vMerge/>
            <w:tcBorders>
              <w:top w:val="single" w:sz="4" w:space="0" w:color="000000"/>
              <w:left w:val="single" w:sz="4" w:space="0" w:color="000000"/>
              <w:right w:val="single" w:sz="4" w:space="0" w:color="000000"/>
            </w:tcBorders>
            <w:shd w:val="clear" w:color="auto" w:fill="auto"/>
          </w:tcPr>
          <w:p w14:paraId="0CA0C945"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5612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3c</w:t>
            </w:r>
          </w:p>
        </w:tc>
        <w:tc>
          <w:tcPr>
            <w:tcW w:w="8723" w:type="dxa"/>
            <w:tcBorders>
              <w:left w:val="single" w:sz="4" w:space="0" w:color="000000"/>
              <w:right w:val="single" w:sz="4" w:space="0" w:color="000000"/>
            </w:tcBorders>
            <w:shd w:val="clear" w:color="auto" w:fill="auto"/>
          </w:tcPr>
          <w:p w14:paraId="7420735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 of trial sponsor and funders in design, conduct, analysis, and reporting of trial; including any authority over these activities</w:t>
            </w:r>
          </w:p>
        </w:tc>
        <w:tc>
          <w:tcPr>
            <w:tcW w:w="1260" w:type="dxa"/>
            <w:tcBorders>
              <w:left w:val="single" w:sz="4" w:space="0" w:color="000000"/>
              <w:right w:val="single" w:sz="4" w:space="0" w:color="000000"/>
            </w:tcBorders>
          </w:tcPr>
          <w:p w14:paraId="048F797A" w14:textId="785BFDF6" w:rsidR="009F67E7" w:rsidRDefault="00CB6499" w:rsidP="009F67E7">
            <w:pPr>
              <w:rPr>
                <w:rFonts w:ascii="Calibri" w:eastAsia="Calibri" w:hAnsi="Calibri" w:cs="Calibri"/>
                <w:sz w:val="20"/>
                <w:szCs w:val="20"/>
              </w:rPr>
            </w:pPr>
            <w:r>
              <w:rPr>
                <w:rFonts w:ascii="Calibri" w:eastAsia="Calibri" w:hAnsi="Calibri" w:cs="Calibri"/>
                <w:sz w:val="20"/>
                <w:szCs w:val="20"/>
              </w:rPr>
              <w:t>17</w:t>
            </w:r>
          </w:p>
        </w:tc>
      </w:tr>
      <w:tr w:rsidR="009F67E7" w14:paraId="1850E42E" w14:textId="0F33DFF1" w:rsidTr="00E94F88">
        <w:trPr>
          <w:trHeight w:val="122"/>
        </w:trPr>
        <w:tc>
          <w:tcPr>
            <w:tcW w:w="2405" w:type="dxa"/>
            <w:vMerge/>
            <w:tcBorders>
              <w:top w:val="single" w:sz="4" w:space="0" w:color="000000"/>
              <w:left w:val="single" w:sz="4" w:space="0" w:color="000000"/>
              <w:right w:val="single" w:sz="4" w:space="0" w:color="000000"/>
            </w:tcBorders>
            <w:shd w:val="clear" w:color="auto" w:fill="auto"/>
          </w:tcPr>
          <w:p w14:paraId="46FB3A97"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F03878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3d</w:t>
            </w:r>
          </w:p>
        </w:tc>
        <w:tc>
          <w:tcPr>
            <w:tcW w:w="8723" w:type="dxa"/>
            <w:tcBorders>
              <w:left w:val="single" w:sz="4" w:space="0" w:color="000000"/>
              <w:bottom w:val="single" w:sz="4" w:space="0" w:color="000000"/>
              <w:right w:val="single" w:sz="4" w:space="0" w:color="000000"/>
            </w:tcBorders>
            <w:shd w:val="clear" w:color="auto" w:fill="auto"/>
          </w:tcPr>
          <w:p w14:paraId="3573034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1260" w:type="dxa"/>
            <w:tcBorders>
              <w:left w:val="single" w:sz="4" w:space="0" w:color="000000"/>
              <w:bottom w:val="single" w:sz="4" w:space="0" w:color="000000"/>
              <w:right w:val="single" w:sz="4" w:space="0" w:color="000000"/>
            </w:tcBorders>
          </w:tcPr>
          <w:p w14:paraId="5422D0E1" w14:textId="54DA04F5" w:rsidR="009F67E7" w:rsidRDefault="00CB6499" w:rsidP="009F67E7">
            <w:pPr>
              <w:rPr>
                <w:rFonts w:ascii="Calibri" w:eastAsia="Calibri" w:hAnsi="Calibri" w:cs="Calibri"/>
                <w:sz w:val="20"/>
                <w:szCs w:val="20"/>
              </w:rPr>
            </w:pPr>
            <w:r>
              <w:rPr>
                <w:rFonts w:ascii="Calibri" w:eastAsia="Calibri" w:hAnsi="Calibri" w:cs="Calibri"/>
                <w:sz w:val="20"/>
                <w:szCs w:val="20"/>
              </w:rPr>
              <w:t>12-14</w:t>
            </w:r>
          </w:p>
        </w:tc>
      </w:tr>
      <w:tr w:rsidR="009F67E7" w14:paraId="45BBBD8F" w14:textId="56B427A5" w:rsidTr="00E94F88">
        <w:trPr>
          <w:trHeight w:val="276"/>
        </w:trPr>
        <w:tc>
          <w:tcPr>
            <w:tcW w:w="11695" w:type="dxa"/>
            <w:gridSpan w:val="3"/>
            <w:shd w:val="clear" w:color="auto" w:fill="B4C6E7"/>
            <w:vAlign w:val="bottom"/>
          </w:tcPr>
          <w:p w14:paraId="724E6D15"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Open science</w:t>
            </w:r>
          </w:p>
        </w:tc>
        <w:tc>
          <w:tcPr>
            <w:tcW w:w="1260" w:type="dxa"/>
            <w:shd w:val="clear" w:color="auto" w:fill="B4C6E7"/>
          </w:tcPr>
          <w:p w14:paraId="5861D1F6" w14:textId="77777777" w:rsidR="009F67E7" w:rsidRDefault="009F67E7" w:rsidP="009F67E7">
            <w:pPr>
              <w:rPr>
                <w:rFonts w:ascii="Calibri" w:eastAsia="Calibri" w:hAnsi="Calibri" w:cs="Calibri"/>
                <w:b/>
                <w:sz w:val="20"/>
                <w:szCs w:val="20"/>
              </w:rPr>
            </w:pPr>
          </w:p>
        </w:tc>
      </w:tr>
      <w:tr w:rsidR="009F67E7" w14:paraId="6B6D20B9" w14:textId="3BC0AF39" w:rsidTr="00E94F88">
        <w:trPr>
          <w:trHeight w:val="440"/>
        </w:trPr>
        <w:tc>
          <w:tcPr>
            <w:tcW w:w="2405" w:type="dxa"/>
            <w:shd w:val="clear" w:color="auto" w:fill="auto"/>
          </w:tcPr>
          <w:p w14:paraId="4E63E56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registration</w:t>
            </w:r>
          </w:p>
        </w:tc>
        <w:tc>
          <w:tcPr>
            <w:tcW w:w="567" w:type="dxa"/>
            <w:shd w:val="clear" w:color="auto" w:fill="auto"/>
          </w:tcPr>
          <w:p w14:paraId="69645AB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4</w:t>
            </w:r>
          </w:p>
        </w:tc>
        <w:tc>
          <w:tcPr>
            <w:tcW w:w="8723" w:type="dxa"/>
            <w:shd w:val="clear" w:color="auto" w:fill="auto"/>
          </w:tcPr>
          <w:p w14:paraId="49F8DE18"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Name of trial registry, identifying number (with URL), and date of registration. If not yet registered, name of intended registry</w:t>
            </w:r>
          </w:p>
        </w:tc>
        <w:tc>
          <w:tcPr>
            <w:tcW w:w="1260" w:type="dxa"/>
          </w:tcPr>
          <w:p w14:paraId="6A0EE3EA" w14:textId="70FA9E1E" w:rsidR="009F67E7" w:rsidRDefault="00CB6499" w:rsidP="009F67E7">
            <w:pPr>
              <w:rPr>
                <w:rFonts w:ascii="Calibri" w:eastAsia="Calibri" w:hAnsi="Calibri" w:cs="Calibri"/>
                <w:color w:val="000000"/>
                <w:sz w:val="20"/>
                <w:szCs w:val="20"/>
              </w:rPr>
            </w:pPr>
            <w:r>
              <w:rPr>
                <w:rFonts w:ascii="Calibri" w:eastAsia="Calibri" w:hAnsi="Calibri" w:cs="Calibri"/>
                <w:color w:val="000000"/>
                <w:sz w:val="20"/>
                <w:szCs w:val="20"/>
              </w:rPr>
              <w:t>2</w:t>
            </w:r>
          </w:p>
        </w:tc>
      </w:tr>
      <w:tr w:rsidR="009F67E7" w14:paraId="3B69018E" w14:textId="584A696A" w:rsidTr="00E94F88">
        <w:trPr>
          <w:trHeight w:val="227"/>
        </w:trPr>
        <w:tc>
          <w:tcPr>
            <w:tcW w:w="2405" w:type="dxa"/>
            <w:shd w:val="clear" w:color="auto" w:fill="auto"/>
          </w:tcPr>
          <w:p w14:paraId="548D498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shd w:val="clear" w:color="auto" w:fill="auto"/>
          </w:tcPr>
          <w:p w14:paraId="4B4A7E4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5</w:t>
            </w:r>
          </w:p>
        </w:tc>
        <w:tc>
          <w:tcPr>
            <w:tcW w:w="8723" w:type="dxa"/>
            <w:shd w:val="clear" w:color="auto" w:fill="auto"/>
          </w:tcPr>
          <w:p w14:paraId="03DC745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Where the trial protocol and statistical analysis plan can be accessed</w:t>
            </w:r>
          </w:p>
        </w:tc>
        <w:tc>
          <w:tcPr>
            <w:tcW w:w="1260" w:type="dxa"/>
          </w:tcPr>
          <w:p w14:paraId="39BAE671" w14:textId="57A168F5" w:rsidR="009F67E7" w:rsidRDefault="00CB6499" w:rsidP="009F67E7">
            <w:pPr>
              <w:rPr>
                <w:rFonts w:ascii="Calibri" w:eastAsia="Calibri" w:hAnsi="Calibri" w:cs="Calibri"/>
                <w:color w:val="000000"/>
                <w:sz w:val="20"/>
                <w:szCs w:val="20"/>
              </w:rPr>
            </w:pPr>
            <w:r>
              <w:rPr>
                <w:rFonts w:ascii="Calibri" w:eastAsia="Calibri" w:hAnsi="Calibri" w:cs="Calibri"/>
                <w:color w:val="000000"/>
                <w:sz w:val="20"/>
                <w:szCs w:val="20"/>
              </w:rPr>
              <w:t>n/a</w:t>
            </w:r>
          </w:p>
        </w:tc>
      </w:tr>
      <w:tr w:rsidR="009F67E7" w14:paraId="3FB976A0" w14:textId="52275C35" w:rsidTr="00E94F88">
        <w:trPr>
          <w:trHeight w:val="205"/>
        </w:trPr>
        <w:tc>
          <w:tcPr>
            <w:tcW w:w="2405" w:type="dxa"/>
            <w:shd w:val="clear" w:color="auto" w:fill="auto"/>
          </w:tcPr>
          <w:p w14:paraId="466D826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sharing</w:t>
            </w:r>
          </w:p>
        </w:tc>
        <w:tc>
          <w:tcPr>
            <w:tcW w:w="567" w:type="dxa"/>
            <w:shd w:val="clear" w:color="auto" w:fill="auto"/>
          </w:tcPr>
          <w:p w14:paraId="7230466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6</w:t>
            </w:r>
          </w:p>
        </w:tc>
        <w:tc>
          <w:tcPr>
            <w:tcW w:w="8723" w:type="dxa"/>
            <w:shd w:val="clear" w:color="auto" w:fill="auto"/>
          </w:tcPr>
          <w:p w14:paraId="410A35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Where and how the individual de-identified participant data (including data dictionary), statistical code, and any other materials will be accessible</w:t>
            </w:r>
          </w:p>
        </w:tc>
        <w:tc>
          <w:tcPr>
            <w:tcW w:w="1260" w:type="dxa"/>
          </w:tcPr>
          <w:p w14:paraId="4B095151" w14:textId="07A46AF3" w:rsidR="009F67E7" w:rsidRDefault="00CB6499" w:rsidP="009F67E7">
            <w:pPr>
              <w:rPr>
                <w:rFonts w:ascii="Calibri" w:eastAsia="Calibri" w:hAnsi="Calibri" w:cs="Calibri"/>
                <w:sz w:val="20"/>
                <w:szCs w:val="20"/>
              </w:rPr>
            </w:pPr>
            <w:r>
              <w:rPr>
                <w:rFonts w:ascii="Calibri" w:eastAsia="Calibri" w:hAnsi="Calibri" w:cs="Calibri"/>
                <w:sz w:val="20"/>
                <w:szCs w:val="20"/>
              </w:rPr>
              <w:t>17</w:t>
            </w:r>
          </w:p>
        </w:tc>
      </w:tr>
      <w:tr w:rsidR="009F67E7" w14:paraId="2DEFAB03" w14:textId="3F817820" w:rsidTr="00E94F88">
        <w:trPr>
          <w:trHeight w:val="405"/>
        </w:trPr>
        <w:tc>
          <w:tcPr>
            <w:tcW w:w="2405" w:type="dxa"/>
            <w:vMerge w:val="restart"/>
            <w:shd w:val="clear" w:color="auto" w:fill="auto"/>
          </w:tcPr>
          <w:p w14:paraId="4908B6F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Funding and conflicts of interest</w:t>
            </w:r>
          </w:p>
        </w:tc>
        <w:tc>
          <w:tcPr>
            <w:tcW w:w="567" w:type="dxa"/>
            <w:shd w:val="clear" w:color="auto" w:fill="auto"/>
          </w:tcPr>
          <w:p w14:paraId="6E60B9BC"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7a</w:t>
            </w:r>
          </w:p>
        </w:tc>
        <w:tc>
          <w:tcPr>
            <w:tcW w:w="8723" w:type="dxa"/>
            <w:shd w:val="clear" w:color="auto" w:fill="auto"/>
          </w:tcPr>
          <w:p w14:paraId="0FC2597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Sources of funding and other support (e.g., supply of drugs) </w:t>
            </w:r>
          </w:p>
        </w:tc>
        <w:tc>
          <w:tcPr>
            <w:tcW w:w="1260" w:type="dxa"/>
          </w:tcPr>
          <w:p w14:paraId="64EA4C73" w14:textId="3C35DCFB" w:rsidR="009F67E7" w:rsidRDefault="00CB6499" w:rsidP="009F67E7">
            <w:pPr>
              <w:rPr>
                <w:rFonts w:ascii="Calibri" w:eastAsia="Calibri" w:hAnsi="Calibri" w:cs="Calibri"/>
                <w:sz w:val="20"/>
                <w:szCs w:val="20"/>
              </w:rPr>
            </w:pPr>
            <w:r>
              <w:rPr>
                <w:rFonts w:ascii="Calibri" w:eastAsia="Calibri" w:hAnsi="Calibri" w:cs="Calibri"/>
                <w:sz w:val="20"/>
                <w:szCs w:val="20"/>
              </w:rPr>
              <w:t>17</w:t>
            </w:r>
          </w:p>
        </w:tc>
      </w:tr>
      <w:tr w:rsidR="009F67E7" w14:paraId="362C4184" w14:textId="0B83B60A" w:rsidTr="00E94F88">
        <w:trPr>
          <w:trHeight w:val="405"/>
        </w:trPr>
        <w:tc>
          <w:tcPr>
            <w:tcW w:w="2405" w:type="dxa"/>
            <w:vMerge/>
            <w:shd w:val="clear" w:color="auto" w:fill="auto"/>
          </w:tcPr>
          <w:p w14:paraId="5E805812"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7CBF9D67"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sz w:val="20"/>
                <w:szCs w:val="20"/>
              </w:rPr>
              <w:t>7b</w:t>
            </w:r>
          </w:p>
        </w:tc>
        <w:tc>
          <w:tcPr>
            <w:tcW w:w="8723" w:type="dxa"/>
            <w:shd w:val="clear" w:color="auto" w:fill="auto"/>
          </w:tcPr>
          <w:p w14:paraId="5E0663B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Financial and other conflicts of interest for principal investigators and steering committee members</w:t>
            </w:r>
          </w:p>
        </w:tc>
        <w:tc>
          <w:tcPr>
            <w:tcW w:w="1260" w:type="dxa"/>
          </w:tcPr>
          <w:p w14:paraId="56EB6470" w14:textId="2458D62B" w:rsidR="009F67E7" w:rsidRDefault="00CB6499" w:rsidP="009F67E7">
            <w:pPr>
              <w:rPr>
                <w:rFonts w:ascii="Calibri" w:eastAsia="Calibri" w:hAnsi="Calibri" w:cs="Calibri"/>
                <w:sz w:val="20"/>
                <w:szCs w:val="20"/>
              </w:rPr>
            </w:pPr>
            <w:r>
              <w:rPr>
                <w:rFonts w:ascii="Calibri" w:eastAsia="Calibri" w:hAnsi="Calibri" w:cs="Calibri"/>
                <w:sz w:val="20"/>
                <w:szCs w:val="20"/>
              </w:rPr>
              <w:t>17</w:t>
            </w:r>
          </w:p>
        </w:tc>
      </w:tr>
      <w:tr w:rsidR="009F67E7" w14:paraId="5773A02E" w14:textId="1F790F7B" w:rsidTr="00E94F88">
        <w:trPr>
          <w:trHeight w:val="205"/>
        </w:trPr>
        <w:tc>
          <w:tcPr>
            <w:tcW w:w="2405" w:type="dxa"/>
            <w:shd w:val="clear" w:color="auto" w:fill="auto"/>
          </w:tcPr>
          <w:p w14:paraId="5ADA3D3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Dissemination policy</w:t>
            </w:r>
          </w:p>
          <w:p w14:paraId="016B6623" w14:textId="77777777" w:rsidR="009F67E7" w:rsidRDefault="009F67E7" w:rsidP="009F67E7">
            <w:pPr>
              <w:rPr>
                <w:rFonts w:ascii="Calibri" w:eastAsia="Calibri" w:hAnsi="Calibri" w:cs="Calibri"/>
                <w:sz w:val="20"/>
                <w:szCs w:val="20"/>
              </w:rPr>
            </w:pPr>
          </w:p>
        </w:tc>
        <w:tc>
          <w:tcPr>
            <w:tcW w:w="567" w:type="dxa"/>
            <w:shd w:val="clear" w:color="auto" w:fill="auto"/>
          </w:tcPr>
          <w:p w14:paraId="103A098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8</w:t>
            </w:r>
          </w:p>
        </w:tc>
        <w:tc>
          <w:tcPr>
            <w:tcW w:w="8723" w:type="dxa"/>
            <w:shd w:val="clear" w:color="auto" w:fill="auto"/>
          </w:tcPr>
          <w:p w14:paraId="1D8D794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Plans to communicate trial results to participants, healthcare professionals, the public, and other relevant groups (e.g., reporting in trial registry, plain language summary, publication)</w:t>
            </w:r>
          </w:p>
        </w:tc>
        <w:tc>
          <w:tcPr>
            <w:tcW w:w="1260" w:type="dxa"/>
          </w:tcPr>
          <w:p w14:paraId="02539FA7" w14:textId="7FC8E71F" w:rsidR="009F67E7" w:rsidRDefault="00CB6499" w:rsidP="009F67E7">
            <w:pPr>
              <w:rPr>
                <w:rFonts w:ascii="Calibri" w:eastAsia="Calibri" w:hAnsi="Calibri" w:cs="Calibri"/>
                <w:color w:val="000000"/>
                <w:sz w:val="20"/>
                <w:szCs w:val="20"/>
              </w:rPr>
            </w:pPr>
            <w:r>
              <w:rPr>
                <w:rFonts w:ascii="Calibri" w:eastAsia="Calibri" w:hAnsi="Calibri" w:cs="Calibri"/>
                <w:color w:val="000000"/>
                <w:sz w:val="20"/>
                <w:szCs w:val="20"/>
              </w:rPr>
              <w:t>n/a</w:t>
            </w:r>
          </w:p>
        </w:tc>
      </w:tr>
      <w:tr w:rsidR="009F67E7" w14:paraId="4823D515" w14:textId="5D208576" w:rsidTr="00E94F88">
        <w:trPr>
          <w:trHeight w:val="276"/>
        </w:trPr>
        <w:tc>
          <w:tcPr>
            <w:tcW w:w="11695" w:type="dxa"/>
            <w:gridSpan w:val="3"/>
            <w:shd w:val="clear" w:color="auto" w:fill="B4C6E7"/>
          </w:tcPr>
          <w:p w14:paraId="09D4EA0E"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Introduction</w:t>
            </w:r>
          </w:p>
        </w:tc>
        <w:tc>
          <w:tcPr>
            <w:tcW w:w="1260" w:type="dxa"/>
            <w:shd w:val="clear" w:color="auto" w:fill="B4C6E7"/>
          </w:tcPr>
          <w:p w14:paraId="43ACD7C3" w14:textId="77777777" w:rsidR="009F67E7" w:rsidRDefault="009F67E7" w:rsidP="009F67E7">
            <w:pPr>
              <w:rPr>
                <w:rFonts w:ascii="Calibri" w:eastAsia="Calibri" w:hAnsi="Calibri" w:cs="Calibri"/>
                <w:b/>
                <w:sz w:val="20"/>
                <w:szCs w:val="20"/>
              </w:rPr>
            </w:pPr>
          </w:p>
        </w:tc>
      </w:tr>
      <w:tr w:rsidR="009F67E7" w14:paraId="4855135D" w14:textId="58DE20CA" w:rsidTr="00E94F88">
        <w:trPr>
          <w:trHeight w:val="594"/>
        </w:trPr>
        <w:tc>
          <w:tcPr>
            <w:tcW w:w="2405" w:type="dxa"/>
            <w:vMerge w:val="restart"/>
            <w:shd w:val="clear" w:color="auto" w:fill="auto"/>
          </w:tcPr>
          <w:p w14:paraId="21B250B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Background and rationale</w:t>
            </w:r>
          </w:p>
        </w:tc>
        <w:tc>
          <w:tcPr>
            <w:tcW w:w="567" w:type="dxa"/>
            <w:shd w:val="clear" w:color="auto" w:fill="auto"/>
          </w:tcPr>
          <w:p w14:paraId="50D008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9a</w:t>
            </w:r>
          </w:p>
        </w:tc>
        <w:tc>
          <w:tcPr>
            <w:tcW w:w="8723" w:type="dxa"/>
            <w:shd w:val="clear" w:color="auto" w:fill="auto"/>
          </w:tcPr>
          <w:p w14:paraId="57E0060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1260" w:type="dxa"/>
          </w:tcPr>
          <w:p w14:paraId="5C9CD420" w14:textId="2126A96D" w:rsidR="009F67E7" w:rsidRDefault="00CB6499" w:rsidP="009F67E7">
            <w:pPr>
              <w:rPr>
                <w:rFonts w:ascii="Calibri" w:eastAsia="Calibri" w:hAnsi="Calibri" w:cs="Calibri"/>
                <w:sz w:val="20"/>
                <w:szCs w:val="20"/>
              </w:rPr>
            </w:pPr>
            <w:r>
              <w:rPr>
                <w:rFonts w:ascii="Calibri" w:eastAsia="Calibri" w:hAnsi="Calibri" w:cs="Calibri"/>
                <w:sz w:val="20"/>
                <w:szCs w:val="20"/>
              </w:rPr>
              <w:t>3-5</w:t>
            </w:r>
          </w:p>
        </w:tc>
      </w:tr>
      <w:tr w:rsidR="009F67E7" w14:paraId="0A7B5C68" w14:textId="0782BB4D" w:rsidTr="00E94F88">
        <w:trPr>
          <w:trHeight w:val="276"/>
        </w:trPr>
        <w:tc>
          <w:tcPr>
            <w:tcW w:w="2405" w:type="dxa"/>
            <w:vMerge/>
            <w:shd w:val="clear" w:color="auto" w:fill="auto"/>
          </w:tcPr>
          <w:p w14:paraId="02D4AD2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340481BF"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color w:val="000000"/>
                <w:sz w:val="20"/>
                <w:szCs w:val="20"/>
              </w:rPr>
              <w:t>9b</w:t>
            </w:r>
          </w:p>
        </w:tc>
        <w:tc>
          <w:tcPr>
            <w:tcW w:w="8723" w:type="dxa"/>
            <w:shd w:val="clear" w:color="auto" w:fill="auto"/>
          </w:tcPr>
          <w:p w14:paraId="2BF25388" w14:textId="31BE8BE8" w:rsidR="009F67E7" w:rsidRDefault="009F67E7" w:rsidP="009F67E7">
            <w:pPr>
              <w:rPr>
                <w:rFonts w:ascii="Calibri" w:eastAsia="Calibri" w:hAnsi="Calibri" w:cs="Calibri"/>
                <w:color w:val="000000"/>
                <w:sz w:val="20"/>
                <w:szCs w:val="20"/>
              </w:rPr>
            </w:pPr>
            <w:r>
              <w:rPr>
                <w:rFonts w:ascii="Calibri" w:eastAsia="Calibri" w:hAnsi="Calibri" w:cs="Calibri"/>
                <w:color w:val="000000"/>
                <w:sz w:val="20"/>
                <w:szCs w:val="20"/>
              </w:rPr>
              <w:t>Explanation for choice of comparator</w:t>
            </w:r>
          </w:p>
        </w:tc>
        <w:tc>
          <w:tcPr>
            <w:tcW w:w="1260" w:type="dxa"/>
          </w:tcPr>
          <w:p w14:paraId="3D582D20" w14:textId="0B935D11" w:rsidR="009F67E7" w:rsidRDefault="00CB6499" w:rsidP="009F67E7">
            <w:pPr>
              <w:rPr>
                <w:rFonts w:ascii="Calibri" w:eastAsia="Calibri" w:hAnsi="Calibri" w:cs="Calibri"/>
                <w:color w:val="000000"/>
                <w:sz w:val="20"/>
                <w:szCs w:val="20"/>
              </w:rPr>
            </w:pPr>
            <w:r>
              <w:rPr>
                <w:rFonts w:ascii="Calibri" w:eastAsia="Calibri" w:hAnsi="Calibri" w:cs="Calibri"/>
                <w:color w:val="000000"/>
                <w:sz w:val="20"/>
                <w:szCs w:val="20"/>
              </w:rPr>
              <w:t>n/a</w:t>
            </w:r>
          </w:p>
        </w:tc>
      </w:tr>
      <w:tr w:rsidR="009F67E7" w14:paraId="1DF53E5A" w14:textId="7AC7E848" w:rsidTr="00E94F88">
        <w:trPr>
          <w:trHeight w:val="276"/>
        </w:trPr>
        <w:tc>
          <w:tcPr>
            <w:tcW w:w="2405" w:type="dxa"/>
            <w:shd w:val="clear" w:color="auto" w:fill="auto"/>
          </w:tcPr>
          <w:p w14:paraId="3994A6A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Objectives</w:t>
            </w:r>
          </w:p>
        </w:tc>
        <w:tc>
          <w:tcPr>
            <w:tcW w:w="567" w:type="dxa"/>
            <w:shd w:val="clear" w:color="auto" w:fill="auto"/>
          </w:tcPr>
          <w:p w14:paraId="16C9EFD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10</w:t>
            </w:r>
          </w:p>
        </w:tc>
        <w:tc>
          <w:tcPr>
            <w:tcW w:w="8723" w:type="dxa"/>
            <w:shd w:val="clear" w:color="auto" w:fill="auto"/>
          </w:tcPr>
          <w:p w14:paraId="5C03EF0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Specific objectives related to benefits and harms</w:t>
            </w:r>
          </w:p>
        </w:tc>
        <w:tc>
          <w:tcPr>
            <w:tcW w:w="1260" w:type="dxa"/>
          </w:tcPr>
          <w:p w14:paraId="6227132E" w14:textId="2F660B0D" w:rsidR="009F67E7" w:rsidRDefault="00CB6499" w:rsidP="009F67E7">
            <w:pPr>
              <w:rPr>
                <w:rFonts w:ascii="Calibri" w:eastAsia="Calibri" w:hAnsi="Calibri" w:cs="Calibri"/>
                <w:sz w:val="20"/>
                <w:szCs w:val="20"/>
              </w:rPr>
            </w:pPr>
            <w:r>
              <w:rPr>
                <w:rFonts w:ascii="Calibri" w:eastAsia="Calibri" w:hAnsi="Calibri" w:cs="Calibri"/>
                <w:sz w:val="20"/>
                <w:szCs w:val="20"/>
              </w:rPr>
              <w:t>5</w:t>
            </w:r>
          </w:p>
        </w:tc>
      </w:tr>
      <w:tr w:rsidR="009F67E7" w14:paraId="301B445A" w14:textId="1017C3D3" w:rsidTr="00E94F88">
        <w:trPr>
          <w:trHeight w:val="276"/>
        </w:trPr>
        <w:tc>
          <w:tcPr>
            <w:tcW w:w="11695" w:type="dxa"/>
            <w:gridSpan w:val="3"/>
            <w:shd w:val="clear" w:color="auto" w:fill="B4C6E7"/>
          </w:tcPr>
          <w:p w14:paraId="6465CAA0" w14:textId="77777777" w:rsidR="009F67E7" w:rsidRDefault="009F67E7" w:rsidP="009F67E7">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1260" w:type="dxa"/>
            <w:shd w:val="clear" w:color="auto" w:fill="B4C6E7"/>
          </w:tcPr>
          <w:p w14:paraId="7AC02FA5" w14:textId="77777777" w:rsidR="009F67E7" w:rsidRDefault="009F67E7" w:rsidP="009F67E7">
            <w:pPr>
              <w:rPr>
                <w:rFonts w:ascii="Calibri" w:eastAsia="Calibri" w:hAnsi="Calibri" w:cs="Calibri"/>
                <w:b/>
                <w:sz w:val="20"/>
                <w:szCs w:val="20"/>
              </w:rPr>
            </w:pPr>
          </w:p>
        </w:tc>
      </w:tr>
      <w:tr w:rsidR="009F67E7" w14:paraId="34434533" w14:textId="39F0BD69" w:rsidTr="00E94F88">
        <w:trPr>
          <w:trHeight w:val="699"/>
        </w:trPr>
        <w:tc>
          <w:tcPr>
            <w:tcW w:w="2405" w:type="dxa"/>
            <w:shd w:val="clear" w:color="auto" w:fill="auto"/>
          </w:tcPr>
          <w:p w14:paraId="2119FD9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Patient and public involvement</w:t>
            </w:r>
          </w:p>
        </w:tc>
        <w:tc>
          <w:tcPr>
            <w:tcW w:w="567" w:type="dxa"/>
            <w:shd w:val="clear" w:color="auto" w:fill="auto"/>
          </w:tcPr>
          <w:p w14:paraId="7D21B1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11</w:t>
            </w:r>
          </w:p>
        </w:tc>
        <w:tc>
          <w:tcPr>
            <w:tcW w:w="8723" w:type="dxa"/>
            <w:shd w:val="clear" w:color="auto" w:fill="auto"/>
          </w:tcPr>
          <w:p w14:paraId="10AF685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Details of, or plans for, patient or public involvement in the design, conduct, and reporting of the trial</w:t>
            </w:r>
          </w:p>
        </w:tc>
        <w:tc>
          <w:tcPr>
            <w:tcW w:w="1260" w:type="dxa"/>
          </w:tcPr>
          <w:p w14:paraId="639F3158" w14:textId="16E297A5" w:rsidR="009F67E7" w:rsidRDefault="00CB6499" w:rsidP="009F67E7">
            <w:pPr>
              <w:rPr>
                <w:rFonts w:ascii="Calibri" w:eastAsia="Calibri" w:hAnsi="Calibri" w:cs="Calibri"/>
                <w:sz w:val="20"/>
                <w:szCs w:val="20"/>
              </w:rPr>
            </w:pPr>
            <w:r>
              <w:rPr>
                <w:rFonts w:ascii="Calibri" w:eastAsia="Calibri" w:hAnsi="Calibri" w:cs="Calibri"/>
                <w:sz w:val="20"/>
                <w:szCs w:val="20"/>
              </w:rPr>
              <w:t>14</w:t>
            </w:r>
          </w:p>
        </w:tc>
      </w:tr>
      <w:tr w:rsidR="009F67E7" w14:paraId="163B75F3" w14:textId="6D34F2C1" w:rsidTr="00E94F88">
        <w:trPr>
          <w:trHeight w:val="547"/>
        </w:trPr>
        <w:tc>
          <w:tcPr>
            <w:tcW w:w="2405" w:type="dxa"/>
            <w:shd w:val="clear" w:color="auto" w:fill="auto"/>
          </w:tcPr>
          <w:p w14:paraId="13C27CB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design</w:t>
            </w:r>
          </w:p>
        </w:tc>
        <w:tc>
          <w:tcPr>
            <w:tcW w:w="567" w:type="dxa"/>
            <w:shd w:val="clear" w:color="auto" w:fill="auto"/>
          </w:tcPr>
          <w:p w14:paraId="27371B0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12</w:t>
            </w:r>
          </w:p>
        </w:tc>
        <w:tc>
          <w:tcPr>
            <w:tcW w:w="8723" w:type="dxa"/>
            <w:shd w:val="clear" w:color="auto" w:fill="auto"/>
          </w:tcPr>
          <w:p w14:paraId="081484E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1260" w:type="dxa"/>
          </w:tcPr>
          <w:p w14:paraId="2351C4A2" w14:textId="3F6D5758" w:rsidR="009F67E7" w:rsidRDefault="00CB6499" w:rsidP="009F67E7">
            <w:pPr>
              <w:rPr>
                <w:rFonts w:ascii="Calibri" w:eastAsia="Calibri" w:hAnsi="Calibri" w:cs="Calibri"/>
                <w:sz w:val="20"/>
                <w:szCs w:val="20"/>
              </w:rPr>
            </w:pPr>
            <w:r>
              <w:rPr>
                <w:rFonts w:ascii="Calibri" w:eastAsia="Calibri" w:hAnsi="Calibri" w:cs="Calibri"/>
                <w:sz w:val="20"/>
                <w:szCs w:val="20"/>
              </w:rPr>
              <w:t>5</w:t>
            </w:r>
          </w:p>
        </w:tc>
      </w:tr>
      <w:tr w:rsidR="009F67E7" w14:paraId="6E30A352" w14:textId="12F151B2" w:rsidTr="00E94F88">
        <w:trPr>
          <w:trHeight w:val="276"/>
        </w:trPr>
        <w:tc>
          <w:tcPr>
            <w:tcW w:w="11695" w:type="dxa"/>
            <w:gridSpan w:val="3"/>
            <w:shd w:val="clear" w:color="auto" w:fill="B4C6E7"/>
          </w:tcPr>
          <w:p w14:paraId="0228B19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lastRenderedPageBreak/>
              <w:t>Methods: Participants, interventions, and outcomes</w:t>
            </w:r>
          </w:p>
        </w:tc>
        <w:tc>
          <w:tcPr>
            <w:tcW w:w="1260" w:type="dxa"/>
            <w:shd w:val="clear" w:color="auto" w:fill="B4C6E7"/>
          </w:tcPr>
          <w:p w14:paraId="4ED7E125" w14:textId="77777777" w:rsidR="009F67E7" w:rsidRDefault="009F67E7" w:rsidP="009F67E7">
            <w:pPr>
              <w:rPr>
                <w:rFonts w:ascii="Calibri" w:eastAsia="Calibri" w:hAnsi="Calibri" w:cs="Calibri"/>
                <w:b/>
                <w:sz w:val="20"/>
                <w:szCs w:val="20"/>
              </w:rPr>
            </w:pPr>
          </w:p>
        </w:tc>
      </w:tr>
      <w:tr w:rsidR="009F67E7" w14:paraId="42B5A985" w14:textId="4AE52D38" w:rsidTr="00E94F88">
        <w:trPr>
          <w:trHeight w:val="516"/>
        </w:trPr>
        <w:tc>
          <w:tcPr>
            <w:tcW w:w="2405" w:type="dxa"/>
            <w:shd w:val="clear" w:color="auto" w:fill="auto"/>
          </w:tcPr>
          <w:p w14:paraId="5AF681F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setting</w:t>
            </w:r>
          </w:p>
        </w:tc>
        <w:tc>
          <w:tcPr>
            <w:tcW w:w="567" w:type="dxa"/>
            <w:shd w:val="clear" w:color="auto" w:fill="auto"/>
          </w:tcPr>
          <w:p w14:paraId="3DE4D7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13</w:t>
            </w:r>
          </w:p>
        </w:tc>
        <w:tc>
          <w:tcPr>
            <w:tcW w:w="8723" w:type="dxa"/>
            <w:shd w:val="clear" w:color="auto" w:fill="auto"/>
          </w:tcPr>
          <w:p w14:paraId="0F26130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Settings (e.g., community, hospital) and locations (e.g., countries, sites) where the trial will be conducted </w:t>
            </w:r>
          </w:p>
        </w:tc>
        <w:tc>
          <w:tcPr>
            <w:tcW w:w="1260" w:type="dxa"/>
          </w:tcPr>
          <w:p w14:paraId="5504A2F2" w14:textId="60BCAEEC" w:rsidR="009F67E7" w:rsidRDefault="00CB6499" w:rsidP="009F67E7">
            <w:pPr>
              <w:rPr>
                <w:rFonts w:ascii="Calibri" w:eastAsia="Calibri" w:hAnsi="Calibri" w:cs="Calibri"/>
                <w:sz w:val="20"/>
                <w:szCs w:val="20"/>
              </w:rPr>
            </w:pPr>
            <w:r>
              <w:rPr>
                <w:rFonts w:ascii="Calibri" w:eastAsia="Calibri" w:hAnsi="Calibri" w:cs="Calibri"/>
                <w:sz w:val="20"/>
                <w:szCs w:val="20"/>
              </w:rPr>
              <w:t>5</w:t>
            </w:r>
          </w:p>
        </w:tc>
      </w:tr>
      <w:tr w:rsidR="009F67E7" w14:paraId="73BA1BF6" w14:textId="2DEC0371" w:rsidTr="00E94F88">
        <w:trPr>
          <w:trHeight w:val="267"/>
        </w:trPr>
        <w:tc>
          <w:tcPr>
            <w:tcW w:w="2405" w:type="dxa"/>
            <w:vMerge w:val="restart"/>
            <w:shd w:val="clear" w:color="auto" w:fill="auto"/>
          </w:tcPr>
          <w:p w14:paraId="4E353E5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Eligibility criteria</w:t>
            </w:r>
          </w:p>
        </w:tc>
        <w:tc>
          <w:tcPr>
            <w:tcW w:w="567" w:type="dxa"/>
            <w:shd w:val="clear" w:color="auto" w:fill="auto"/>
          </w:tcPr>
          <w:p w14:paraId="6BA46B9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14a</w:t>
            </w:r>
          </w:p>
        </w:tc>
        <w:tc>
          <w:tcPr>
            <w:tcW w:w="8723" w:type="dxa"/>
            <w:shd w:val="clear" w:color="auto" w:fill="auto"/>
          </w:tcPr>
          <w:p w14:paraId="1DC0423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1260" w:type="dxa"/>
          </w:tcPr>
          <w:p w14:paraId="524CE49C" w14:textId="418F796A" w:rsidR="009F67E7" w:rsidRDefault="00CB6499" w:rsidP="009F67E7">
            <w:pPr>
              <w:rPr>
                <w:rFonts w:ascii="Calibri" w:eastAsia="Calibri" w:hAnsi="Calibri" w:cs="Calibri"/>
                <w:sz w:val="20"/>
                <w:szCs w:val="20"/>
              </w:rPr>
            </w:pPr>
            <w:r>
              <w:rPr>
                <w:rFonts w:ascii="Calibri" w:eastAsia="Calibri" w:hAnsi="Calibri" w:cs="Calibri"/>
                <w:sz w:val="20"/>
                <w:szCs w:val="20"/>
              </w:rPr>
              <w:t>5</w:t>
            </w:r>
          </w:p>
        </w:tc>
      </w:tr>
      <w:tr w:rsidR="009F67E7" w14:paraId="38106B99" w14:textId="6AEB175A" w:rsidTr="00E94F88">
        <w:trPr>
          <w:trHeight w:val="276"/>
        </w:trPr>
        <w:tc>
          <w:tcPr>
            <w:tcW w:w="2405" w:type="dxa"/>
            <w:vMerge/>
            <w:shd w:val="clear" w:color="auto" w:fill="auto"/>
          </w:tcPr>
          <w:p w14:paraId="45CFAB9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AF6D08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14b</w:t>
            </w:r>
          </w:p>
        </w:tc>
        <w:tc>
          <w:tcPr>
            <w:tcW w:w="8723" w:type="dxa"/>
            <w:shd w:val="clear" w:color="auto" w:fill="auto"/>
          </w:tcPr>
          <w:p w14:paraId="79AB34A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applicable, eligibility criteria for sites and for individuals who will deliver the interventions (e.g., surgeons, physiotherapists)</w:t>
            </w:r>
          </w:p>
        </w:tc>
        <w:tc>
          <w:tcPr>
            <w:tcW w:w="1260" w:type="dxa"/>
          </w:tcPr>
          <w:p w14:paraId="57EBBA00" w14:textId="25B14151" w:rsidR="009F67E7" w:rsidRDefault="00CB6499" w:rsidP="009F67E7">
            <w:pPr>
              <w:rPr>
                <w:rFonts w:ascii="Calibri" w:eastAsia="Calibri" w:hAnsi="Calibri" w:cs="Calibri"/>
                <w:sz w:val="20"/>
                <w:szCs w:val="20"/>
              </w:rPr>
            </w:pPr>
            <w:r>
              <w:rPr>
                <w:rFonts w:ascii="Calibri" w:eastAsia="Calibri" w:hAnsi="Calibri" w:cs="Calibri"/>
                <w:sz w:val="20"/>
                <w:szCs w:val="20"/>
              </w:rPr>
              <w:t>n/a</w:t>
            </w:r>
          </w:p>
        </w:tc>
      </w:tr>
      <w:tr w:rsidR="009F67E7" w14:paraId="7EE46BE4" w14:textId="094B77D5" w:rsidTr="00E94F88">
        <w:trPr>
          <w:trHeight w:val="207"/>
        </w:trPr>
        <w:tc>
          <w:tcPr>
            <w:tcW w:w="2405" w:type="dxa"/>
            <w:vMerge w:val="restart"/>
            <w:shd w:val="clear" w:color="auto" w:fill="auto"/>
          </w:tcPr>
          <w:p w14:paraId="68FCA093" w14:textId="760A2403"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shd w:val="clear" w:color="auto" w:fill="auto"/>
          </w:tcPr>
          <w:p w14:paraId="3EA918F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15a</w:t>
            </w:r>
          </w:p>
        </w:tc>
        <w:tc>
          <w:tcPr>
            <w:tcW w:w="8723" w:type="dxa"/>
            <w:shd w:val="clear" w:color="auto" w:fill="auto"/>
          </w:tcPr>
          <w:p w14:paraId="7830B032" w14:textId="7E147408"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260" w:type="dxa"/>
          </w:tcPr>
          <w:p w14:paraId="2F40D416" w14:textId="353A10CB" w:rsidR="009F67E7" w:rsidRDefault="00CB6499" w:rsidP="009F67E7">
            <w:pPr>
              <w:rPr>
                <w:rFonts w:ascii="Calibri" w:eastAsia="Calibri" w:hAnsi="Calibri" w:cs="Calibri"/>
                <w:sz w:val="20"/>
                <w:szCs w:val="20"/>
              </w:rPr>
            </w:pPr>
            <w:r>
              <w:rPr>
                <w:rFonts w:ascii="Calibri" w:eastAsia="Calibri" w:hAnsi="Calibri" w:cs="Calibri"/>
                <w:sz w:val="20"/>
                <w:szCs w:val="20"/>
              </w:rPr>
              <w:t>6-8</w:t>
            </w:r>
          </w:p>
        </w:tc>
      </w:tr>
      <w:tr w:rsidR="009F67E7" w14:paraId="061D8290" w14:textId="65152230" w:rsidTr="00E94F88">
        <w:trPr>
          <w:trHeight w:val="523"/>
        </w:trPr>
        <w:tc>
          <w:tcPr>
            <w:tcW w:w="2405" w:type="dxa"/>
            <w:vMerge/>
            <w:shd w:val="clear" w:color="auto" w:fill="auto"/>
          </w:tcPr>
          <w:p w14:paraId="1C0C023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13BEB41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15b</w:t>
            </w:r>
          </w:p>
        </w:tc>
        <w:tc>
          <w:tcPr>
            <w:tcW w:w="8723" w:type="dxa"/>
            <w:shd w:val="clear" w:color="auto" w:fill="auto"/>
          </w:tcPr>
          <w:p w14:paraId="16103066" w14:textId="71B45B4D"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1260" w:type="dxa"/>
          </w:tcPr>
          <w:p w14:paraId="76CD6F3D" w14:textId="3883A8C3" w:rsidR="009F67E7" w:rsidRDefault="00CB6499" w:rsidP="009F67E7">
            <w:pPr>
              <w:rPr>
                <w:rFonts w:ascii="Calibri" w:eastAsia="Calibri" w:hAnsi="Calibri" w:cs="Calibri"/>
                <w:sz w:val="20"/>
                <w:szCs w:val="20"/>
              </w:rPr>
            </w:pPr>
            <w:r>
              <w:rPr>
                <w:rFonts w:ascii="Calibri" w:eastAsia="Calibri" w:hAnsi="Calibri" w:cs="Calibri"/>
                <w:sz w:val="20"/>
                <w:szCs w:val="20"/>
              </w:rPr>
              <w:t>n/a</w:t>
            </w:r>
          </w:p>
        </w:tc>
      </w:tr>
      <w:tr w:rsidR="009F67E7" w14:paraId="26BBF837" w14:textId="42317544" w:rsidTr="00E94F88">
        <w:trPr>
          <w:trHeight w:val="416"/>
        </w:trPr>
        <w:tc>
          <w:tcPr>
            <w:tcW w:w="2405" w:type="dxa"/>
            <w:vMerge/>
            <w:shd w:val="clear" w:color="auto" w:fill="auto"/>
          </w:tcPr>
          <w:p w14:paraId="3526890F"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2264C78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15c</w:t>
            </w:r>
          </w:p>
        </w:tc>
        <w:tc>
          <w:tcPr>
            <w:tcW w:w="8723" w:type="dxa"/>
            <w:shd w:val="clear" w:color="auto" w:fill="auto"/>
          </w:tcPr>
          <w:p w14:paraId="0F46B5DF" w14:textId="2F1F97AE" w:rsidR="009F67E7" w:rsidRDefault="009F67E7" w:rsidP="009F67E7">
            <w:pPr>
              <w:rPr>
                <w:rFonts w:ascii="Calibri" w:eastAsia="Calibri" w:hAnsi="Calibri" w:cs="Calibri"/>
                <w:sz w:val="20"/>
                <w:szCs w:val="20"/>
              </w:rPr>
            </w:pPr>
            <w:r>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1260" w:type="dxa"/>
          </w:tcPr>
          <w:p w14:paraId="7E6C8026" w14:textId="76B7921C" w:rsidR="009F67E7" w:rsidRDefault="00CB6499" w:rsidP="009F67E7">
            <w:pPr>
              <w:rPr>
                <w:rFonts w:ascii="Calibri" w:eastAsia="Calibri" w:hAnsi="Calibri" w:cs="Calibri"/>
                <w:sz w:val="20"/>
                <w:szCs w:val="20"/>
              </w:rPr>
            </w:pPr>
            <w:r>
              <w:rPr>
                <w:rFonts w:ascii="Calibri" w:eastAsia="Calibri" w:hAnsi="Calibri" w:cs="Calibri"/>
                <w:sz w:val="20"/>
                <w:szCs w:val="20"/>
              </w:rPr>
              <w:t>11</w:t>
            </w:r>
          </w:p>
        </w:tc>
      </w:tr>
      <w:tr w:rsidR="009F67E7" w14:paraId="4816AE84" w14:textId="237D38D4" w:rsidTr="00E94F88">
        <w:trPr>
          <w:trHeight w:val="211"/>
        </w:trPr>
        <w:tc>
          <w:tcPr>
            <w:tcW w:w="2405" w:type="dxa"/>
            <w:vMerge/>
            <w:shd w:val="clear" w:color="auto" w:fill="auto"/>
          </w:tcPr>
          <w:p w14:paraId="142E256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95DCEF0"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15d</w:t>
            </w:r>
          </w:p>
        </w:tc>
        <w:tc>
          <w:tcPr>
            <w:tcW w:w="8723" w:type="dxa"/>
            <w:shd w:val="clear" w:color="auto" w:fill="auto"/>
          </w:tcPr>
          <w:p w14:paraId="2ED8A3F5" w14:textId="35CFA444" w:rsidR="009F67E7" w:rsidRDefault="009F67E7" w:rsidP="009F67E7">
            <w:pPr>
              <w:rPr>
                <w:rFonts w:ascii="Calibri" w:eastAsia="Calibri" w:hAnsi="Calibri" w:cs="Calibri"/>
                <w:sz w:val="20"/>
                <w:szCs w:val="20"/>
              </w:rPr>
            </w:pPr>
            <w:r>
              <w:rPr>
                <w:rFonts w:ascii="Calibri" w:eastAsia="Calibri" w:hAnsi="Calibri" w:cs="Calibri"/>
                <w:sz w:val="20"/>
                <w:szCs w:val="20"/>
              </w:rPr>
              <w:t>Concomitant care that is permitted or prohibited during the trial</w:t>
            </w:r>
          </w:p>
        </w:tc>
        <w:tc>
          <w:tcPr>
            <w:tcW w:w="1260" w:type="dxa"/>
          </w:tcPr>
          <w:p w14:paraId="15F9DCC8" w14:textId="6012438E" w:rsidR="009F67E7" w:rsidRDefault="00CB6499" w:rsidP="009F67E7">
            <w:pPr>
              <w:rPr>
                <w:rFonts w:ascii="Calibri" w:eastAsia="Calibri" w:hAnsi="Calibri" w:cs="Calibri"/>
                <w:sz w:val="20"/>
                <w:szCs w:val="20"/>
              </w:rPr>
            </w:pPr>
            <w:r>
              <w:rPr>
                <w:rFonts w:ascii="Calibri" w:eastAsia="Calibri" w:hAnsi="Calibri" w:cs="Calibri"/>
                <w:sz w:val="20"/>
                <w:szCs w:val="20"/>
              </w:rPr>
              <w:t>n/a</w:t>
            </w:r>
          </w:p>
        </w:tc>
      </w:tr>
      <w:tr w:rsidR="009F67E7" w14:paraId="0BF90379" w14:textId="2D97AE3D" w:rsidTr="00E94F88">
        <w:trPr>
          <w:trHeight w:val="531"/>
        </w:trPr>
        <w:tc>
          <w:tcPr>
            <w:tcW w:w="2405" w:type="dxa"/>
            <w:shd w:val="clear" w:color="auto" w:fill="auto"/>
          </w:tcPr>
          <w:p w14:paraId="2931E6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Outcomes</w:t>
            </w:r>
          </w:p>
        </w:tc>
        <w:tc>
          <w:tcPr>
            <w:tcW w:w="567" w:type="dxa"/>
            <w:shd w:val="clear" w:color="auto" w:fill="auto"/>
          </w:tcPr>
          <w:p w14:paraId="7A721E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16</w:t>
            </w:r>
          </w:p>
        </w:tc>
        <w:tc>
          <w:tcPr>
            <w:tcW w:w="8723" w:type="dxa"/>
            <w:shd w:val="clear" w:color="auto" w:fill="auto"/>
          </w:tcPr>
          <w:p w14:paraId="0705FE4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1260" w:type="dxa"/>
          </w:tcPr>
          <w:p w14:paraId="2F041BE0" w14:textId="056021D7" w:rsidR="009F67E7" w:rsidRDefault="00CB6499" w:rsidP="009F67E7">
            <w:pPr>
              <w:rPr>
                <w:rFonts w:ascii="Calibri" w:eastAsia="Calibri" w:hAnsi="Calibri" w:cs="Calibri"/>
                <w:sz w:val="20"/>
                <w:szCs w:val="20"/>
              </w:rPr>
            </w:pPr>
            <w:r>
              <w:rPr>
                <w:rFonts w:ascii="Calibri" w:eastAsia="Calibri" w:hAnsi="Calibri" w:cs="Calibri"/>
                <w:sz w:val="20"/>
                <w:szCs w:val="20"/>
              </w:rPr>
              <w:t>9-11</w:t>
            </w:r>
          </w:p>
        </w:tc>
      </w:tr>
      <w:tr w:rsidR="009F67E7" w14:paraId="01B1DA37" w14:textId="4BAE1F50" w:rsidTr="00E94F88">
        <w:trPr>
          <w:trHeight w:val="531"/>
        </w:trPr>
        <w:tc>
          <w:tcPr>
            <w:tcW w:w="2405" w:type="dxa"/>
            <w:shd w:val="clear" w:color="auto" w:fill="auto"/>
          </w:tcPr>
          <w:p w14:paraId="6B07015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Harms</w:t>
            </w:r>
          </w:p>
        </w:tc>
        <w:tc>
          <w:tcPr>
            <w:tcW w:w="567" w:type="dxa"/>
            <w:shd w:val="clear" w:color="auto" w:fill="auto"/>
          </w:tcPr>
          <w:p w14:paraId="06CB2B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17</w:t>
            </w:r>
          </w:p>
        </w:tc>
        <w:tc>
          <w:tcPr>
            <w:tcW w:w="8723" w:type="dxa"/>
            <w:shd w:val="clear" w:color="auto" w:fill="auto"/>
          </w:tcPr>
          <w:p w14:paraId="3B608A9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harms are defined and will be assessed (e.g., systematically, non-systematically)</w:t>
            </w:r>
          </w:p>
        </w:tc>
        <w:tc>
          <w:tcPr>
            <w:tcW w:w="1260" w:type="dxa"/>
          </w:tcPr>
          <w:p w14:paraId="71F43014" w14:textId="59B96CF2" w:rsidR="009F67E7" w:rsidRDefault="00CB6499" w:rsidP="009F67E7">
            <w:pPr>
              <w:rPr>
                <w:rFonts w:ascii="Calibri" w:eastAsia="Calibri" w:hAnsi="Calibri" w:cs="Calibri"/>
                <w:sz w:val="20"/>
                <w:szCs w:val="20"/>
              </w:rPr>
            </w:pPr>
            <w:r>
              <w:rPr>
                <w:rFonts w:ascii="Calibri" w:eastAsia="Calibri" w:hAnsi="Calibri" w:cs="Calibri"/>
                <w:sz w:val="20"/>
                <w:szCs w:val="20"/>
              </w:rPr>
              <w:t>14</w:t>
            </w:r>
          </w:p>
        </w:tc>
      </w:tr>
      <w:tr w:rsidR="009F67E7" w14:paraId="5CE60442" w14:textId="3FE55E4F" w:rsidTr="00E94F88">
        <w:trPr>
          <w:trHeight w:val="531"/>
        </w:trPr>
        <w:tc>
          <w:tcPr>
            <w:tcW w:w="2405" w:type="dxa"/>
            <w:shd w:val="clear" w:color="auto" w:fill="auto"/>
          </w:tcPr>
          <w:p w14:paraId="1F0D202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Participant timeline</w:t>
            </w:r>
          </w:p>
        </w:tc>
        <w:tc>
          <w:tcPr>
            <w:tcW w:w="567" w:type="dxa"/>
            <w:shd w:val="clear" w:color="auto" w:fill="auto"/>
          </w:tcPr>
          <w:p w14:paraId="559796D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18</w:t>
            </w:r>
          </w:p>
        </w:tc>
        <w:tc>
          <w:tcPr>
            <w:tcW w:w="8723" w:type="dxa"/>
            <w:shd w:val="clear" w:color="auto" w:fill="auto"/>
          </w:tcPr>
          <w:p w14:paraId="3383A88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1260" w:type="dxa"/>
          </w:tcPr>
          <w:p w14:paraId="5D5FDE08" w14:textId="51EAE43A" w:rsidR="009F67E7" w:rsidRDefault="00CB6499" w:rsidP="009F67E7">
            <w:pPr>
              <w:rPr>
                <w:rFonts w:ascii="Calibri" w:eastAsia="Calibri" w:hAnsi="Calibri" w:cs="Calibri"/>
                <w:sz w:val="20"/>
                <w:szCs w:val="20"/>
              </w:rPr>
            </w:pPr>
            <w:r>
              <w:rPr>
                <w:rFonts w:ascii="Calibri" w:eastAsia="Calibri" w:hAnsi="Calibri" w:cs="Calibri"/>
                <w:sz w:val="20"/>
                <w:szCs w:val="20"/>
              </w:rPr>
              <w:t>Figure 1</w:t>
            </w:r>
          </w:p>
        </w:tc>
      </w:tr>
      <w:tr w:rsidR="009F67E7" w14:paraId="57689489" w14:textId="41D5B0DF" w:rsidTr="00E94F88">
        <w:trPr>
          <w:trHeight w:val="548"/>
        </w:trPr>
        <w:tc>
          <w:tcPr>
            <w:tcW w:w="2405" w:type="dxa"/>
            <w:shd w:val="clear" w:color="auto" w:fill="auto"/>
          </w:tcPr>
          <w:p w14:paraId="7F3E4C6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Sample size</w:t>
            </w:r>
          </w:p>
        </w:tc>
        <w:tc>
          <w:tcPr>
            <w:tcW w:w="567" w:type="dxa"/>
            <w:shd w:val="clear" w:color="auto" w:fill="auto"/>
          </w:tcPr>
          <w:p w14:paraId="140662B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19</w:t>
            </w:r>
          </w:p>
        </w:tc>
        <w:tc>
          <w:tcPr>
            <w:tcW w:w="8723" w:type="dxa"/>
            <w:shd w:val="clear" w:color="auto" w:fill="auto"/>
          </w:tcPr>
          <w:p w14:paraId="5404CE3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1260" w:type="dxa"/>
          </w:tcPr>
          <w:p w14:paraId="3DEF3E4B" w14:textId="69E5B21D" w:rsidR="009F67E7" w:rsidRDefault="00CB6499" w:rsidP="009F67E7">
            <w:pPr>
              <w:rPr>
                <w:rFonts w:ascii="Calibri" w:eastAsia="Calibri" w:hAnsi="Calibri" w:cs="Calibri"/>
                <w:sz w:val="20"/>
                <w:szCs w:val="20"/>
              </w:rPr>
            </w:pPr>
            <w:r>
              <w:rPr>
                <w:rFonts w:ascii="Calibri" w:eastAsia="Calibri" w:hAnsi="Calibri" w:cs="Calibri"/>
                <w:sz w:val="20"/>
                <w:szCs w:val="20"/>
              </w:rPr>
              <w:t>12</w:t>
            </w:r>
          </w:p>
        </w:tc>
      </w:tr>
      <w:tr w:rsidR="009F67E7" w14:paraId="3C0CD129" w14:textId="1E359093" w:rsidTr="00E94F88">
        <w:trPr>
          <w:trHeight w:val="272"/>
        </w:trPr>
        <w:tc>
          <w:tcPr>
            <w:tcW w:w="2405" w:type="dxa"/>
            <w:shd w:val="clear" w:color="auto" w:fill="auto"/>
          </w:tcPr>
          <w:p w14:paraId="6217233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Recruitment</w:t>
            </w:r>
          </w:p>
        </w:tc>
        <w:tc>
          <w:tcPr>
            <w:tcW w:w="567" w:type="dxa"/>
            <w:shd w:val="clear" w:color="auto" w:fill="auto"/>
          </w:tcPr>
          <w:p w14:paraId="2CAEA77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20</w:t>
            </w:r>
          </w:p>
        </w:tc>
        <w:tc>
          <w:tcPr>
            <w:tcW w:w="8723" w:type="dxa"/>
            <w:shd w:val="clear" w:color="auto" w:fill="auto"/>
          </w:tcPr>
          <w:p w14:paraId="435C03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Strategies for achieving adequate participant enrollment to reach target sample size</w:t>
            </w:r>
          </w:p>
        </w:tc>
        <w:tc>
          <w:tcPr>
            <w:tcW w:w="1260" w:type="dxa"/>
          </w:tcPr>
          <w:p w14:paraId="07F81C44" w14:textId="2ECA0DF6" w:rsidR="009F67E7" w:rsidRDefault="00CB6499" w:rsidP="009F67E7">
            <w:pPr>
              <w:rPr>
                <w:rFonts w:ascii="Calibri" w:eastAsia="Calibri" w:hAnsi="Calibri" w:cs="Calibri"/>
                <w:sz w:val="20"/>
                <w:szCs w:val="20"/>
              </w:rPr>
            </w:pPr>
            <w:r>
              <w:rPr>
                <w:rFonts w:ascii="Calibri" w:eastAsia="Calibri" w:hAnsi="Calibri" w:cs="Calibri"/>
                <w:sz w:val="20"/>
                <w:szCs w:val="20"/>
              </w:rPr>
              <w:t>5-6</w:t>
            </w:r>
          </w:p>
        </w:tc>
      </w:tr>
      <w:tr w:rsidR="009F67E7" w14:paraId="4BA7F96C" w14:textId="54610D68" w:rsidTr="00E94F88">
        <w:trPr>
          <w:trHeight w:val="276"/>
        </w:trPr>
        <w:tc>
          <w:tcPr>
            <w:tcW w:w="11695" w:type="dxa"/>
            <w:gridSpan w:val="3"/>
            <w:shd w:val="clear" w:color="auto" w:fill="B4C6E7"/>
          </w:tcPr>
          <w:p w14:paraId="52C0DB4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 xml:space="preserve">Methods: Assignment of interventions </w:t>
            </w:r>
          </w:p>
        </w:tc>
        <w:tc>
          <w:tcPr>
            <w:tcW w:w="1260" w:type="dxa"/>
            <w:shd w:val="clear" w:color="auto" w:fill="B4C6E7"/>
          </w:tcPr>
          <w:p w14:paraId="2A4C2B2B" w14:textId="77777777" w:rsidR="009F67E7" w:rsidRDefault="009F67E7" w:rsidP="009F67E7">
            <w:pPr>
              <w:rPr>
                <w:rFonts w:ascii="Calibri" w:eastAsia="Calibri" w:hAnsi="Calibri" w:cs="Calibri"/>
                <w:b/>
                <w:sz w:val="20"/>
                <w:szCs w:val="20"/>
              </w:rPr>
            </w:pPr>
          </w:p>
        </w:tc>
      </w:tr>
      <w:tr w:rsidR="009F67E7" w14:paraId="64FAC2B5" w14:textId="4720E909" w:rsidTr="00E94F88">
        <w:trPr>
          <w:trHeight w:val="276"/>
        </w:trPr>
        <w:tc>
          <w:tcPr>
            <w:tcW w:w="2405" w:type="dxa"/>
            <w:shd w:val="clear" w:color="auto" w:fill="auto"/>
          </w:tcPr>
          <w:p w14:paraId="06186F8B" w14:textId="79DD8750" w:rsidR="009F67E7" w:rsidRDefault="009F67E7" w:rsidP="009F67E7">
            <w:pPr>
              <w:rPr>
                <w:rFonts w:ascii="Calibri" w:eastAsia="Calibri" w:hAnsi="Calibri" w:cs="Calibri"/>
                <w:sz w:val="20"/>
                <w:szCs w:val="20"/>
              </w:rPr>
            </w:pPr>
            <w:r>
              <w:rPr>
                <w:rFonts w:ascii="Calibri" w:eastAsia="Calibri" w:hAnsi="Calibri" w:cs="Calibri"/>
                <w:sz w:val="20"/>
                <w:szCs w:val="20"/>
              </w:rPr>
              <w:t>Randomization:</w:t>
            </w:r>
          </w:p>
        </w:tc>
        <w:tc>
          <w:tcPr>
            <w:tcW w:w="567" w:type="dxa"/>
            <w:shd w:val="clear" w:color="auto" w:fill="auto"/>
          </w:tcPr>
          <w:p w14:paraId="727BC9A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 </w:t>
            </w:r>
          </w:p>
        </w:tc>
        <w:tc>
          <w:tcPr>
            <w:tcW w:w="8723" w:type="dxa"/>
            <w:shd w:val="clear" w:color="auto" w:fill="auto"/>
          </w:tcPr>
          <w:p w14:paraId="11F4520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w:t>
            </w:r>
          </w:p>
        </w:tc>
        <w:tc>
          <w:tcPr>
            <w:tcW w:w="1260" w:type="dxa"/>
          </w:tcPr>
          <w:p w14:paraId="5498E4FF" w14:textId="5CB6DDB0" w:rsidR="009F67E7" w:rsidRDefault="00CB6499" w:rsidP="009F67E7">
            <w:pPr>
              <w:rPr>
                <w:rFonts w:ascii="Calibri" w:eastAsia="Calibri" w:hAnsi="Calibri" w:cs="Calibri"/>
                <w:sz w:val="20"/>
                <w:szCs w:val="20"/>
              </w:rPr>
            </w:pPr>
            <w:r>
              <w:rPr>
                <w:rFonts w:ascii="Calibri" w:eastAsia="Calibri" w:hAnsi="Calibri" w:cs="Calibri"/>
                <w:sz w:val="20"/>
                <w:szCs w:val="20"/>
              </w:rPr>
              <w:t>6</w:t>
            </w:r>
          </w:p>
        </w:tc>
      </w:tr>
      <w:tr w:rsidR="009F67E7" w14:paraId="64DFACCC" w14:textId="0895E59A" w:rsidTr="00E94F88">
        <w:trPr>
          <w:trHeight w:val="274"/>
        </w:trPr>
        <w:tc>
          <w:tcPr>
            <w:tcW w:w="2405" w:type="dxa"/>
            <w:vMerge w:val="restart"/>
            <w:shd w:val="clear" w:color="auto" w:fill="auto"/>
          </w:tcPr>
          <w:p w14:paraId="030C8B80" w14:textId="6787F869" w:rsidR="009F67E7" w:rsidRDefault="009F67E7" w:rsidP="009F67E7">
            <w:pPr>
              <w:ind w:left="64"/>
              <w:jc w:val="both"/>
              <w:rPr>
                <w:rFonts w:ascii="Calibri" w:eastAsia="Calibri" w:hAnsi="Calibri" w:cs="Calibri"/>
                <w:sz w:val="20"/>
                <w:szCs w:val="20"/>
              </w:rPr>
            </w:pPr>
            <w:r>
              <w:rPr>
                <w:rFonts w:ascii="Calibri" w:eastAsia="Calibri" w:hAnsi="Calibri" w:cs="Calibri"/>
                <w:sz w:val="20"/>
                <w:szCs w:val="20"/>
              </w:rPr>
              <w:t xml:space="preserve"> Sequence generation</w:t>
            </w:r>
          </w:p>
          <w:p w14:paraId="135056A4"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w:t>
            </w:r>
          </w:p>
        </w:tc>
        <w:tc>
          <w:tcPr>
            <w:tcW w:w="567" w:type="dxa"/>
            <w:tcBorders>
              <w:bottom w:val="single" w:sz="4" w:space="0" w:color="000000"/>
            </w:tcBorders>
            <w:shd w:val="clear" w:color="auto" w:fill="auto"/>
          </w:tcPr>
          <w:p w14:paraId="0C187A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21a</w:t>
            </w:r>
          </w:p>
        </w:tc>
        <w:tc>
          <w:tcPr>
            <w:tcW w:w="8723" w:type="dxa"/>
            <w:tcBorders>
              <w:bottom w:val="single" w:sz="4" w:space="0" w:color="000000"/>
            </w:tcBorders>
            <w:shd w:val="clear" w:color="auto" w:fill="auto"/>
          </w:tcPr>
          <w:p w14:paraId="221A454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generate the random allocation sequence and the method used </w:t>
            </w:r>
          </w:p>
        </w:tc>
        <w:tc>
          <w:tcPr>
            <w:tcW w:w="1260" w:type="dxa"/>
            <w:tcBorders>
              <w:bottom w:val="single" w:sz="4" w:space="0" w:color="000000"/>
            </w:tcBorders>
          </w:tcPr>
          <w:p w14:paraId="79960C0D" w14:textId="05244D51" w:rsidR="009F67E7" w:rsidRDefault="00CB6499" w:rsidP="009F67E7">
            <w:pPr>
              <w:rPr>
                <w:rFonts w:ascii="Calibri" w:eastAsia="Calibri" w:hAnsi="Calibri" w:cs="Calibri"/>
                <w:sz w:val="20"/>
                <w:szCs w:val="20"/>
              </w:rPr>
            </w:pPr>
            <w:r>
              <w:rPr>
                <w:rFonts w:ascii="Calibri" w:eastAsia="Calibri" w:hAnsi="Calibri" w:cs="Calibri"/>
                <w:sz w:val="20"/>
                <w:szCs w:val="20"/>
              </w:rPr>
              <w:t>6</w:t>
            </w:r>
          </w:p>
        </w:tc>
      </w:tr>
      <w:tr w:rsidR="009F67E7" w14:paraId="20A72CAD" w14:textId="0C593707" w:rsidTr="00E94F88">
        <w:trPr>
          <w:trHeight w:val="274"/>
        </w:trPr>
        <w:tc>
          <w:tcPr>
            <w:tcW w:w="2405" w:type="dxa"/>
            <w:vMerge/>
            <w:shd w:val="clear" w:color="auto" w:fill="auto"/>
          </w:tcPr>
          <w:p w14:paraId="73F4F44F" w14:textId="77777777" w:rsidR="009F67E7" w:rsidRDefault="009F67E7" w:rsidP="009F67E7">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shd w:val="clear" w:color="auto" w:fill="auto"/>
          </w:tcPr>
          <w:p w14:paraId="174D71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21b</w:t>
            </w:r>
          </w:p>
        </w:tc>
        <w:tc>
          <w:tcPr>
            <w:tcW w:w="8723" w:type="dxa"/>
            <w:shd w:val="clear" w:color="auto" w:fill="auto"/>
          </w:tcPr>
          <w:p w14:paraId="110C51B4" w14:textId="429CF442"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Type of randomization (simple or restricted) and details of any </w:t>
            </w:r>
            <w:r>
              <w:rPr>
                <w:rFonts w:ascii="Calibri" w:eastAsia="Calibri" w:hAnsi="Calibri" w:cs="Calibri"/>
                <w:color w:val="000000"/>
                <w:sz w:val="20"/>
                <w:szCs w:val="20"/>
              </w:rPr>
              <w:t xml:space="preserve">factors for stratification. </w:t>
            </w:r>
            <w:r>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1260" w:type="dxa"/>
          </w:tcPr>
          <w:p w14:paraId="55A0B506" w14:textId="6E638ACB" w:rsidR="009F67E7" w:rsidRDefault="00CB6499" w:rsidP="009F67E7">
            <w:pPr>
              <w:rPr>
                <w:rFonts w:ascii="Calibri" w:eastAsia="Calibri" w:hAnsi="Calibri" w:cs="Calibri"/>
                <w:sz w:val="20"/>
                <w:szCs w:val="20"/>
              </w:rPr>
            </w:pPr>
            <w:r>
              <w:rPr>
                <w:rFonts w:ascii="Calibri" w:eastAsia="Calibri" w:hAnsi="Calibri" w:cs="Calibri"/>
                <w:sz w:val="20"/>
                <w:szCs w:val="20"/>
              </w:rPr>
              <w:t>6</w:t>
            </w:r>
          </w:p>
        </w:tc>
      </w:tr>
      <w:tr w:rsidR="009F67E7" w14:paraId="7E9BE88E" w14:textId="114D8AD6" w:rsidTr="00E94F88">
        <w:trPr>
          <w:trHeight w:val="274"/>
        </w:trPr>
        <w:tc>
          <w:tcPr>
            <w:tcW w:w="2405" w:type="dxa"/>
            <w:shd w:val="clear" w:color="auto" w:fill="auto"/>
          </w:tcPr>
          <w:p w14:paraId="017C8605"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Allocation concealment </w:t>
            </w:r>
          </w:p>
          <w:p w14:paraId="4869AADC" w14:textId="212E0BB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mechanism</w:t>
            </w:r>
          </w:p>
        </w:tc>
        <w:tc>
          <w:tcPr>
            <w:tcW w:w="567" w:type="dxa"/>
            <w:shd w:val="clear" w:color="auto" w:fill="auto"/>
          </w:tcPr>
          <w:p w14:paraId="18CC94BD"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22</w:t>
            </w:r>
          </w:p>
        </w:tc>
        <w:tc>
          <w:tcPr>
            <w:tcW w:w="8723" w:type="dxa"/>
            <w:shd w:val="clear" w:color="auto" w:fill="auto"/>
          </w:tcPr>
          <w:p w14:paraId="7B72CF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Mechanism used to implement the random allocation sequence (e.g., central computer/telephone; sequentially numbered, </w:t>
            </w:r>
            <w:r>
              <w:rPr>
                <w:rFonts w:ascii="Calibri" w:eastAsia="Calibri" w:hAnsi="Calibri" w:cs="Calibri"/>
                <w:color w:val="000000"/>
                <w:sz w:val="20"/>
                <w:szCs w:val="20"/>
              </w:rPr>
              <w:t xml:space="preserve">opaque, </w:t>
            </w:r>
            <w:r>
              <w:rPr>
                <w:rFonts w:ascii="Calibri" w:eastAsia="Calibri" w:hAnsi="Calibri" w:cs="Calibri"/>
                <w:sz w:val="20"/>
                <w:szCs w:val="20"/>
              </w:rPr>
              <w:t xml:space="preserve">sealed containers), describing any steps to conceal the sequence </w:t>
            </w:r>
            <w:r>
              <w:rPr>
                <w:rFonts w:ascii="Calibri" w:eastAsia="Calibri" w:hAnsi="Calibri" w:cs="Calibri"/>
                <w:color w:val="000000"/>
                <w:sz w:val="20"/>
                <w:szCs w:val="20"/>
              </w:rPr>
              <w:t>until</w:t>
            </w:r>
            <w:r>
              <w:rPr>
                <w:rFonts w:ascii="Calibri" w:eastAsia="Calibri" w:hAnsi="Calibri" w:cs="Calibri"/>
                <w:sz w:val="20"/>
                <w:szCs w:val="20"/>
              </w:rPr>
              <w:t xml:space="preserve"> interventions</w:t>
            </w:r>
            <w:r>
              <w:rPr>
                <w:rFonts w:ascii="Calibri" w:eastAsia="Calibri" w:hAnsi="Calibri" w:cs="Calibri"/>
                <w:color w:val="000000"/>
                <w:sz w:val="20"/>
                <w:szCs w:val="20"/>
              </w:rPr>
              <w:t xml:space="preserve"> are assigned</w:t>
            </w:r>
          </w:p>
        </w:tc>
        <w:tc>
          <w:tcPr>
            <w:tcW w:w="1260" w:type="dxa"/>
          </w:tcPr>
          <w:p w14:paraId="66D3FD8B" w14:textId="7BD07020" w:rsidR="009F67E7" w:rsidRDefault="00CB6499" w:rsidP="009F67E7">
            <w:pPr>
              <w:rPr>
                <w:rFonts w:ascii="Calibri" w:eastAsia="Calibri" w:hAnsi="Calibri" w:cs="Calibri"/>
                <w:sz w:val="20"/>
                <w:szCs w:val="20"/>
              </w:rPr>
            </w:pPr>
            <w:r>
              <w:rPr>
                <w:rFonts w:ascii="Calibri" w:eastAsia="Calibri" w:hAnsi="Calibri" w:cs="Calibri"/>
                <w:sz w:val="20"/>
                <w:szCs w:val="20"/>
              </w:rPr>
              <w:t>6</w:t>
            </w:r>
          </w:p>
        </w:tc>
      </w:tr>
      <w:tr w:rsidR="009F67E7" w14:paraId="012B4059" w14:textId="6DB2BA79" w:rsidTr="00E94F88">
        <w:trPr>
          <w:trHeight w:val="148"/>
        </w:trPr>
        <w:tc>
          <w:tcPr>
            <w:tcW w:w="2405" w:type="dxa"/>
            <w:shd w:val="clear" w:color="auto" w:fill="auto"/>
          </w:tcPr>
          <w:p w14:paraId="3E358932" w14:textId="6B4977A4"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Implementation</w:t>
            </w:r>
          </w:p>
          <w:p w14:paraId="26DD1583" w14:textId="77777777" w:rsidR="009F67E7" w:rsidRDefault="009F67E7" w:rsidP="009F67E7">
            <w:pPr>
              <w:ind w:left="64"/>
              <w:rPr>
                <w:rFonts w:ascii="Calibri" w:eastAsia="Calibri" w:hAnsi="Calibri" w:cs="Calibri"/>
                <w:sz w:val="20"/>
                <w:szCs w:val="20"/>
              </w:rPr>
            </w:pPr>
          </w:p>
        </w:tc>
        <w:tc>
          <w:tcPr>
            <w:tcW w:w="567" w:type="dxa"/>
            <w:shd w:val="clear" w:color="auto" w:fill="auto"/>
          </w:tcPr>
          <w:p w14:paraId="0A8F0DF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23</w:t>
            </w:r>
          </w:p>
        </w:tc>
        <w:tc>
          <w:tcPr>
            <w:tcW w:w="8723" w:type="dxa"/>
            <w:shd w:val="clear" w:color="auto" w:fill="auto"/>
          </w:tcPr>
          <w:p w14:paraId="2D17B298" w14:textId="1FDE4872" w:rsidR="009F67E7" w:rsidRDefault="009F67E7" w:rsidP="009F67E7">
            <w:pPr>
              <w:rPr>
                <w:rFonts w:ascii="Calibri" w:eastAsia="Calibri" w:hAnsi="Calibri" w:cs="Calibri"/>
                <w:sz w:val="20"/>
                <w:szCs w:val="20"/>
              </w:rPr>
            </w:pPr>
            <w:r>
              <w:rPr>
                <w:rFonts w:ascii="Calibri" w:eastAsia="Calibri" w:hAnsi="Calibri" w:cs="Calibri"/>
                <w:sz w:val="20"/>
                <w:szCs w:val="20"/>
              </w:rPr>
              <w:t>Whether the personnel who will enroll and those who will assign participants to the interventions will have access to the random allocation sequence</w:t>
            </w:r>
          </w:p>
        </w:tc>
        <w:tc>
          <w:tcPr>
            <w:tcW w:w="1260" w:type="dxa"/>
          </w:tcPr>
          <w:p w14:paraId="7CA8B342" w14:textId="066A6880" w:rsidR="009F67E7" w:rsidRDefault="00CB6499" w:rsidP="009F67E7">
            <w:pPr>
              <w:rPr>
                <w:rFonts w:ascii="Calibri" w:eastAsia="Calibri" w:hAnsi="Calibri" w:cs="Calibri"/>
                <w:sz w:val="20"/>
                <w:szCs w:val="20"/>
              </w:rPr>
            </w:pPr>
            <w:r>
              <w:rPr>
                <w:rFonts w:ascii="Calibri" w:eastAsia="Calibri" w:hAnsi="Calibri" w:cs="Calibri"/>
                <w:sz w:val="20"/>
                <w:szCs w:val="20"/>
              </w:rPr>
              <w:t>6</w:t>
            </w:r>
          </w:p>
        </w:tc>
      </w:tr>
      <w:tr w:rsidR="009F67E7" w14:paraId="75FDC96E" w14:textId="6EF1DC31" w:rsidTr="00E94F88">
        <w:trPr>
          <w:trHeight w:val="300"/>
        </w:trPr>
        <w:tc>
          <w:tcPr>
            <w:tcW w:w="2405" w:type="dxa"/>
            <w:vMerge w:val="restart"/>
            <w:shd w:val="clear" w:color="auto" w:fill="auto"/>
          </w:tcPr>
          <w:p w14:paraId="7350429D" w14:textId="5E22843A" w:rsidR="009F67E7" w:rsidRDefault="009F67E7" w:rsidP="009F67E7">
            <w:pPr>
              <w:rPr>
                <w:rFonts w:ascii="Calibri" w:eastAsia="Calibri" w:hAnsi="Calibri" w:cs="Calibri"/>
                <w:b/>
                <w:sz w:val="20"/>
                <w:szCs w:val="20"/>
              </w:rPr>
            </w:pPr>
            <w:r>
              <w:rPr>
                <w:rFonts w:ascii="Calibri" w:eastAsia="Calibri" w:hAnsi="Calibri" w:cs="Calibri"/>
                <w:sz w:val="20"/>
                <w:szCs w:val="20"/>
              </w:rPr>
              <w:t xml:space="preserve">Blinding </w:t>
            </w:r>
          </w:p>
          <w:p w14:paraId="69186849" w14:textId="77777777" w:rsidR="009F67E7" w:rsidRDefault="009F67E7" w:rsidP="009F67E7">
            <w:pPr>
              <w:rPr>
                <w:rFonts w:ascii="Calibri" w:eastAsia="Calibri" w:hAnsi="Calibri" w:cs="Calibri"/>
                <w:sz w:val="20"/>
                <w:szCs w:val="20"/>
              </w:rPr>
            </w:pPr>
          </w:p>
        </w:tc>
        <w:tc>
          <w:tcPr>
            <w:tcW w:w="567" w:type="dxa"/>
            <w:shd w:val="clear" w:color="auto" w:fill="auto"/>
          </w:tcPr>
          <w:p w14:paraId="6865A96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24a</w:t>
            </w:r>
          </w:p>
        </w:tc>
        <w:tc>
          <w:tcPr>
            <w:tcW w:w="8723" w:type="dxa"/>
            <w:shd w:val="clear" w:color="auto" w:fill="auto"/>
          </w:tcPr>
          <w:p w14:paraId="1F21FD4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Who will be blinded after assignment to interventions (e.g., participants, care providers, outcome assessors, data analysts)</w:t>
            </w:r>
          </w:p>
        </w:tc>
        <w:tc>
          <w:tcPr>
            <w:tcW w:w="1260" w:type="dxa"/>
          </w:tcPr>
          <w:p w14:paraId="4F992F52" w14:textId="3B37A721" w:rsidR="009F67E7" w:rsidRDefault="00CB6499" w:rsidP="009F67E7">
            <w:pPr>
              <w:rPr>
                <w:rFonts w:ascii="Calibri" w:eastAsia="Calibri" w:hAnsi="Calibri" w:cs="Calibri"/>
                <w:sz w:val="20"/>
                <w:szCs w:val="20"/>
              </w:rPr>
            </w:pPr>
            <w:r>
              <w:rPr>
                <w:rFonts w:ascii="Calibri" w:eastAsia="Calibri" w:hAnsi="Calibri" w:cs="Calibri"/>
                <w:sz w:val="20"/>
                <w:szCs w:val="20"/>
              </w:rPr>
              <w:t>6</w:t>
            </w:r>
          </w:p>
        </w:tc>
      </w:tr>
      <w:tr w:rsidR="009F67E7" w14:paraId="536C42CD" w14:textId="42B94FCE" w:rsidTr="00E94F88">
        <w:trPr>
          <w:trHeight w:val="300"/>
        </w:trPr>
        <w:tc>
          <w:tcPr>
            <w:tcW w:w="2405" w:type="dxa"/>
            <w:vMerge/>
            <w:shd w:val="clear" w:color="auto" w:fill="auto"/>
          </w:tcPr>
          <w:p w14:paraId="242575DA"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C26ED7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24b</w:t>
            </w:r>
          </w:p>
        </w:tc>
        <w:tc>
          <w:tcPr>
            <w:tcW w:w="8723" w:type="dxa"/>
            <w:shd w:val="clear" w:color="auto" w:fill="auto"/>
          </w:tcPr>
          <w:p w14:paraId="0C70835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1260" w:type="dxa"/>
          </w:tcPr>
          <w:p w14:paraId="5A3764B5" w14:textId="61137268" w:rsidR="009F67E7" w:rsidRDefault="00CB6499" w:rsidP="009F67E7">
            <w:pPr>
              <w:rPr>
                <w:rFonts w:ascii="Calibri" w:eastAsia="Calibri" w:hAnsi="Calibri" w:cs="Calibri"/>
                <w:sz w:val="20"/>
                <w:szCs w:val="20"/>
              </w:rPr>
            </w:pPr>
            <w:r>
              <w:rPr>
                <w:rFonts w:ascii="Calibri" w:eastAsia="Calibri" w:hAnsi="Calibri" w:cs="Calibri"/>
                <w:sz w:val="20"/>
                <w:szCs w:val="20"/>
              </w:rPr>
              <w:t>6</w:t>
            </w:r>
          </w:p>
        </w:tc>
      </w:tr>
      <w:tr w:rsidR="009F67E7" w14:paraId="6CA39C55" w14:textId="1A1F498D" w:rsidTr="00E94F88">
        <w:trPr>
          <w:trHeight w:val="463"/>
        </w:trPr>
        <w:tc>
          <w:tcPr>
            <w:tcW w:w="2405" w:type="dxa"/>
            <w:vMerge/>
            <w:shd w:val="clear" w:color="auto" w:fill="auto"/>
          </w:tcPr>
          <w:p w14:paraId="7B4B9F44"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1F29EA04"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24c</w:t>
            </w:r>
          </w:p>
        </w:tc>
        <w:tc>
          <w:tcPr>
            <w:tcW w:w="8723" w:type="dxa"/>
            <w:shd w:val="clear" w:color="auto" w:fill="auto"/>
          </w:tcPr>
          <w:p w14:paraId="26036E1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1260" w:type="dxa"/>
          </w:tcPr>
          <w:p w14:paraId="3D5558E0" w14:textId="4218DC51" w:rsidR="009F67E7" w:rsidRDefault="00CB6499" w:rsidP="009F67E7">
            <w:pPr>
              <w:rPr>
                <w:rFonts w:ascii="Calibri" w:eastAsia="Calibri" w:hAnsi="Calibri" w:cs="Calibri"/>
                <w:sz w:val="20"/>
                <w:szCs w:val="20"/>
              </w:rPr>
            </w:pPr>
            <w:r>
              <w:rPr>
                <w:rFonts w:ascii="Calibri" w:eastAsia="Calibri" w:hAnsi="Calibri" w:cs="Calibri"/>
                <w:sz w:val="20"/>
                <w:szCs w:val="20"/>
              </w:rPr>
              <w:t>6</w:t>
            </w:r>
          </w:p>
        </w:tc>
      </w:tr>
      <w:tr w:rsidR="009F67E7" w14:paraId="3C140AAD" w14:textId="0E3F5B20" w:rsidTr="00E94F88">
        <w:trPr>
          <w:trHeight w:val="276"/>
        </w:trPr>
        <w:tc>
          <w:tcPr>
            <w:tcW w:w="11695" w:type="dxa"/>
            <w:gridSpan w:val="3"/>
            <w:shd w:val="clear" w:color="auto" w:fill="B4C6E7"/>
          </w:tcPr>
          <w:p w14:paraId="5BB14E41"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Data collection, management, and analysis</w:t>
            </w:r>
          </w:p>
        </w:tc>
        <w:tc>
          <w:tcPr>
            <w:tcW w:w="1260" w:type="dxa"/>
            <w:shd w:val="clear" w:color="auto" w:fill="B4C6E7"/>
          </w:tcPr>
          <w:p w14:paraId="2F97949F" w14:textId="77777777" w:rsidR="009F67E7" w:rsidRDefault="009F67E7" w:rsidP="009F67E7">
            <w:pPr>
              <w:rPr>
                <w:rFonts w:ascii="Calibri" w:eastAsia="Calibri" w:hAnsi="Calibri" w:cs="Calibri"/>
                <w:b/>
                <w:sz w:val="20"/>
                <w:szCs w:val="20"/>
              </w:rPr>
            </w:pPr>
          </w:p>
        </w:tc>
      </w:tr>
      <w:tr w:rsidR="009F67E7" w14:paraId="12AAF050" w14:textId="652D61DD" w:rsidTr="00E94F88">
        <w:trPr>
          <w:trHeight w:val="762"/>
        </w:trPr>
        <w:tc>
          <w:tcPr>
            <w:tcW w:w="2405" w:type="dxa"/>
            <w:vMerge w:val="restart"/>
            <w:shd w:val="clear" w:color="auto" w:fill="auto"/>
          </w:tcPr>
          <w:p w14:paraId="67EA5A6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collection methods</w:t>
            </w:r>
          </w:p>
        </w:tc>
        <w:tc>
          <w:tcPr>
            <w:tcW w:w="567" w:type="dxa"/>
            <w:shd w:val="clear" w:color="auto" w:fill="auto"/>
          </w:tcPr>
          <w:p w14:paraId="2499F25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25a</w:t>
            </w:r>
          </w:p>
        </w:tc>
        <w:tc>
          <w:tcPr>
            <w:tcW w:w="8723" w:type="dxa"/>
            <w:shd w:val="clear" w:color="auto" w:fill="auto"/>
          </w:tcPr>
          <w:p w14:paraId="40F1ADF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1260" w:type="dxa"/>
          </w:tcPr>
          <w:p w14:paraId="19104DC7" w14:textId="4E9031B7" w:rsidR="009F67E7" w:rsidRDefault="00CB6499" w:rsidP="009F67E7">
            <w:pPr>
              <w:rPr>
                <w:rFonts w:ascii="Calibri" w:eastAsia="Calibri" w:hAnsi="Calibri" w:cs="Calibri"/>
                <w:sz w:val="20"/>
                <w:szCs w:val="20"/>
              </w:rPr>
            </w:pPr>
            <w:r>
              <w:rPr>
                <w:rFonts w:ascii="Calibri" w:eastAsia="Calibri" w:hAnsi="Calibri" w:cs="Calibri"/>
                <w:sz w:val="20"/>
                <w:szCs w:val="20"/>
              </w:rPr>
              <w:t>12-13</w:t>
            </w:r>
          </w:p>
        </w:tc>
      </w:tr>
      <w:tr w:rsidR="009F67E7" w14:paraId="3DC70F88" w14:textId="218493C0" w:rsidTr="00E94F88">
        <w:trPr>
          <w:trHeight w:val="416"/>
        </w:trPr>
        <w:tc>
          <w:tcPr>
            <w:tcW w:w="2405" w:type="dxa"/>
            <w:vMerge/>
            <w:shd w:val="clear" w:color="auto" w:fill="auto"/>
          </w:tcPr>
          <w:p w14:paraId="42D1E6E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099434D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25b</w:t>
            </w:r>
          </w:p>
        </w:tc>
        <w:tc>
          <w:tcPr>
            <w:tcW w:w="8723" w:type="dxa"/>
            <w:shd w:val="clear" w:color="auto" w:fill="auto"/>
          </w:tcPr>
          <w:p w14:paraId="15BAE3E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1260" w:type="dxa"/>
          </w:tcPr>
          <w:p w14:paraId="7624F906" w14:textId="65DABFE3" w:rsidR="009F67E7" w:rsidRDefault="00CB6499" w:rsidP="009F67E7">
            <w:pPr>
              <w:rPr>
                <w:rFonts w:ascii="Calibri" w:eastAsia="Calibri" w:hAnsi="Calibri" w:cs="Calibri"/>
                <w:sz w:val="20"/>
                <w:szCs w:val="20"/>
              </w:rPr>
            </w:pPr>
            <w:r>
              <w:rPr>
                <w:rFonts w:ascii="Calibri" w:eastAsia="Calibri" w:hAnsi="Calibri" w:cs="Calibri"/>
                <w:sz w:val="20"/>
                <w:szCs w:val="20"/>
              </w:rPr>
              <w:t>n/a</w:t>
            </w:r>
          </w:p>
        </w:tc>
      </w:tr>
      <w:tr w:rsidR="009F67E7" w14:paraId="64A69930" w14:textId="037257F0" w:rsidTr="00E94F88">
        <w:trPr>
          <w:trHeight w:val="447"/>
        </w:trPr>
        <w:tc>
          <w:tcPr>
            <w:tcW w:w="2405" w:type="dxa"/>
            <w:shd w:val="clear" w:color="auto" w:fill="auto"/>
          </w:tcPr>
          <w:p w14:paraId="18ABA7B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management</w:t>
            </w:r>
          </w:p>
        </w:tc>
        <w:tc>
          <w:tcPr>
            <w:tcW w:w="567" w:type="dxa"/>
            <w:shd w:val="clear" w:color="auto" w:fill="auto"/>
          </w:tcPr>
          <w:p w14:paraId="0C4E63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26</w:t>
            </w:r>
          </w:p>
        </w:tc>
        <w:tc>
          <w:tcPr>
            <w:tcW w:w="8723" w:type="dxa"/>
            <w:shd w:val="clear" w:color="auto" w:fill="auto"/>
          </w:tcPr>
          <w:p w14:paraId="3657E2D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1260" w:type="dxa"/>
          </w:tcPr>
          <w:p w14:paraId="54A4564C" w14:textId="2E903159" w:rsidR="009F67E7" w:rsidRDefault="00CB6499" w:rsidP="009F67E7">
            <w:pPr>
              <w:rPr>
                <w:rFonts w:ascii="Calibri" w:eastAsia="Calibri" w:hAnsi="Calibri" w:cs="Calibri"/>
                <w:sz w:val="20"/>
                <w:szCs w:val="20"/>
              </w:rPr>
            </w:pPr>
            <w:r>
              <w:rPr>
                <w:rFonts w:ascii="Calibri" w:eastAsia="Calibri" w:hAnsi="Calibri" w:cs="Calibri"/>
                <w:sz w:val="20"/>
                <w:szCs w:val="20"/>
              </w:rPr>
              <w:t>12-13</w:t>
            </w:r>
          </w:p>
        </w:tc>
      </w:tr>
      <w:tr w:rsidR="009F67E7" w14:paraId="0EF72544" w14:textId="3F8F7FB8" w:rsidTr="00E94F88">
        <w:trPr>
          <w:trHeight w:val="347"/>
        </w:trPr>
        <w:tc>
          <w:tcPr>
            <w:tcW w:w="2405" w:type="dxa"/>
            <w:vMerge w:val="restart"/>
            <w:shd w:val="clear" w:color="auto" w:fill="auto"/>
          </w:tcPr>
          <w:p w14:paraId="664FB80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Statistical methods</w:t>
            </w:r>
          </w:p>
        </w:tc>
        <w:tc>
          <w:tcPr>
            <w:tcW w:w="567" w:type="dxa"/>
            <w:shd w:val="clear" w:color="auto" w:fill="auto"/>
          </w:tcPr>
          <w:p w14:paraId="1B53CC7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27a</w:t>
            </w:r>
          </w:p>
        </w:tc>
        <w:tc>
          <w:tcPr>
            <w:tcW w:w="8723" w:type="dxa"/>
            <w:shd w:val="clear" w:color="auto" w:fill="auto"/>
          </w:tcPr>
          <w:p w14:paraId="78D7EEF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including harms </w:t>
            </w:r>
          </w:p>
        </w:tc>
        <w:tc>
          <w:tcPr>
            <w:tcW w:w="1260" w:type="dxa"/>
          </w:tcPr>
          <w:p w14:paraId="7F239513" w14:textId="6D795C09" w:rsidR="009F67E7" w:rsidRDefault="00CB6499" w:rsidP="009F67E7">
            <w:pPr>
              <w:rPr>
                <w:rFonts w:ascii="Calibri" w:eastAsia="Calibri" w:hAnsi="Calibri" w:cs="Calibri"/>
                <w:sz w:val="20"/>
                <w:szCs w:val="20"/>
              </w:rPr>
            </w:pPr>
            <w:r>
              <w:rPr>
                <w:rFonts w:ascii="Calibri" w:eastAsia="Calibri" w:hAnsi="Calibri" w:cs="Calibri"/>
                <w:sz w:val="20"/>
                <w:szCs w:val="20"/>
              </w:rPr>
              <w:t>13</w:t>
            </w:r>
          </w:p>
        </w:tc>
      </w:tr>
      <w:tr w:rsidR="009F67E7" w14:paraId="4923AD0E" w14:textId="131AF4F0" w:rsidTr="00E94F88">
        <w:trPr>
          <w:trHeight w:val="424"/>
        </w:trPr>
        <w:tc>
          <w:tcPr>
            <w:tcW w:w="2405" w:type="dxa"/>
            <w:vMerge/>
            <w:shd w:val="clear" w:color="auto" w:fill="auto"/>
          </w:tcPr>
          <w:p w14:paraId="3A5D69B6"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2CAD33F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27b</w:t>
            </w:r>
          </w:p>
        </w:tc>
        <w:tc>
          <w:tcPr>
            <w:tcW w:w="8723" w:type="dxa"/>
            <w:shd w:val="clear" w:color="auto" w:fill="auto"/>
          </w:tcPr>
          <w:p w14:paraId="0BAEBA09" w14:textId="1A536CE8"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Definition of who will be included in each analysis (e.g., all randomized participants), and in which group</w:t>
            </w:r>
          </w:p>
        </w:tc>
        <w:tc>
          <w:tcPr>
            <w:tcW w:w="1260" w:type="dxa"/>
          </w:tcPr>
          <w:p w14:paraId="0C33588F" w14:textId="4133AB1E" w:rsidR="009F67E7" w:rsidRDefault="00CB6499" w:rsidP="009F67E7">
            <w:pPr>
              <w:rPr>
                <w:rFonts w:ascii="Calibri" w:eastAsia="Calibri" w:hAnsi="Calibri" w:cs="Calibri"/>
                <w:color w:val="000000"/>
                <w:sz w:val="20"/>
                <w:szCs w:val="20"/>
              </w:rPr>
            </w:pPr>
            <w:r>
              <w:rPr>
                <w:rFonts w:ascii="Calibri" w:eastAsia="Calibri" w:hAnsi="Calibri" w:cs="Calibri"/>
                <w:color w:val="000000"/>
                <w:sz w:val="20"/>
                <w:szCs w:val="20"/>
              </w:rPr>
              <w:t>13</w:t>
            </w:r>
          </w:p>
        </w:tc>
      </w:tr>
      <w:tr w:rsidR="009F67E7" w14:paraId="3CA8711C" w14:textId="28D9105C" w:rsidTr="00E94F88">
        <w:trPr>
          <w:trHeight w:val="306"/>
        </w:trPr>
        <w:tc>
          <w:tcPr>
            <w:tcW w:w="2405" w:type="dxa"/>
            <w:vMerge/>
            <w:shd w:val="clear" w:color="auto" w:fill="auto"/>
          </w:tcPr>
          <w:p w14:paraId="78B2DE5B"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010934F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27c</w:t>
            </w:r>
          </w:p>
        </w:tc>
        <w:tc>
          <w:tcPr>
            <w:tcW w:w="8723" w:type="dxa"/>
            <w:shd w:val="clear" w:color="auto" w:fill="auto"/>
          </w:tcPr>
          <w:p w14:paraId="5941640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missing data</w:t>
            </w:r>
            <w:r>
              <w:rPr>
                <w:rFonts w:ascii="Helvetica Neue" w:eastAsia="Helvetica Neue" w:hAnsi="Helvetica Neue" w:cs="Helvetica Neue"/>
                <w:color w:val="3F3F3F"/>
                <w:sz w:val="26"/>
                <w:szCs w:val="26"/>
              </w:rPr>
              <w:t xml:space="preserve"> </w:t>
            </w:r>
            <w:r>
              <w:rPr>
                <w:rFonts w:ascii="Calibri" w:eastAsia="Calibri" w:hAnsi="Calibri" w:cs="Calibri"/>
                <w:sz w:val="20"/>
                <w:szCs w:val="20"/>
              </w:rPr>
              <w:t>will be handled in the analysis</w:t>
            </w:r>
          </w:p>
        </w:tc>
        <w:tc>
          <w:tcPr>
            <w:tcW w:w="1260" w:type="dxa"/>
          </w:tcPr>
          <w:p w14:paraId="2A556BEB" w14:textId="6D2018CF" w:rsidR="009F67E7" w:rsidRDefault="00CB6499" w:rsidP="009F67E7">
            <w:pPr>
              <w:rPr>
                <w:rFonts w:ascii="Calibri" w:eastAsia="Calibri" w:hAnsi="Calibri" w:cs="Calibri"/>
                <w:sz w:val="20"/>
                <w:szCs w:val="20"/>
              </w:rPr>
            </w:pPr>
            <w:r>
              <w:rPr>
                <w:rFonts w:ascii="Calibri" w:eastAsia="Calibri" w:hAnsi="Calibri" w:cs="Calibri"/>
                <w:sz w:val="20"/>
                <w:szCs w:val="20"/>
              </w:rPr>
              <w:t>13</w:t>
            </w:r>
          </w:p>
        </w:tc>
      </w:tr>
      <w:tr w:rsidR="009F67E7" w14:paraId="72B524F3" w14:textId="2A19EFB0" w:rsidTr="00E94F88">
        <w:trPr>
          <w:trHeight w:val="306"/>
        </w:trPr>
        <w:tc>
          <w:tcPr>
            <w:tcW w:w="2405" w:type="dxa"/>
            <w:vMerge/>
            <w:shd w:val="clear" w:color="auto" w:fill="auto"/>
          </w:tcPr>
          <w:p w14:paraId="2508266D"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4B6E2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27d</w:t>
            </w:r>
          </w:p>
        </w:tc>
        <w:tc>
          <w:tcPr>
            <w:tcW w:w="8723" w:type="dxa"/>
            <w:shd w:val="clear" w:color="auto" w:fill="auto"/>
          </w:tcPr>
          <w:p w14:paraId="372071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Methods for any additional analyses (e.g., subgroup and sensitivity analyses)</w:t>
            </w:r>
          </w:p>
        </w:tc>
        <w:tc>
          <w:tcPr>
            <w:tcW w:w="1260" w:type="dxa"/>
          </w:tcPr>
          <w:p w14:paraId="400CFA32" w14:textId="45E3624B" w:rsidR="009F67E7" w:rsidRDefault="00CB6499" w:rsidP="009F67E7">
            <w:pPr>
              <w:rPr>
                <w:rFonts w:ascii="Calibri" w:eastAsia="Calibri" w:hAnsi="Calibri" w:cs="Calibri"/>
                <w:sz w:val="20"/>
                <w:szCs w:val="20"/>
              </w:rPr>
            </w:pPr>
            <w:r>
              <w:rPr>
                <w:rFonts w:ascii="Calibri" w:eastAsia="Calibri" w:hAnsi="Calibri" w:cs="Calibri"/>
                <w:sz w:val="20"/>
                <w:szCs w:val="20"/>
              </w:rPr>
              <w:t>13</w:t>
            </w:r>
          </w:p>
        </w:tc>
      </w:tr>
      <w:tr w:rsidR="009F67E7" w14:paraId="7AC4192E" w14:textId="4CE7200A" w:rsidTr="00E94F88">
        <w:trPr>
          <w:trHeight w:val="276"/>
        </w:trPr>
        <w:tc>
          <w:tcPr>
            <w:tcW w:w="11695" w:type="dxa"/>
            <w:gridSpan w:val="3"/>
            <w:shd w:val="clear" w:color="auto" w:fill="B4C6E7"/>
          </w:tcPr>
          <w:p w14:paraId="2A578633"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Monitoring</w:t>
            </w:r>
          </w:p>
        </w:tc>
        <w:tc>
          <w:tcPr>
            <w:tcW w:w="1260" w:type="dxa"/>
            <w:shd w:val="clear" w:color="auto" w:fill="B4C6E7"/>
          </w:tcPr>
          <w:p w14:paraId="59C4EB3C" w14:textId="77777777" w:rsidR="009F67E7" w:rsidRDefault="009F67E7" w:rsidP="009F67E7">
            <w:pPr>
              <w:rPr>
                <w:rFonts w:ascii="Calibri" w:eastAsia="Calibri" w:hAnsi="Calibri" w:cs="Calibri"/>
                <w:b/>
                <w:sz w:val="20"/>
                <w:szCs w:val="20"/>
              </w:rPr>
            </w:pPr>
          </w:p>
        </w:tc>
      </w:tr>
      <w:tr w:rsidR="009F67E7" w14:paraId="0ECBCEC3" w14:textId="72814133" w:rsidTr="00E94F88">
        <w:trPr>
          <w:trHeight w:val="722"/>
        </w:trPr>
        <w:tc>
          <w:tcPr>
            <w:tcW w:w="2405" w:type="dxa"/>
            <w:vMerge w:val="restart"/>
            <w:shd w:val="clear" w:color="auto" w:fill="auto"/>
          </w:tcPr>
          <w:p w14:paraId="500704E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shd w:val="clear" w:color="auto" w:fill="auto"/>
          </w:tcPr>
          <w:p w14:paraId="3854E4D2"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28a</w:t>
            </w:r>
          </w:p>
        </w:tc>
        <w:tc>
          <w:tcPr>
            <w:tcW w:w="8723" w:type="dxa"/>
            <w:shd w:val="clear" w:color="auto" w:fill="auto"/>
          </w:tcPr>
          <w:p w14:paraId="2BDB154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Pr>
                <w:rFonts w:ascii="Calibri" w:eastAsia="Calibri" w:hAnsi="Calibri" w:cs="Calibri"/>
                <w:color w:val="000000"/>
                <w:sz w:val="20"/>
                <w:szCs w:val="20"/>
              </w:rPr>
              <w:t>conflicts of interest</w:t>
            </w:r>
            <w:r>
              <w:rPr>
                <w:rFonts w:ascii="Calibri" w:eastAsia="Calibri" w:hAnsi="Calibri" w:cs="Calibri"/>
                <w:sz w:val="20"/>
                <w:szCs w:val="20"/>
              </w:rPr>
              <w:t xml:space="preserve"> and reference to where further details about its charter can be found, if not in the protocol. Alternatively, an explanation of why a DMC is not needed</w:t>
            </w:r>
          </w:p>
        </w:tc>
        <w:tc>
          <w:tcPr>
            <w:tcW w:w="1260" w:type="dxa"/>
          </w:tcPr>
          <w:p w14:paraId="63AF2AA6" w14:textId="329DB177" w:rsidR="009F67E7" w:rsidRDefault="00104642" w:rsidP="009F67E7">
            <w:pPr>
              <w:rPr>
                <w:rFonts w:ascii="Calibri" w:eastAsia="Calibri" w:hAnsi="Calibri" w:cs="Calibri"/>
                <w:sz w:val="20"/>
                <w:szCs w:val="20"/>
              </w:rPr>
            </w:pPr>
            <w:r>
              <w:rPr>
                <w:rFonts w:ascii="Calibri" w:eastAsia="Calibri" w:hAnsi="Calibri" w:cs="Calibri"/>
                <w:sz w:val="20"/>
                <w:szCs w:val="20"/>
              </w:rPr>
              <w:t>13</w:t>
            </w:r>
          </w:p>
        </w:tc>
      </w:tr>
      <w:tr w:rsidR="009F67E7" w14:paraId="10CBAFC2" w14:textId="52041C83" w:rsidTr="00E94F88">
        <w:trPr>
          <w:trHeight w:val="463"/>
        </w:trPr>
        <w:tc>
          <w:tcPr>
            <w:tcW w:w="2405" w:type="dxa"/>
            <w:vMerge/>
            <w:shd w:val="clear" w:color="auto" w:fill="auto"/>
          </w:tcPr>
          <w:p w14:paraId="3BC7C863"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7A5F449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28b</w:t>
            </w:r>
          </w:p>
        </w:tc>
        <w:tc>
          <w:tcPr>
            <w:tcW w:w="8723" w:type="dxa"/>
            <w:shd w:val="clear" w:color="auto" w:fill="auto"/>
          </w:tcPr>
          <w:p w14:paraId="33D86C9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1260" w:type="dxa"/>
          </w:tcPr>
          <w:p w14:paraId="02C6B140" w14:textId="615F036A" w:rsidR="009F67E7" w:rsidRDefault="00104642" w:rsidP="009F67E7">
            <w:pPr>
              <w:rPr>
                <w:rFonts w:ascii="Calibri" w:eastAsia="Calibri" w:hAnsi="Calibri" w:cs="Calibri"/>
                <w:sz w:val="20"/>
                <w:szCs w:val="20"/>
              </w:rPr>
            </w:pPr>
            <w:r>
              <w:rPr>
                <w:rFonts w:ascii="Calibri" w:eastAsia="Calibri" w:hAnsi="Calibri" w:cs="Calibri"/>
                <w:sz w:val="20"/>
                <w:szCs w:val="20"/>
              </w:rPr>
              <w:t>n/a</w:t>
            </w:r>
          </w:p>
        </w:tc>
      </w:tr>
      <w:tr w:rsidR="009F67E7" w14:paraId="5504626E" w14:textId="1B8A87B2" w:rsidTr="00E94F88">
        <w:trPr>
          <w:trHeight w:val="233"/>
        </w:trPr>
        <w:tc>
          <w:tcPr>
            <w:tcW w:w="2405" w:type="dxa"/>
            <w:shd w:val="clear" w:color="auto" w:fill="auto"/>
          </w:tcPr>
          <w:p w14:paraId="71226E7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monitoring</w:t>
            </w:r>
          </w:p>
        </w:tc>
        <w:tc>
          <w:tcPr>
            <w:tcW w:w="567" w:type="dxa"/>
            <w:shd w:val="clear" w:color="auto" w:fill="auto"/>
          </w:tcPr>
          <w:p w14:paraId="50F45532"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29</w:t>
            </w:r>
          </w:p>
        </w:tc>
        <w:tc>
          <w:tcPr>
            <w:tcW w:w="8723" w:type="dxa"/>
            <w:shd w:val="clear" w:color="auto" w:fill="auto"/>
          </w:tcPr>
          <w:p w14:paraId="48753F2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Frequency and procedures for monitoring trial conduct. If there is no monitoring, give explanation</w:t>
            </w:r>
          </w:p>
        </w:tc>
        <w:tc>
          <w:tcPr>
            <w:tcW w:w="1260" w:type="dxa"/>
          </w:tcPr>
          <w:p w14:paraId="2C8467EC" w14:textId="10D23185" w:rsidR="009F67E7" w:rsidRDefault="00104642" w:rsidP="009F67E7">
            <w:pPr>
              <w:rPr>
                <w:rFonts w:ascii="Calibri" w:eastAsia="Calibri" w:hAnsi="Calibri" w:cs="Calibri"/>
                <w:sz w:val="20"/>
                <w:szCs w:val="20"/>
              </w:rPr>
            </w:pPr>
            <w:r>
              <w:rPr>
                <w:rFonts w:ascii="Calibri" w:eastAsia="Calibri" w:hAnsi="Calibri" w:cs="Calibri"/>
                <w:sz w:val="20"/>
                <w:szCs w:val="20"/>
              </w:rPr>
              <w:t>13</w:t>
            </w:r>
          </w:p>
        </w:tc>
      </w:tr>
      <w:tr w:rsidR="009F67E7" w14:paraId="6B44D13F" w14:textId="6E939250" w:rsidTr="00E94F88">
        <w:trPr>
          <w:trHeight w:val="276"/>
        </w:trPr>
        <w:tc>
          <w:tcPr>
            <w:tcW w:w="11695" w:type="dxa"/>
            <w:gridSpan w:val="3"/>
            <w:shd w:val="clear" w:color="auto" w:fill="B4C6E7"/>
          </w:tcPr>
          <w:p w14:paraId="2440F6B2"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Ethics</w:t>
            </w:r>
          </w:p>
        </w:tc>
        <w:tc>
          <w:tcPr>
            <w:tcW w:w="1260" w:type="dxa"/>
            <w:shd w:val="clear" w:color="auto" w:fill="B4C6E7"/>
          </w:tcPr>
          <w:p w14:paraId="2E60EF24" w14:textId="77777777" w:rsidR="009F67E7" w:rsidRDefault="009F67E7" w:rsidP="009F67E7">
            <w:pPr>
              <w:rPr>
                <w:rFonts w:ascii="Calibri" w:eastAsia="Calibri" w:hAnsi="Calibri" w:cs="Calibri"/>
                <w:b/>
                <w:sz w:val="20"/>
                <w:szCs w:val="20"/>
              </w:rPr>
            </w:pPr>
          </w:p>
        </w:tc>
      </w:tr>
      <w:tr w:rsidR="009F67E7" w14:paraId="1AF0F713" w14:textId="57C2F717" w:rsidTr="00E94F88">
        <w:trPr>
          <w:trHeight w:val="274"/>
        </w:trPr>
        <w:tc>
          <w:tcPr>
            <w:tcW w:w="2405" w:type="dxa"/>
            <w:shd w:val="clear" w:color="auto" w:fill="auto"/>
          </w:tcPr>
          <w:p w14:paraId="4A1C3BC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shd w:val="clear" w:color="auto" w:fill="auto"/>
          </w:tcPr>
          <w:p w14:paraId="382DE55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30</w:t>
            </w:r>
          </w:p>
        </w:tc>
        <w:tc>
          <w:tcPr>
            <w:tcW w:w="8723" w:type="dxa"/>
            <w:shd w:val="clear" w:color="auto" w:fill="auto"/>
          </w:tcPr>
          <w:p w14:paraId="53C3D5E1"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1260" w:type="dxa"/>
          </w:tcPr>
          <w:p w14:paraId="6D8E2457" w14:textId="073E1CEE" w:rsidR="009F67E7" w:rsidRDefault="00104642" w:rsidP="009F67E7">
            <w:pPr>
              <w:rPr>
                <w:rFonts w:ascii="Calibri" w:eastAsia="Calibri" w:hAnsi="Calibri" w:cs="Calibri"/>
                <w:sz w:val="20"/>
                <w:szCs w:val="20"/>
              </w:rPr>
            </w:pPr>
            <w:r>
              <w:rPr>
                <w:rFonts w:ascii="Calibri" w:eastAsia="Calibri" w:hAnsi="Calibri" w:cs="Calibri"/>
                <w:sz w:val="20"/>
                <w:szCs w:val="20"/>
              </w:rPr>
              <w:t>17</w:t>
            </w:r>
          </w:p>
        </w:tc>
      </w:tr>
      <w:tr w:rsidR="009F67E7" w14:paraId="1AD65FAB" w14:textId="01150888" w:rsidTr="00E94F88">
        <w:trPr>
          <w:trHeight w:val="427"/>
        </w:trPr>
        <w:tc>
          <w:tcPr>
            <w:tcW w:w="2405" w:type="dxa"/>
            <w:shd w:val="clear" w:color="auto" w:fill="auto"/>
          </w:tcPr>
          <w:p w14:paraId="294361A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amendments</w:t>
            </w:r>
          </w:p>
        </w:tc>
        <w:tc>
          <w:tcPr>
            <w:tcW w:w="567" w:type="dxa"/>
            <w:shd w:val="clear" w:color="auto" w:fill="auto"/>
          </w:tcPr>
          <w:p w14:paraId="1907188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31</w:t>
            </w:r>
          </w:p>
        </w:tc>
        <w:tc>
          <w:tcPr>
            <w:tcW w:w="8723" w:type="dxa"/>
            <w:shd w:val="clear" w:color="auto" w:fill="auto"/>
          </w:tcPr>
          <w:p w14:paraId="404464A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Plans for communicating important protocol modifications to relevant parties </w:t>
            </w:r>
          </w:p>
        </w:tc>
        <w:tc>
          <w:tcPr>
            <w:tcW w:w="1260" w:type="dxa"/>
          </w:tcPr>
          <w:p w14:paraId="1EF504AD" w14:textId="6BA7EDC0" w:rsidR="009F67E7" w:rsidRDefault="00104642" w:rsidP="009F67E7">
            <w:pPr>
              <w:rPr>
                <w:rFonts w:ascii="Calibri" w:eastAsia="Calibri" w:hAnsi="Calibri" w:cs="Calibri"/>
                <w:sz w:val="20"/>
                <w:szCs w:val="20"/>
              </w:rPr>
            </w:pPr>
            <w:r>
              <w:rPr>
                <w:rFonts w:ascii="Calibri" w:eastAsia="Calibri" w:hAnsi="Calibri" w:cs="Calibri"/>
                <w:sz w:val="20"/>
                <w:szCs w:val="20"/>
              </w:rPr>
              <w:t>14-15</w:t>
            </w:r>
          </w:p>
        </w:tc>
      </w:tr>
      <w:tr w:rsidR="009F67E7" w14:paraId="237A0F60" w14:textId="38C12E53" w:rsidTr="00E94F88">
        <w:trPr>
          <w:trHeight w:val="301"/>
        </w:trPr>
        <w:tc>
          <w:tcPr>
            <w:tcW w:w="2405" w:type="dxa"/>
            <w:vMerge w:val="restart"/>
            <w:shd w:val="clear" w:color="auto" w:fill="auto"/>
          </w:tcPr>
          <w:p w14:paraId="2D20E66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Consent or assent</w:t>
            </w:r>
          </w:p>
        </w:tc>
        <w:tc>
          <w:tcPr>
            <w:tcW w:w="567" w:type="dxa"/>
            <w:shd w:val="clear" w:color="auto" w:fill="auto"/>
          </w:tcPr>
          <w:p w14:paraId="623401F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32a</w:t>
            </w:r>
          </w:p>
        </w:tc>
        <w:tc>
          <w:tcPr>
            <w:tcW w:w="8723" w:type="dxa"/>
            <w:shd w:val="clear" w:color="auto" w:fill="auto"/>
          </w:tcPr>
          <w:p w14:paraId="003C46F0" w14:textId="6127DECA"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obtain informed consent or assent from potential trial participants or authorized proxies, and how </w:t>
            </w:r>
          </w:p>
        </w:tc>
        <w:tc>
          <w:tcPr>
            <w:tcW w:w="1260" w:type="dxa"/>
          </w:tcPr>
          <w:p w14:paraId="661B0473" w14:textId="7BF31BE9" w:rsidR="009F67E7" w:rsidRDefault="00104642" w:rsidP="009F67E7">
            <w:pPr>
              <w:rPr>
                <w:rFonts w:ascii="Calibri" w:eastAsia="Calibri" w:hAnsi="Calibri" w:cs="Calibri"/>
                <w:sz w:val="20"/>
                <w:szCs w:val="20"/>
              </w:rPr>
            </w:pPr>
            <w:r>
              <w:rPr>
                <w:rFonts w:ascii="Calibri" w:eastAsia="Calibri" w:hAnsi="Calibri" w:cs="Calibri"/>
                <w:sz w:val="20"/>
                <w:szCs w:val="20"/>
              </w:rPr>
              <w:t>17</w:t>
            </w:r>
          </w:p>
        </w:tc>
      </w:tr>
      <w:tr w:rsidR="009F67E7" w14:paraId="1015F0BE" w14:textId="35868D4A" w:rsidTr="00E94F88">
        <w:trPr>
          <w:trHeight w:val="185"/>
        </w:trPr>
        <w:tc>
          <w:tcPr>
            <w:tcW w:w="2405" w:type="dxa"/>
            <w:vMerge/>
            <w:shd w:val="clear" w:color="auto" w:fill="auto"/>
          </w:tcPr>
          <w:p w14:paraId="1CAC937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23A2304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32b</w:t>
            </w:r>
          </w:p>
        </w:tc>
        <w:tc>
          <w:tcPr>
            <w:tcW w:w="8723" w:type="dxa"/>
            <w:shd w:val="clear" w:color="auto" w:fill="auto"/>
          </w:tcPr>
          <w:p w14:paraId="202394F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Additional consent provisions for collection and use of participant data and biological specimens in ancillary studies, if applicable</w:t>
            </w:r>
          </w:p>
        </w:tc>
        <w:tc>
          <w:tcPr>
            <w:tcW w:w="1260" w:type="dxa"/>
          </w:tcPr>
          <w:p w14:paraId="05E71DBD" w14:textId="726C9369" w:rsidR="009F67E7" w:rsidRDefault="00104642" w:rsidP="009F67E7">
            <w:pPr>
              <w:rPr>
                <w:rFonts w:ascii="Calibri" w:eastAsia="Calibri" w:hAnsi="Calibri" w:cs="Calibri"/>
                <w:sz w:val="20"/>
                <w:szCs w:val="20"/>
              </w:rPr>
            </w:pPr>
            <w:r>
              <w:rPr>
                <w:rFonts w:ascii="Calibri" w:eastAsia="Calibri" w:hAnsi="Calibri" w:cs="Calibri"/>
                <w:sz w:val="20"/>
                <w:szCs w:val="20"/>
              </w:rPr>
              <w:t>n/a</w:t>
            </w:r>
          </w:p>
        </w:tc>
      </w:tr>
      <w:tr w:rsidR="009F67E7" w14:paraId="6E4E8610" w14:textId="0E6C8493" w:rsidTr="00E94F88">
        <w:trPr>
          <w:trHeight w:val="480"/>
        </w:trPr>
        <w:tc>
          <w:tcPr>
            <w:tcW w:w="2405" w:type="dxa"/>
            <w:shd w:val="clear" w:color="auto" w:fill="auto"/>
          </w:tcPr>
          <w:p w14:paraId="34C160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Confidentiality</w:t>
            </w:r>
          </w:p>
        </w:tc>
        <w:tc>
          <w:tcPr>
            <w:tcW w:w="567" w:type="dxa"/>
            <w:shd w:val="clear" w:color="auto" w:fill="auto"/>
          </w:tcPr>
          <w:p w14:paraId="79B0048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33</w:t>
            </w:r>
          </w:p>
        </w:tc>
        <w:tc>
          <w:tcPr>
            <w:tcW w:w="8723" w:type="dxa"/>
            <w:shd w:val="clear" w:color="auto" w:fill="auto"/>
          </w:tcPr>
          <w:p w14:paraId="70AB14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personal information about potential and enrolled participants will be collected, shared, and maintained in order to protect confidentiality before, during, and after the trial</w:t>
            </w:r>
          </w:p>
        </w:tc>
        <w:tc>
          <w:tcPr>
            <w:tcW w:w="1260" w:type="dxa"/>
          </w:tcPr>
          <w:p w14:paraId="7426B59E" w14:textId="4E5217AF" w:rsidR="009F67E7" w:rsidRDefault="00104642" w:rsidP="009F67E7">
            <w:pPr>
              <w:rPr>
                <w:rFonts w:ascii="Calibri" w:eastAsia="Calibri" w:hAnsi="Calibri" w:cs="Calibri"/>
                <w:sz w:val="20"/>
                <w:szCs w:val="20"/>
              </w:rPr>
            </w:pPr>
            <w:r>
              <w:rPr>
                <w:rFonts w:ascii="Calibri" w:eastAsia="Calibri" w:hAnsi="Calibri" w:cs="Calibri"/>
                <w:sz w:val="20"/>
                <w:szCs w:val="20"/>
              </w:rPr>
              <w:t>12-13</w:t>
            </w:r>
            <w:bookmarkStart w:id="0" w:name="_GoBack"/>
            <w:bookmarkEnd w:id="0"/>
          </w:p>
        </w:tc>
      </w:tr>
      <w:tr w:rsidR="009F67E7" w14:paraId="5787D876" w14:textId="0C1273C6" w:rsidTr="00E94F88">
        <w:trPr>
          <w:trHeight w:val="361"/>
        </w:trPr>
        <w:tc>
          <w:tcPr>
            <w:tcW w:w="2405" w:type="dxa"/>
            <w:shd w:val="clear" w:color="auto" w:fill="auto"/>
          </w:tcPr>
          <w:p w14:paraId="5579F60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Ancillary and post-trial care</w:t>
            </w:r>
          </w:p>
        </w:tc>
        <w:tc>
          <w:tcPr>
            <w:tcW w:w="567" w:type="dxa"/>
            <w:shd w:val="clear" w:color="auto" w:fill="auto"/>
          </w:tcPr>
          <w:p w14:paraId="42E0E2E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34</w:t>
            </w:r>
          </w:p>
        </w:tc>
        <w:tc>
          <w:tcPr>
            <w:tcW w:w="8723" w:type="dxa"/>
            <w:shd w:val="clear" w:color="auto" w:fill="auto"/>
          </w:tcPr>
          <w:p w14:paraId="486EA39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Provisions, if any, for ancillary and post-trial care, and for compensation to those who suffer harm from trial participation</w:t>
            </w:r>
          </w:p>
        </w:tc>
        <w:tc>
          <w:tcPr>
            <w:tcW w:w="1260" w:type="dxa"/>
          </w:tcPr>
          <w:p w14:paraId="3AF032B2" w14:textId="5FDDCDB6" w:rsidR="009F67E7" w:rsidRDefault="00104642" w:rsidP="009F67E7">
            <w:pPr>
              <w:rPr>
                <w:rFonts w:ascii="Calibri" w:eastAsia="Calibri" w:hAnsi="Calibri" w:cs="Calibri"/>
                <w:sz w:val="20"/>
                <w:szCs w:val="20"/>
              </w:rPr>
            </w:pPr>
            <w:r>
              <w:rPr>
                <w:rFonts w:ascii="Calibri" w:eastAsia="Calibri" w:hAnsi="Calibri" w:cs="Calibri"/>
                <w:sz w:val="20"/>
                <w:szCs w:val="20"/>
              </w:rPr>
              <w:t>n/a</w:t>
            </w:r>
          </w:p>
        </w:tc>
      </w:tr>
    </w:tbl>
    <w:p w14:paraId="30AB0EAB" w14:textId="6366BBB5" w:rsidR="00702F65" w:rsidRDefault="00702F65" w:rsidP="006A5AEC">
      <w:pPr>
        <w:rPr>
          <w:rFonts w:ascii="Calibri" w:eastAsia="Calibri" w:hAnsi="Calibri" w:cs="Calibri"/>
        </w:rPr>
      </w:pPr>
    </w:p>
    <w:p w14:paraId="54C08E11" w14:textId="2F591B9E"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lastRenderedPageBreak/>
        <w:t xml:space="preserve">*We strongly recommend reading this checklist in conjunction with the SPIRIT 2025 Explanation and Elaboration </w:t>
      </w:r>
      <w:r w:rsidR="006C66B2">
        <w:rPr>
          <w:rFonts w:asciiTheme="majorHAnsi" w:hAnsiTheme="majorHAnsi" w:cstheme="majorHAnsi"/>
          <w:sz w:val="20"/>
        </w:rPr>
        <w:t>and</w:t>
      </w:r>
      <w:r w:rsidR="006C66B2" w:rsidRPr="006C66B2">
        <w:rPr>
          <w:rFonts w:asciiTheme="majorHAnsi" w:hAnsiTheme="majorHAnsi" w:cstheme="majorHAnsi"/>
          <w:sz w:val="20"/>
        </w:rPr>
        <w:t xml:space="preserve"> </w:t>
      </w:r>
      <w:r w:rsidR="006C66B2" w:rsidRPr="00AA7974">
        <w:rPr>
          <w:rFonts w:asciiTheme="majorHAnsi" w:hAnsiTheme="majorHAnsi" w:cstheme="majorHAnsi"/>
          <w:sz w:val="20"/>
        </w:rPr>
        <w:t xml:space="preserve">the SPIRIT 2025 </w:t>
      </w:r>
      <w:r w:rsidR="006C66B2">
        <w:rPr>
          <w:rFonts w:asciiTheme="majorHAnsi" w:hAnsiTheme="majorHAnsi" w:cstheme="majorHAnsi"/>
          <w:sz w:val="20"/>
        </w:rPr>
        <w:t>Expanded Checklist</w:t>
      </w:r>
      <w:r w:rsidR="006C66B2" w:rsidRPr="00AA7974">
        <w:rPr>
          <w:rFonts w:asciiTheme="majorHAnsi" w:hAnsiTheme="majorHAnsi" w:cstheme="majorHAnsi"/>
          <w:sz w:val="20"/>
        </w:rPr>
        <w:t xml:space="preserve"> </w:t>
      </w:r>
      <w:r w:rsidRPr="00AA7974">
        <w:rPr>
          <w:rFonts w:asciiTheme="majorHAnsi" w:hAnsiTheme="majorHAnsi" w:cstheme="majorHAnsi"/>
          <w:sz w:val="20"/>
        </w:rPr>
        <w:t xml:space="preserve">for important clarifications on all the items. We also recommend reading relevant SPIRIT extensions. See </w:t>
      </w:r>
      <w:hyperlink r:id="rId8" w:history="1">
        <w:r w:rsidRPr="00AA7974">
          <w:rPr>
            <w:rStyle w:val="Hyperlink"/>
            <w:rFonts w:asciiTheme="majorHAnsi" w:eastAsia="Arial" w:hAnsiTheme="majorHAnsi" w:cstheme="majorHAnsi"/>
            <w:sz w:val="20"/>
          </w:rPr>
          <w:t>www.consort-spirit.org</w:t>
        </w:r>
      </w:hyperlink>
    </w:p>
    <w:p w14:paraId="7A16F352" w14:textId="77777777" w:rsidR="00AA7974" w:rsidRPr="00AA7974" w:rsidRDefault="00AA7974" w:rsidP="00AA7974">
      <w:pPr>
        <w:rPr>
          <w:rFonts w:asciiTheme="majorHAnsi" w:hAnsiTheme="majorHAnsi" w:cstheme="majorHAnsi"/>
          <w:sz w:val="20"/>
          <w:szCs w:val="20"/>
        </w:rPr>
      </w:pPr>
    </w:p>
    <w:p w14:paraId="5D818620"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Citation: Chan A-W, Boutron I, Hopewell S, Moher D, Schulz KF, et al. SPIRIT 2025 statement: updated guideline for protocols of randomised trials. BMJ 2025;389:e081477.</w:t>
      </w:r>
      <w:r w:rsidRPr="00AA7974">
        <w:rPr>
          <w:rFonts w:asciiTheme="majorHAnsi" w:hAnsiTheme="majorHAnsi" w:cstheme="majorHAnsi"/>
        </w:rPr>
        <w:t xml:space="preserve"> </w:t>
      </w:r>
      <w:hyperlink r:id="rId9" w:history="1">
        <w:r w:rsidRPr="00AA7974">
          <w:rPr>
            <w:rStyle w:val="Hyperlink"/>
            <w:rFonts w:asciiTheme="majorHAnsi" w:hAnsiTheme="majorHAnsi" w:cstheme="majorHAnsi"/>
            <w:sz w:val="20"/>
          </w:rPr>
          <w:t>https://dx.doi.org/10.1136/bmj-2024-081477</w:t>
        </w:r>
      </w:hyperlink>
    </w:p>
    <w:p w14:paraId="4D0364D9"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p>
    <w:p w14:paraId="1640AFE7"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2025 Chan A-W et al. This is an Open Access article distributed under the terms of the Creative Commons Attribution License (</w:t>
      </w:r>
      <w:hyperlink r:id="rId10" w:history="1">
        <w:r w:rsidRPr="00AA7974">
          <w:rPr>
            <w:rStyle w:val="Hyperlink"/>
            <w:rFonts w:asciiTheme="majorHAnsi" w:eastAsia="Arial" w:hAnsiTheme="majorHAnsi" w:cstheme="majorHAnsi"/>
            <w:sz w:val="20"/>
          </w:rPr>
          <w:t>https://creativecommons.org/licenses/by/4.0/</w:t>
        </w:r>
      </w:hyperlink>
      <w:r w:rsidRPr="00AA7974">
        <w:rPr>
          <w:rFonts w:asciiTheme="majorHAnsi" w:hAnsiTheme="majorHAnsi" w:cstheme="majorHAnsi"/>
          <w:sz w:val="20"/>
        </w:rPr>
        <w:t>), which permits unrestricted use, distribution, and reproduction in any medium, provided the original work is properly cited.</w:t>
      </w:r>
    </w:p>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11"/>
      <w:footerReference w:type="default" r:id="rId12"/>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12FBD" w14:textId="77777777" w:rsidR="00871E1A" w:rsidRDefault="00871E1A">
      <w:r>
        <w:separator/>
      </w:r>
    </w:p>
  </w:endnote>
  <w:endnote w:type="continuationSeparator" w:id="0">
    <w:p w14:paraId="582746B0" w14:textId="77777777" w:rsidR="00871E1A" w:rsidRDefault="00871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Neue">
    <w:altName w:val="Corbel"/>
    <w:charset w:val="00"/>
    <w:family w:val="auto"/>
    <w:pitch w:val="variable"/>
    <w:sig w:usb0="00000003"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104642">
      <w:rPr>
        <w:rFonts w:ascii="Calibri" w:eastAsia="Calibri" w:hAnsi="Calibri" w:cs="Calibri"/>
        <w:noProof/>
        <w:color w:val="000000"/>
      </w:rPr>
      <w:t>4</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104642">
      <w:rPr>
        <w:rFonts w:ascii="Calibri" w:eastAsia="Calibri" w:hAnsi="Calibri" w:cs="Calibri"/>
        <w:noProof/>
        <w:color w:val="000000"/>
      </w:rPr>
      <w:t>4</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E8BB42" w14:textId="77777777" w:rsidR="00871E1A" w:rsidRDefault="00871E1A">
      <w:r>
        <w:separator/>
      </w:r>
    </w:p>
  </w:footnote>
  <w:footnote w:type="continuationSeparator" w:id="0">
    <w:p w14:paraId="59A09523" w14:textId="77777777" w:rsidR="00871E1A" w:rsidRDefault="00871E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748F4"/>
    <w:rsid w:val="000863CC"/>
    <w:rsid w:val="000A67D6"/>
    <w:rsid w:val="000B133A"/>
    <w:rsid w:val="000C57FA"/>
    <w:rsid w:val="000C6C5B"/>
    <w:rsid w:val="00104642"/>
    <w:rsid w:val="001046FD"/>
    <w:rsid w:val="00123910"/>
    <w:rsid w:val="00165F77"/>
    <w:rsid w:val="0016602B"/>
    <w:rsid w:val="0018139A"/>
    <w:rsid w:val="001A321E"/>
    <w:rsid w:val="001B6CEE"/>
    <w:rsid w:val="001C3D72"/>
    <w:rsid w:val="001D3422"/>
    <w:rsid w:val="001D5A27"/>
    <w:rsid w:val="002162F0"/>
    <w:rsid w:val="00217195"/>
    <w:rsid w:val="002D34D0"/>
    <w:rsid w:val="00301B0C"/>
    <w:rsid w:val="00305F2C"/>
    <w:rsid w:val="00307632"/>
    <w:rsid w:val="00307850"/>
    <w:rsid w:val="0031325B"/>
    <w:rsid w:val="00321DA5"/>
    <w:rsid w:val="00356D9F"/>
    <w:rsid w:val="00364BE0"/>
    <w:rsid w:val="00373234"/>
    <w:rsid w:val="00383414"/>
    <w:rsid w:val="003C0959"/>
    <w:rsid w:val="003C2518"/>
    <w:rsid w:val="003F4875"/>
    <w:rsid w:val="0040780B"/>
    <w:rsid w:val="00471FA0"/>
    <w:rsid w:val="00495902"/>
    <w:rsid w:val="00497D30"/>
    <w:rsid w:val="004D526C"/>
    <w:rsid w:val="00503C08"/>
    <w:rsid w:val="005137AD"/>
    <w:rsid w:val="0051715B"/>
    <w:rsid w:val="00531AAB"/>
    <w:rsid w:val="0055708A"/>
    <w:rsid w:val="005A7081"/>
    <w:rsid w:val="005B562C"/>
    <w:rsid w:val="005C6DC1"/>
    <w:rsid w:val="005F4A53"/>
    <w:rsid w:val="006453E0"/>
    <w:rsid w:val="00646AF7"/>
    <w:rsid w:val="00687ABF"/>
    <w:rsid w:val="00693F42"/>
    <w:rsid w:val="006A5AEC"/>
    <w:rsid w:val="006C2950"/>
    <w:rsid w:val="006C66B2"/>
    <w:rsid w:val="006D0DA4"/>
    <w:rsid w:val="00702F65"/>
    <w:rsid w:val="007301B7"/>
    <w:rsid w:val="00750743"/>
    <w:rsid w:val="00767EA8"/>
    <w:rsid w:val="00773168"/>
    <w:rsid w:val="007941AE"/>
    <w:rsid w:val="007B2CD7"/>
    <w:rsid w:val="007C5D5E"/>
    <w:rsid w:val="0081074A"/>
    <w:rsid w:val="00815D12"/>
    <w:rsid w:val="00834CD7"/>
    <w:rsid w:val="00871E1A"/>
    <w:rsid w:val="008D6C5C"/>
    <w:rsid w:val="008E5C3A"/>
    <w:rsid w:val="008E6DF2"/>
    <w:rsid w:val="008E73A3"/>
    <w:rsid w:val="008F48BC"/>
    <w:rsid w:val="00903FDA"/>
    <w:rsid w:val="009347D0"/>
    <w:rsid w:val="00995F28"/>
    <w:rsid w:val="009B6976"/>
    <w:rsid w:val="009E01AC"/>
    <w:rsid w:val="009F1024"/>
    <w:rsid w:val="009F67E7"/>
    <w:rsid w:val="00A22E1C"/>
    <w:rsid w:val="00A5591F"/>
    <w:rsid w:val="00A729D1"/>
    <w:rsid w:val="00A73BE7"/>
    <w:rsid w:val="00A826DA"/>
    <w:rsid w:val="00AA0079"/>
    <w:rsid w:val="00AA0E24"/>
    <w:rsid w:val="00AA17D7"/>
    <w:rsid w:val="00AA6B0F"/>
    <w:rsid w:val="00AA7974"/>
    <w:rsid w:val="00AD7495"/>
    <w:rsid w:val="00B164CF"/>
    <w:rsid w:val="00B4380E"/>
    <w:rsid w:val="00B6061B"/>
    <w:rsid w:val="00B614E3"/>
    <w:rsid w:val="00B754A5"/>
    <w:rsid w:val="00BA0176"/>
    <w:rsid w:val="00BA099A"/>
    <w:rsid w:val="00BB7ADC"/>
    <w:rsid w:val="00BF52A7"/>
    <w:rsid w:val="00C0122E"/>
    <w:rsid w:val="00C510F0"/>
    <w:rsid w:val="00C65022"/>
    <w:rsid w:val="00C6601A"/>
    <w:rsid w:val="00C67928"/>
    <w:rsid w:val="00C7013C"/>
    <w:rsid w:val="00CB6499"/>
    <w:rsid w:val="00D017AA"/>
    <w:rsid w:val="00D46DB4"/>
    <w:rsid w:val="00D5186C"/>
    <w:rsid w:val="00D56875"/>
    <w:rsid w:val="00DB2CA8"/>
    <w:rsid w:val="00DD051C"/>
    <w:rsid w:val="00E03B67"/>
    <w:rsid w:val="00E419AC"/>
    <w:rsid w:val="00E75DCF"/>
    <w:rsid w:val="00E82690"/>
    <w:rsid w:val="00E94F88"/>
    <w:rsid w:val="00EA0A90"/>
    <w:rsid w:val="00EA484E"/>
    <w:rsid w:val="00EA70D8"/>
    <w:rsid w:val="00EC0E77"/>
    <w:rsid w:val="00F156E4"/>
    <w:rsid w:val="00F23792"/>
    <w:rsid w:val="00F53EE1"/>
    <w:rsid w:val="00F75C46"/>
    <w:rsid w:val="00F87CE6"/>
    <w:rsid w:val="00FB4A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uiPriority w:val="9"/>
    <w:qFormat/>
    <w:pPr>
      <w:keepNext/>
      <w:spacing w:before="240" w:after="60"/>
      <w:outlineLvl w:val="0"/>
    </w:pPr>
    <w:rPr>
      <w:rFonts w:ascii="Arial" w:eastAsia="Arial" w:hAnsi="Arial" w:cs="Arial"/>
      <w:b/>
      <w:sz w:val="32"/>
      <w:szCs w:val="32"/>
    </w:rPr>
  </w:style>
  <w:style w:type="paragraph" w:styleId="berschrift2">
    <w:name w:val="heading 2"/>
    <w:basedOn w:val="Standard"/>
    <w:next w:val="Standard"/>
    <w:uiPriority w:val="9"/>
    <w:semiHidden/>
    <w:unhideWhenUsed/>
    <w:qFormat/>
    <w:pPr>
      <w:keepNext/>
      <w:spacing w:before="240" w:after="60"/>
      <w:outlineLvl w:val="1"/>
    </w:pPr>
    <w:rPr>
      <w:rFonts w:ascii="Arial" w:eastAsia="Arial" w:hAnsi="Arial" w:cs="Arial"/>
      <w:b/>
      <w:i/>
      <w:sz w:val="28"/>
      <w:szCs w:val="28"/>
    </w:rPr>
  </w:style>
  <w:style w:type="paragraph" w:styleId="berschrift3">
    <w:name w:val="heading 3"/>
    <w:basedOn w:val="Standard"/>
    <w:next w:val="Standard"/>
    <w:uiPriority w:val="9"/>
    <w:semiHidden/>
    <w:unhideWhenUsed/>
    <w:qFormat/>
    <w:pPr>
      <w:jc w:val="center"/>
      <w:outlineLvl w:val="2"/>
    </w:pPr>
    <w:rPr>
      <w:rFonts w:ascii="Tahoma" w:eastAsia="Tahoma" w:hAnsi="Tahoma" w:cs="Tahoma"/>
      <w:b/>
      <w:smallCaps/>
      <w:color w:val="FFFFFF"/>
      <w:sz w:val="18"/>
      <w:szCs w:val="18"/>
    </w:rPr>
  </w:style>
  <w:style w:type="paragraph" w:styleId="berschrift4">
    <w:name w:val="heading 4"/>
    <w:basedOn w:val="Standard"/>
    <w:next w:val="Standard"/>
    <w:uiPriority w:val="9"/>
    <w:semiHidden/>
    <w:unhideWhenUsed/>
    <w:qFormat/>
    <w:pPr>
      <w:keepNext/>
      <w:keepLines/>
      <w:spacing w:before="240" w:after="40"/>
      <w:outlineLvl w:val="3"/>
    </w:pPr>
    <w:rPr>
      <w:rFonts w:ascii="Arial" w:eastAsia="Arial" w:hAnsi="Arial" w:cs="Arial"/>
      <w:b/>
    </w:rPr>
  </w:style>
  <w:style w:type="paragraph" w:styleId="berschrift5">
    <w:name w:val="heading 5"/>
    <w:basedOn w:val="Standard"/>
    <w:next w:val="Standard"/>
    <w:uiPriority w:val="9"/>
    <w:semiHidden/>
    <w:unhideWhenUsed/>
    <w:qFormat/>
    <w:pPr>
      <w:keepNext/>
      <w:keepLines/>
      <w:spacing w:before="220" w:after="40"/>
      <w:outlineLvl w:val="4"/>
    </w:pPr>
    <w:rPr>
      <w:rFonts w:ascii="Arial" w:eastAsia="Arial" w:hAnsi="Arial" w:cs="Arial"/>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rFonts w:ascii="Arial" w:eastAsia="Arial" w:hAnsi="Arial" w:cs="Arial"/>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jc w:val="center"/>
    </w:pPr>
    <w:rPr>
      <w:rFonts w:ascii="Arial" w:eastAsia="Arial" w:hAnsi="Arial" w:cs="Arial"/>
      <w:b/>
      <w:sz w:val="28"/>
      <w:szCs w:val="28"/>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table" w:customStyle="1" w:styleId="a">
    <w:basedOn w:val="NormaleTabelle"/>
    <w:tblPr>
      <w:tblStyleRowBandSize w:val="1"/>
      <w:tblStyleColBandSize w:val="1"/>
      <w:tblCellMar>
        <w:top w:w="15" w:type="dxa"/>
        <w:left w:w="15" w:type="dxa"/>
        <w:bottom w:w="15" w:type="dxa"/>
        <w:right w:w="15" w:type="dxa"/>
      </w:tblCellMar>
    </w:tblPr>
  </w:style>
  <w:style w:type="table" w:customStyle="1" w:styleId="a0">
    <w:basedOn w:val="NormaleTabelle"/>
    <w:tblPr>
      <w:tblStyleRowBandSize w:val="1"/>
      <w:tblStyleColBandSize w:val="1"/>
      <w:tblCellMar>
        <w:left w:w="115" w:type="dxa"/>
        <w:right w:w="115" w:type="dxa"/>
      </w:tblCellMar>
    </w:tbl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character" w:styleId="Zeilennummer">
    <w:name w:val="line number"/>
    <w:basedOn w:val="Absatz-Standardschriftart"/>
    <w:uiPriority w:val="99"/>
    <w:semiHidden/>
    <w:unhideWhenUsed/>
    <w:rsid w:val="007C5D5E"/>
  </w:style>
  <w:style w:type="paragraph" w:customStyle="1" w:styleId="EndNoteBibliographyTitle">
    <w:name w:val="EndNote Bibliography Title"/>
    <w:basedOn w:val="Standard"/>
    <w:link w:val="EndNoteBibliographyTitleTegn"/>
    <w:rsid w:val="001C3D72"/>
    <w:pPr>
      <w:jc w:val="center"/>
    </w:pPr>
    <w:rPr>
      <w:noProof/>
      <w:lang w:val="en-US"/>
    </w:rPr>
  </w:style>
  <w:style w:type="character" w:customStyle="1" w:styleId="EndNoteBibliographyTitleTegn">
    <w:name w:val="EndNote Bibliography Title Tegn"/>
    <w:basedOn w:val="Absatz-Standardschriftart"/>
    <w:link w:val="EndNoteBibliographyTitle"/>
    <w:rsid w:val="001C3D72"/>
    <w:rPr>
      <w:noProof/>
      <w:lang w:val="en-US"/>
    </w:rPr>
  </w:style>
  <w:style w:type="paragraph" w:customStyle="1" w:styleId="EndNoteBibliography">
    <w:name w:val="EndNote Bibliography"/>
    <w:basedOn w:val="Standard"/>
    <w:link w:val="EndNoteBibliographyTegn"/>
    <w:rsid w:val="001C3D72"/>
    <w:rPr>
      <w:noProof/>
      <w:lang w:val="en-US"/>
    </w:rPr>
  </w:style>
  <w:style w:type="character" w:customStyle="1" w:styleId="EndNoteBibliographyTegn">
    <w:name w:val="EndNote Bibliography Tegn"/>
    <w:basedOn w:val="Absatz-Standardschriftart"/>
    <w:link w:val="EndNoteBibliography"/>
    <w:rsid w:val="001C3D72"/>
    <w:rPr>
      <w:noProof/>
      <w:lang w:val="en-US"/>
    </w:rPr>
  </w:style>
  <w:style w:type="character" w:styleId="Hyperlink">
    <w:name w:val="Hyperlink"/>
    <w:basedOn w:val="Absatz-Standardschriftart"/>
    <w:uiPriority w:val="99"/>
    <w:unhideWhenUsed/>
    <w:rsid w:val="001C3D72"/>
    <w:rPr>
      <w:color w:val="0000FF" w:themeColor="hyperlink"/>
      <w:u w:val="single"/>
    </w:rPr>
  </w:style>
  <w:style w:type="character" w:customStyle="1" w:styleId="UnresolvedMention">
    <w:name w:val="Unresolved Mention"/>
    <w:basedOn w:val="Absatz-Standardschriftart"/>
    <w:uiPriority w:val="99"/>
    <w:semiHidden/>
    <w:unhideWhenUsed/>
    <w:rsid w:val="001C3D72"/>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165F77"/>
    <w:rPr>
      <w:b/>
      <w:bCs/>
    </w:rPr>
  </w:style>
  <w:style w:type="character" w:customStyle="1" w:styleId="KommentarthemaZchn">
    <w:name w:val="Kommentarthema Zchn"/>
    <w:basedOn w:val="KommentartextZchn"/>
    <w:link w:val="Kommentarthema"/>
    <w:uiPriority w:val="99"/>
    <w:semiHidden/>
    <w:rsid w:val="00165F77"/>
    <w:rPr>
      <w:b/>
      <w:bCs/>
      <w:sz w:val="20"/>
      <w:szCs w:val="20"/>
    </w:rPr>
  </w:style>
  <w:style w:type="character" w:styleId="BesuchterHyperlink">
    <w:name w:val="FollowedHyperlink"/>
    <w:basedOn w:val="Absatz-Standardschriftart"/>
    <w:uiPriority w:val="99"/>
    <w:semiHidden/>
    <w:unhideWhenUsed/>
    <w:rsid w:val="001B6CEE"/>
    <w:rPr>
      <w:color w:val="800080" w:themeColor="followedHyperlink"/>
      <w:u w:val="single"/>
    </w:rPr>
  </w:style>
  <w:style w:type="paragraph" w:styleId="berarbeitung">
    <w:name w:val="Revision"/>
    <w:hidden/>
    <w:uiPriority w:val="99"/>
    <w:semiHidden/>
    <w:rsid w:val="001046FD"/>
  </w:style>
  <w:style w:type="paragraph" w:styleId="Kopfzeile">
    <w:name w:val="header"/>
    <w:basedOn w:val="Standard"/>
    <w:link w:val="KopfzeileZchn"/>
    <w:uiPriority w:val="99"/>
    <w:unhideWhenUsed/>
    <w:rsid w:val="00995F28"/>
    <w:pPr>
      <w:tabs>
        <w:tab w:val="center" w:pos="4680"/>
        <w:tab w:val="right" w:pos="9360"/>
      </w:tabs>
    </w:pPr>
  </w:style>
  <w:style w:type="character" w:customStyle="1" w:styleId="KopfzeileZchn">
    <w:name w:val="Kopfzeile Zchn"/>
    <w:basedOn w:val="Absatz-Standardschriftart"/>
    <w:link w:val="Kopfzeile"/>
    <w:uiPriority w:val="99"/>
    <w:rsid w:val="00995F28"/>
  </w:style>
  <w:style w:type="paragraph" w:styleId="Fuzeile">
    <w:name w:val="footer"/>
    <w:basedOn w:val="Standard"/>
    <w:link w:val="FuzeileZchn"/>
    <w:uiPriority w:val="99"/>
    <w:unhideWhenUsed/>
    <w:rsid w:val="00995F28"/>
    <w:pPr>
      <w:tabs>
        <w:tab w:val="center" w:pos="4680"/>
        <w:tab w:val="right" w:pos="9360"/>
      </w:tabs>
    </w:pPr>
  </w:style>
  <w:style w:type="character" w:customStyle="1" w:styleId="FuzeileZchn">
    <w:name w:val="Fußzeile Zchn"/>
    <w:basedOn w:val="Absatz-Standardschriftart"/>
    <w:link w:val="Fuzeile"/>
    <w:uiPriority w:val="99"/>
    <w:rsid w:val="00995F28"/>
  </w:style>
  <w:style w:type="paragraph" w:customStyle="1" w:styleId="TableNote">
    <w:name w:val="TableNote"/>
    <w:basedOn w:val="Standard"/>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
	<Relationship Id="rId8" Type="http://schemas.openxmlformats.org/officeDocument/2006/relationships/hyperlink" Target="http://?" TargetMode="External"/>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0" Type="http://schemas.openxmlformats.org/officeDocument/2006/relationships/hyperlink" Target="http://?" TargetMode="External"/>
	<Relationship Id="rId4" Type="http://schemas.openxmlformats.org/officeDocument/2006/relationships/settings" Target="settings.xml"/>
	<Relationship Id="rId9" Type="http://schemas.openxmlformats.org/officeDocument/2006/relationships/hyperlink" Target="http://?" TargetMode="Externa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AB87A-00D4-40C0-80A3-CBEB4AA02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1340</Words>
  <Characters>8442</Characters>
  <Application>Microsoft Office Word</Application>
  <DocSecurity>0</DocSecurity>
  <Lines>70</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Stafa, Marsida</dc:creator>
  <cp:lastModifiedBy>Christian Werner</cp:lastModifiedBy>
  <cp:revision>2</cp:revision>
  <cp:lastPrinted>2024-10-10T08:35:00Z</cp:lastPrinted>
  <dcterms:created xsi:type="dcterms:W3CDTF">2025-07-28T10:33:00Z</dcterms:created>
  <dcterms:modified xsi:type="dcterms:W3CDTF">2025-07-28T10:33:00Z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ies>
</file>