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3.xml" ContentType="application/vnd.openxmlformats-officedocument.customXml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240" w:after="0"/>
        <w:rPr>
          <w:rFonts w:ascii="Calibri" w:hAnsi="Calibri" w:cs="Calibri"/>
          <w:b/>
          <w:bCs/>
          <w:sz w:val="20"/>
          <w:szCs w:val="20"/>
          <w:lang w:val="en-US"/>
        </w:rPr>
      </w:pPr>
      <w:r>
        <w:rPr>
          <w:rFonts w:cs="Calibri" w:ascii="Calibri" w:hAnsi="Calibri"/>
          <w:b/>
          <w:bCs/>
          <w:sz w:val="20"/>
          <w:szCs w:val="20"/>
          <w:lang w:val="en-US"/>
        </w:rPr>
        <w:t xml:space="preserve">Additional file 3 </w:t>
      </w:r>
      <w:r>
        <w:rPr>
          <w:rFonts w:cs="Calibri" w:ascii="Calibri" w:hAnsi="Calibri"/>
          <w:sz w:val="20"/>
          <w:szCs w:val="20"/>
          <w:lang w:val="en-US"/>
        </w:rPr>
        <w:t>Overview of the types of AE and their distribution in total and in the three departments</w:t>
      </w:r>
    </w:p>
    <w:p>
      <w:pPr>
        <w:pStyle w:val="Normal"/>
        <w:spacing w:before="0" w:after="0"/>
        <w:rPr>
          <w:rFonts w:ascii="Calibri" w:hAnsi="Calibri" w:cs="Calibri"/>
          <w:sz w:val="20"/>
          <w:szCs w:val="20"/>
          <w:lang w:val="en-US"/>
        </w:rPr>
      </w:pPr>
      <w:r>
        <w:rPr>
          <w:rFonts w:cs="Calibri" w:ascii="Calibri" w:hAnsi="Calibri"/>
          <w:sz w:val="20"/>
          <w:szCs w:val="20"/>
          <w:lang w:val="en-US"/>
        </w:rPr>
      </w:r>
    </w:p>
    <w:tbl>
      <w:tblPr>
        <w:tblStyle w:val="Gitternetztabelle1hell5"/>
        <w:tblW w:w="9072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3135"/>
        <w:gridCol w:w="1483"/>
        <w:gridCol w:w="1484"/>
        <w:gridCol w:w="1484"/>
        <w:gridCol w:w="1486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bottom w:val="single" w:sz="12" w:space="0" w:color="666666"/>
            </w:tcBorders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Type of AE</w:t>
            </w:r>
          </w:p>
        </w:tc>
        <w:tc>
          <w:tcPr>
            <w:tcW w:w="1483" w:type="dxa"/>
            <w:tcBorders>
              <w:bottom w:val="single" w:sz="12" w:space="0" w:color="666666"/>
            </w:tcBorders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lang w:val="en-US"/>
              </w:rPr>
            </w:pPr>
            <w:r>
              <w:rPr>
                <w:rFonts w:eastAsia="Aptos" w:cs="" w:ascii="Calibri" w:hAnsi="Calibri"/>
                <w:b/>
                <w:bCs/>
                <w:kern w:val="2"/>
                <w:sz w:val="20"/>
                <w:szCs w:val="24"/>
                <w:lang w:val="en-US" w:eastAsia="en-US" w:bidi="ar-SA"/>
              </w:rPr>
              <w:t>Total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AE (n, %)</w:t>
            </w:r>
          </w:p>
        </w:tc>
        <w:tc>
          <w:tcPr>
            <w:tcW w:w="1484" w:type="dxa"/>
            <w:tcBorders>
              <w:bottom w:val="single" w:sz="12" w:space="0" w:color="666666"/>
            </w:tcBorders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false"/>
                <w:bCs w:val="false"/>
                <w:sz w:val="20"/>
                <w:szCs w:val="20"/>
                <w:lang w:val="en-US"/>
              </w:rPr>
            </w:pPr>
            <w:r>
              <w:rPr>
                <w:rFonts w:eastAsia="Times New Roman" w:cs="Calibri" w:ascii="Calibri" w:hAnsi="Calibri"/>
                <w:b/>
                <w:bCs/>
                <w:kern w:val="0"/>
                <w:sz w:val="20"/>
                <w:szCs w:val="20"/>
                <w:lang w:val="en-US" w:eastAsia="de-DE" w:bidi="ar-SA"/>
                <w14:ligatures w14:val="none"/>
              </w:rPr>
              <w:t>TRA</w:t>
            </w:r>
            <w:r>
              <w:rPr>
                <w:rFonts w:eastAsia="Times New Roman" w:cs="Calibri" w:ascii="Calibri" w:hAnsi="Calibri"/>
                <w:b/>
                <w:bCs/>
                <w:kern w:val="0"/>
                <w:sz w:val="20"/>
                <w:szCs w:val="20"/>
                <w:vertAlign w:val="superscript"/>
                <w:lang w:val="en-US" w:eastAsia="de-DE" w:bidi="ar-SA"/>
                <w14:ligatures w14:val="none"/>
              </w:rPr>
              <w:t>a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AE (n, %)</w:t>
            </w:r>
          </w:p>
        </w:tc>
        <w:tc>
          <w:tcPr>
            <w:tcW w:w="1484" w:type="dxa"/>
            <w:tcBorders>
              <w:bottom w:val="single" w:sz="12" w:space="0" w:color="666666"/>
            </w:tcBorders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false"/>
                <w:bCs w:val="false"/>
                <w:sz w:val="20"/>
                <w:szCs w:val="20"/>
                <w:lang w:val="en-US"/>
              </w:rPr>
            </w:pPr>
            <w:r>
              <w:rPr>
                <w:rFonts w:eastAsia="Times New Roman" w:cs="Calibri" w:ascii="Calibri" w:hAnsi="Calibri"/>
                <w:b/>
                <w:bCs/>
                <w:kern w:val="0"/>
                <w:sz w:val="20"/>
                <w:szCs w:val="20"/>
                <w:lang w:val="en-US" w:eastAsia="de-DE" w:bidi="ar-SA"/>
                <w14:ligatures w14:val="none"/>
              </w:rPr>
              <w:t>GEN</w:t>
            </w:r>
            <w:r>
              <w:rPr>
                <w:rFonts w:eastAsia="Times New Roman" w:cs="Calibri" w:ascii="Calibri" w:hAnsi="Calibri"/>
                <w:b/>
                <w:bCs/>
                <w:kern w:val="0"/>
                <w:sz w:val="20"/>
                <w:szCs w:val="20"/>
                <w:vertAlign w:val="superscript"/>
                <w:lang w:val="en-US" w:eastAsia="de-DE" w:bidi="ar-SA"/>
                <w14:ligatures w14:val="none"/>
              </w:rPr>
              <w:t>a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AE (n, %)</w:t>
            </w:r>
          </w:p>
        </w:tc>
        <w:tc>
          <w:tcPr>
            <w:tcW w:w="1486" w:type="dxa"/>
            <w:tcBorders>
              <w:bottom w:val="single" w:sz="12" w:space="0" w:color="666666"/>
            </w:tcBorders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false"/>
                <w:bCs w:val="false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URO</w:t>
            </w:r>
            <w:r>
              <w:rPr>
                <w:rFonts w:eastAsia="Times New Roman" w:cs="Calibri" w:ascii="Calibri" w:hAnsi="Calibri"/>
                <w:b/>
                <w:bCs/>
                <w:kern w:val="0"/>
                <w:sz w:val="20"/>
                <w:szCs w:val="20"/>
                <w:vertAlign w:val="superscript"/>
                <w:lang w:val="en-US" w:eastAsia="de-DE" w:bidi="ar-SA"/>
                <w14:ligatures w14:val="none"/>
              </w:rPr>
              <w:t>a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AE (n, %)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E8E8E8" w:themeFill="background2" w:val="clear"/>
          </w:tcPr>
          <w:p>
            <w:pPr>
              <w:pStyle w:val="Normal"/>
              <w:widowControl/>
              <w:tabs>
                <w:tab w:val="clear" w:pos="708"/>
                <w:tab w:val="right" w:pos="2898" w:leader="none"/>
              </w:tabs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Intra-/postoperative AE</w:t>
              <w:tab/>
            </w:r>
          </w:p>
        </w:tc>
        <w:tc>
          <w:tcPr>
            <w:tcW w:w="1483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153 (43.8)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98 (42.2)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28 (44.4)</w:t>
            </w:r>
          </w:p>
        </w:tc>
        <w:tc>
          <w:tcPr>
            <w:tcW w:w="1486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27 (50.0)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08"/>
                <w:tab w:val="right" w:pos="2898" w:leader="none"/>
              </w:tabs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Postoperative anemia</w:t>
            </w:r>
          </w:p>
        </w:tc>
        <w:tc>
          <w:tcPr>
            <w:tcW w:w="148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56 (16.1)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41 (17.7)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10 (15.9)</w:t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5 (9.3)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08"/>
                <w:tab w:val="right" w:pos="2898" w:leader="none"/>
              </w:tabs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Unexpected intraoperative bleeding</w:t>
            </w:r>
          </w:p>
        </w:tc>
        <w:tc>
          <w:tcPr>
            <w:tcW w:w="148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13 (3.7)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7 (3.0)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(3.2)</w:t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4 (7.4)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08"/>
                <w:tab w:val="right" w:pos="2898" w:leader="none"/>
              </w:tabs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Postoperative bleeding</w:t>
            </w:r>
          </w:p>
        </w:tc>
        <w:tc>
          <w:tcPr>
            <w:tcW w:w="148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(0.6)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23 (10.0)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4 (6.3)</w:t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7 (13.0)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08"/>
                <w:tab w:val="right" w:pos="2898" w:leader="none"/>
              </w:tabs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Postoperative vomiting and nausea (PONV)</w:t>
            </w:r>
          </w:p>
        </w:tc>
        <w:tc>
          <w:tcPr>
            <w:tcW w:w="148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34 (9.8)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23 (10.0)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4 (6.3)</w:t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7 (13.0)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08"/>
                <w:tab w:val="right" w:pos="2898" w:leader="none"/>
              </w:tabs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Injury during intervention/procedure</w:t>
            </w:r>
          </w:p>
        </w:tc>
        <w:tc>
          <w:tcPr>
            <w:tcW w:w="148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10(2.9)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5 (2.2)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5 (9.3)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08"/>
                <w:tab w:val="right" w:pos="2898" w:leader="none"/>
              </w:tabs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Other incident during procedure</w:t>
            </w:r>
          </w:p>
        </w:tc>
        <w:tc>
          <w:tcPr>
            <w:tcW w:w="148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(0.9)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(0.4)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(3.2)</w:t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08"/>
                <w:tab w:val="right" w:pos="2898" w:leader="none"/>
              </w:tabs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Change in procedure</w:t>
            </w:r>
          </w:p>
        </w:tc>
        <w:tc>
          <w:tcPr>
            <w:tcW w:w="148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(0.3)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(0.4)</w:t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08"/>
                <w:tab w:val="right" w:pos="2898" w:leader="none"/>
              </w:tabs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Hematoma/hematoseroma on surgical site</w:t>
            </w:r>
          </w:p>
        </w:tc>
        <w:tc>
          <w:tcPr>
            <w:tcW w:w="148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11 (3.2)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9 (3.9)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(3.7)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08"/>
                <w:tab w:val="right" w:pos="2898" w:leader="none"/>
              </w:tabs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Anastomotic leak</w:t>
            </w:r>
          </w:p>
        </w:tc>
        <w:tc>
          <w:tcPr>
            <w:tcW w:w="148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(0.9)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(3.2)</w:t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(1.9)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08"/>
                <w:tab w:val="right" w:pos="2898" w:leader="none"/>
              </w:tabs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Displacement of osteosynthesis material</w:t>
            </w:r>
          </w:p>
        </w:tc>
        <w:tc>
          <w:tcPr>
            <w:tcW w:w="148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4 (1.1)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4 (1.7)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08"/>
                <w:tab w:val="right" w:pos="2898" w:leader="none"/>
              </w:tabs>
              <w:spacing w:lineRule="auto" w:line="360" w:before="0" w:after="0"/>
              <w:jc w:val="start"/>
              <w:rPr>
                <w:rFonts w:ascii="Calibri" w:hAnsi="Calibri" w:cs="Calibri"/>
                <w:b w:val="false"/>
                <w:bCs w:val="false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Other postoperative AE</w:t>
            </w:r>
          </w:p>
        </w:tc>
        <w:tc>
          <w:tcPr>
            <w:tcW w:w="148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16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6 (2.6)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7 (11.1)</w:t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(5.6)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Nosocomial infection</w:t>
            </w:r>
          </w:p>
        </w:tc>
        <w:tc>
          <w:tcPr>
            <w:tcW w:w="1483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66 (18.9)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48 (20.7)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9 (14.3)</w:t>
            </w:r>
          </w:p>
        </w:tc>
        <w:tc>
          <w:tcPr>
            <w:tcW w:w="1486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9 (16.7)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Urinary tract infection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26 (7.5)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22 (9.5)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4 (7.4)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Pneumonia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9 (2.6)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9 (3.9)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Infection of unknown focus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12 (3.4)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5 (2.2)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(3.2)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5 (9.3)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Wound infection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5 (1.4)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4 (1.7)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(1.6)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Surgical site infection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5 (1.4)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5 (7.9)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Covid-19-infection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(0.9)</w:t>
            </w:r>
          </w:p>
        </w:tc>
        <w:tc>
          <w:tcPr>
            <w:tcW w:w="148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(1.3)</w:t>
            </w:r>
          </w:p>
        </w:tc>
        <w:tc>
          <w:tcPr>
            <w:tcW w:w="148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Other infection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6 (1.7)</w:t>
            </w:r>
          </w:p>
        </w:tc>
        <w:tc>
          <w:tcPr>
            <w:tcW w:w="148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5 (2.2)</w:t>
            </w:r>
          </w:p>
        </w:tc>
        <w:tc>
          <w:tcPr>
            <w:tcW w:w="148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(1.6)</w:t>
            </w:r>
          </w:p>
        </w:tc>
        <w:tc>
          <w:tcPr>
            <w:tcW w:w="148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Neurological</w:t>
            </w:r>
          </w:p>
        </w:tc>
        <w:tc>
          <w:tcPr>
            <w:tcW w:w="1483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30 (8.6)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23 (9.9)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4 (6.3)</w:t>
            </w:r>
          </w:p>
        </w:tc>
        <w:tc>
          <w:tcPr>
            <w:tcW w:w="1486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(5.6)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Delirium</w:t>
            </w:r>
          </w:p>
        </w:tc>
        <w:tc>
          <w:tcPr>
            <w:tcW w:w="1483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28 (8.0)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21 (9.1)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4 (6.3)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(5.6)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Other</w:t>
            </w:r>
          </w:p>
        </w:tc>
        <w:tc>
          <w:tcPr>
            <w:tcW w:w="1483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(0.6)</w:t>
            </w:r>
          </w:p>
        </w:tc>
        <w:tc>
          <w:tcPr>
            <w:tcW w:w="148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(0.9)</w:t>
            </w:r>
          </w:p>
        </w:tc>
        <w:tc>
          <w:tcPr>
            <w:tcW w:w="148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Drug side effect</w:t>
            </w:r>
          </w:p>
        </w:tc>
        <w:tc>
          <w:tcPr>
            <w:tcW w:w="1483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18 (5.2)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14 (6.0)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4 (6.3)</w:t>
            </w:r>
          </w:p>
        </w:tc>
        <w:tc>
          <w:tcPr>
            <w:tcW w:w="1486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Opioid-induced nausea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6 (1.7)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6 (2.6)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Hypokalemia/hyponatremia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10 (2.9)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8 (3.5)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(3.2)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 xml:space="preserve">Other 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(0.6)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(3.2)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Electrolyte disturbance</w:t>
            </w:r>
          </w:p>
        </w:tc>
        <w:tc>
          <w:tcPr>
            <w:tcW w:w="1483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16 (4.6)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9 (3.9)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(3.2)</w:t>
            </w:r>
          </w:p>
        </w:tc>
        <w:tc>
          <w:tcPr>
            <w:tcW w:w="1486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5 (9.3)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bookmarkStart w:id="0" w:name="_Hlk182242086"/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 xml:space="preserve">Hypo-/hyperkalemia </w:t>
            </w:r>
            <w:bookmarkEnd w:id="0"/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(&lt;3.4, ≥4.6 mmol/l)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9 (2.6)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6 (2.6)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(5.6)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bookmarkStart w:id="1" w:name="_Hlk182242078"/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 xml:space="preserve">Hyper-/hyponatremia </w:t>
            </w:r>
            <w:bookmarkEnd w:id="1"/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(&lt;135, &gt;145 mmol/l)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6 (1.7)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(1.3)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(1.6)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(3.7)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Hypocalcemia (&lt;2,1 mmol/l)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(0.3)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(1.6)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Cardiac system</w:t>
            </w:r>
          </w:p>
        </w:tc>
        <w:tc>
          <w:tcPr>
            <w:tcW w:w="1483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15 (4.3)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9 (3.9)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(4.8)</w:t>
            </w:r>
          </w:p>
        </w:tc>
        <w:tc>
          <w:tcPr>
            <w:tcW w:w="1486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(5.6)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Arrhythmia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7 (2.0)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5 (2.2)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(1.6)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(1.9)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Cardiac arrest with reanimation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(0.3)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(1.9)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Heart attack, Angina pectoris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(0.6)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(0.4)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(1.9)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Hydropic/cardiac/cardiopulmonary decompensation</w:t>
            </w:r>
          </w:p>
        </w:tc>
        <w:tc>
          <w:tcPr>
            <w:tcW w:w="1483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4 (1.1)</w:t>
            </w:r>
          </w:p>
        </w:tc>
        <w:tc>
          <w:tcPr>
            <w:tcW w:w="148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(0.9)</w:t>
            </w:r>
          </w:p>
        </w:tc>
        <w:tc>
          <w:tcPr>
            <w:tcW w:w="148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(3.2)</w:t>
            </w:r>
          </w:p>
        </w:tc>
        <w:tc>
          <w:tcPr>
            <w:tcW w:w="148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Hypertensive deregulation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(0.3)</w:t>
            </w:r>
          </w:p>
        </w:tc>
        <w:tc>
          <w:tcPr>
            <w:tcW w:w="148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(0.4)</w:t>
            </w:r>
          </w:p>
        </w:tc>
        <w:tc>
          <w:tcPr>
            <w:tcW w:w="148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Pulmonary system</w:t>
            </w:r>
          </w:p>
        </w:tc>
        <w:tc>
          <w:tcPr>
            <w:tcW w:w="1483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15 (4.3)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8 (3.4)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6 (9.5)</w:t>
            </w:r>
          </w:p>
        </w:tc>
        <w:tc>
          <w:tcPr>
            <w:tcW w:w="1486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(1.9)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Acute respiratory insufficiency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9 (2.6)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5 (2.2)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4 (6.3)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Pleural effusion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(0.9)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(0.4)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(1.6)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(1.9)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Other</w:t>
            </w:r>
          </w:p>
        </w:tc>
        <w:tc>
          <w:tcPr>
            <w:tcW w:w="1483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(0.9)</w:t>
            </w:r>
          </w:p>
        </w:tc>
        <w:tc>
          <w:tcPr>
            <w:tcW w:w="148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(0.9)</w:t>
            </w:r>
          </w:p>
        </w:tc>
        <w:tc>
          <w:tcPr>
            <w:tcW w:w="148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(1.6)</w:t>
            </w:r>
          </w:p>
        </w:tc>
        <w:tc>
          <w:tcPr>
            <w:tcW w:w="148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Renal system</w:t>
            </w:r>
          </w:p>
        </w:tc>
        <w:tc>
          <w:tcPr>
            <w:tcW w:w="1483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11 (3.2)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7 (3.0)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(3.2)</w:t>
            </w:r>
          </w:p>
        </w:tc>
        <w:tc>
          <w:tcPr>
            <w:tcW w:w="1486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(3.7)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Acute kidney injury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8 (2.3)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6 (2.6)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(1.6)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(1.9)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Other</w:t>
            </w:r>
          </w:p>
        </w:tc>
        <w:tc>
          <w:tcPr>
            <w:tcW w:w="1483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(0.9)</w:t>
            </w:r>
          </w:p>
        </w:tc>
        <w:tc>
          <w:tcPr>
            <w:tcW w:w="148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(0.4)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(1.6)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(1.9)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Nursing care</w:t>
            </w:r>
          </w:p>
        </w:tc>
        <w:tc>
          <w:tcPr>
            <w:tcW w:w="1483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 xml:space="preserve">10 (2.9) 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9 (3.9)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(1.6)</w:t>
            </w:r>
          </w:p>
        </w:tc>
        <w:tc>
          <w:tcPr>
            <w:tcW w:w="1486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Pressure ulcer (newly developed)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9 (2.6)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9 (3.9)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Pressure ulcer (deterioration)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(0.3)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(1.6)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Gastrointestinal system</w:t>
            </w:r>
          </w:p>
        </w:tc>
        <w:tc>
          <w:tcPr>
            <w:tcW w:w="1483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 xml:space="preserve">9 (2.6) 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(0.9)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(4.8)</w:t>
            </w:r>
          </w:p>
        </w:tc>
        <w:tc>
          <w:tcPr>
            <w:tcW w:w="1486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4 (7.4)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Sub-/Ileus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(0.9)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(1.6)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(3.7)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Acute abdomen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(0.6)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(3.7)</w:t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Gastrointestinal bleeding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(0.9)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(0.4)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(3.2)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Liver failure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(0.3)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(0.4)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Allergic reaction</w:t>
            </w:r>
          </w:p>
        </w:tc>
        <w:tc>
          <w:tcPr>
            <w:tcW w:w="1483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(0.9)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 (1.3)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Drug allergy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(0.6)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(0.9)</w:t>
            </w:r>
          </w:p>
        </w:tc>
        <w:tc>
          <w:tcPr>
            <w:tcW w:w="148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Allergic contact dermatitis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(0.3)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(0.4)</w:t>
            </w:r>
          </w:p>
        </w:tc>
        <w:tc>
          <w:tcPr>
            <w:tcW w:w="148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Other</w:t>
            </w:r>
          </w:p>
        </w:tc>
        <w:tc>
          <w:tcPr>
            <w:tcW w:w="1483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 (0.6)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(0.4)</w:t>
            </w:r>
          </w:p>
        </w:tc>
        <w:tc>
          <w:tcPr>
            <w:tcW w:w="1484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(1.6)</w:t>
            </w:r>
          </w:p>
        </w:tc>
        <w:tc>
          <w:tcPr>
            <w:tcW w:w="1486" w:type="dxa"/>
            <w:tcBorders/>
            <w:shd w:color="auto" w:fill="E8E8E8" w:themeFill="background2" w:val="clea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Hyperglycemia &gt; 400 mg/dl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(0.3)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(0.4)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>Hypotension</w:t>
            </w:r>
          </w:p>
        </w:tc>
        <w:tc>
          <w:tcPr>
            <w:tcW w:w="1483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(0.3)</w:t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48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1 (0.3)</w:t>
            </w:r>
          </w:p>
        </w:tc>
        <w:tc>
          <w:tcPr>
            <w:tcW w:w="1486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</w:r>
          </w:p>
        </w:tc>
      </w:tr>
      <w:tr>
        <w:trPr/>
        <w:tc>
          <w:tcPr>
            <w:tcW w:w="313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b/>
                <w:bCs/>
                <w:kern w:val="2"/>
                <w:sz w:val="20"/>
                <w:szCs w:val="20"/>
                <w:lang w:val="en-US" w:eastAsia="en-US" w:bidi="ar-SA"/>
              </w:rPr>
              <w:t xml:space="preserve">Total </w:t>
            </w:r>
          </w:p>
        </w:tc>
        <w:tc>
          <w:tcPr>
            <w:tcW w:w="1483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348 (100)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231 (66.4)</w:t>
            </w:r>
          </w:p>
        </w:tc>
        <w:tc>
          <w:tcPr>
            <w:tcW w:w="148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63 (18.1)</w:t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eastAsia="Aptos" w:cs="Calibri" w:ascii="Calibri" w:hAnsi="Calibri"/>
                <w:kern w:val="2"/>
                <w:sz w:val="20"/>
                <w:szCs w:val="20"/>
                <w:lang w:val="en-US" w:eastAsia="en-US" w:bidi="ar-SA"/>
              </w:rPr>
              <w:t>54 (15.5)</w:t>
            </w:r>
          </w:p>
        </w:tc>
      </w:tr>
    </w:tbl>
    <w:p>
      <w:pPr>
        <w:pStyle w:val="Normal"/>
        <w:rPr>
          <w:rFonts w:ascii="Calibri" w:hAnsi="Calibri" w:cs="Calibri"/>
          <w:sz w:val="20"/>
          <w:szCs w:val="20"/>
          <w:lang w:val="en-US"/>
        </w:rPr>
      </w:pPr>
      <w:r>
        <w:rPr>
          <w:rFonts w:cs="Calibri" w:ascii="Calibri" w:hAnsi="Calibri"/>
          <w:sz w:val="20"/>
          <w:szCs w:val="20"/>
          <w:vertAlign w:val="superscript"/>
          <w:lang w:val="en-US"/>
        </w:rPr>
        <w:t>a</w:t>
      </w:r>
      <w:r>
        <w:rPr>
          <w:rFonts w:cs="Calibri" w:ascii="Calibri" w:hAnsi="Calibri"/>
          <w:sz w:val="20"/>
          <w:szCs w:val="20"/>
          <w:lang w:val="en-US"/>
        </w:rPr>
        <w:t xml:space="preserve">Percentages refer to the total number of AE in the respective department. AE: Adverse event, PONV: </w:t>
      </w:r>
      <w:r>
        <w:rPr>
          <w:rFonts w:eastAsia="Aptos" w:cs="Calibri" w:ascii="Calibri" w:hAnsi="Calibri"/>
          <w:sz w:val="20"/>
          <w:szCs w:val="20"/>
          <w:lang w:val="en-US"/>
        </w:rPr>
        <w:t>Postoperative vomiting and nausea.</w:t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</w:r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23296"/>
    <w:pPr>
      <w:widowControl/>
      <w:suppressAutoHyphens w:val="true"/>
      <w:bidi w:val="0"/>
      <w:spacing w:lineRule="auto" w:line="276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de-DE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623296"/>
    <w:pPr>
      <w:keepNext w:val="true"/>
      <w:keepLines/>
      <w:suppressAutoHyphens w:val="false"/>
      <w:spacing w:lineRule="auto" w:line="278"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623296"/>
    <w:pPr>
      <w:keepNext w:val="true"/>
      <w:keepLines/>
      <w:suppressAutoHyphens w:val="false"/>
      <w:spacing w:lineRule="auto" w:line="278"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623296"/>
    <w:pPr>
      <w:keepNext w:val="true"/>
      <w:keepLines/>
      <w:suppressAutoHyphens w:val="false"/>
      <w:spacing w:lineRule="auto" w:line="278"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623296"/>
    <w:pPr>
      <w:keepNext w:val="true"/>
      <w:keepLines/>
      <w:suppressAutoHyphens w:val="false"/>
      <w:spacing w:lineRule="auto" w:line="278"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623296"/>
    <w:pPr>
      <w:keepNext w:val="true"/>
      <w:keepLines/>
      <w:suppressAutoHyphens w:val="false"/>
      <w:spacing w:lineRule="auto" w:line="278"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623296"/>
    <w:pPr>
      <w:keepNext w:val="true"/>
      <w:keepLines/>
      <w:suppressAutoHyphens w:val="false"/>
      <w:spacing w:lineRule="auto" w:line="278"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623296"/>
    <w:pPr>
      <w:keepNext w:val="true"/>
      <w:keepLines/>
      <w:suppressAutoHyphens w:val="false"/>
      <w:spacing w:lineRule="auto" w:line="278"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623296"/>
    <w:pPr>
      <w:keepNext w:val="true"/>
      <w:keepLines/>
      <w:suppressAutoHyphens w:val="false"/>
      <w:spacing w:lineRule="auto" w:line="278"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623296"/>
    <w:pPr>
      <w:keepNext w:val="true"/>
      <w:keepLines/>
      <w:suppressAutoHyphens w:val="false"/>
      <w:spacing w:lineRule="auto" w:line="278"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erschrift1Zchn" w:customStyle="1">
    <w:name w:val="Überschrift 1 Zchn"/>
    <w:basedOn w:val="DefaultParagraphFont"/>
    <w:link w:val="Heading1"/>
    <w:uiPriority w:val="9"/>
    <w:qFormat/>
    <w:rsid w:val="00623296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berschrift2Zchn" w:customStyle="1">
    <w:name w:val="Überschrift 2 Zchn"/>
    <w:basedOn w:val="DefaultParagraphFont"/>
    <w:link w:val="Heading2"/>
    <w:uiPriority w:val="9"/>
    <w:semiHidden/>
    <w:qFormat/>
    <w:rsid w:val="00623296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berschrift3Zchn" w:customStyle="1">
    <w:name w:val="Überschrift 3 Zchn"/>
    <w:basedOn w:val="DefaultParagraphFont"/>
    <w:link w:val="Heading3"/>
    <w:uiPriority w:val="9"/>
    <w:semiHidden/>
    <w:qFormat/>
    <w:rsid w:val="00623296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berschrift4Zchn" w:customStyle="1">
    <w:name w:val="Überschrift 4 Zchn"/>
    <w:basedOn w:val="DefaultParagraphFont"/>
    <w:link w:val="Heading4"/>
    <w:uiPriority w:val="9"/>
    <w:semiHidden/>
    <w:qFormat/>
    <w:rsid w:val="00623296"/>
    <w:rPr>
      <w:rFonts w:eastAsia="" w:cs="" w:cstheme="majorBidi" w:eastAsiaTheme="majorEastAsia"/>
      <w:i/>
      <w:iCs/>
      <w:color w:themeColor="accent1" w:themeShade="bf" w:val="0F4761"/>
    </w:rPr>
  </w:style>
  <w:style w:type="character" w:styleId="berschrift5Zchn" w:customStyle="1">
    <w:name w:val="Überschrift 5 Zchn"/>
    <w:basedOn w:val="DefaultParagraphFont"/>
    <w:link w:val="Heading5"/>
    <w:uiPriority w:val="9"/>
    <w:semiHidden/>
    <w:qFormat/>
    <w:rsid w:val="00623296"/>
    <w:rPr>
      <w:rFonts w:eastAsia="" w:cs="" w:cstheme="majorBidi" w:eastAsiaTheme="majorEastAsia"/>
      <w:color w:themeColor="accent1" w:themeShade="bf" w:val="0F4761"/>
    </w:rPr>
  </w:style>
  <w:style w:type="character" w:styleId="berschrift6Zchn" w:customStyle="1">
    <w:name w:val="Überschrift 6 Zchn"/>
    <w:basedOn w:val="DefaultParagraphFont"/>
    <w:link w:val="Heading6"/>
    <w:uiPriority w:val="9"/>
    <w:semiHidden/>
    <w:qFormat/>
    <w:rsid w:val="00623296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link w:val="Heading7"/>
    <w:uiPriority w:val="9"/>
    <w:semiHidden/>
    <w:qFormat/>
    <w:rsid w:val="00623296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link w:val="Heading8"/>
    <w:uiPriority w:val="9"/>
    <w:semiHidden/>
    <w:qFormat/>
    <w:rsid w:val="00623296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link w:val="Heading9"/>
    <w:uiPriority w:val="9"/>
    <w:semiHidden/>
    <w:qFormat/>
    <w:rsid w:val="00623296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link w:val="Title"/>
    <w:uiPriority w:val="10"/>
    <w:qFormat/>
    <w:rsid w:val="00623296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link w:val="Subtitle"/>
    <w:uiPriority w:val="11"/>
    <w:qFormat/>
    <w:rsid w:val="00623296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623296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23296"/>
    <w:rPr>
      <w:i/>
      <w:iCs/>
      <w:color w:themeColor="accent1" w:themeShade="bf" w:val="0F476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623296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623296"/>
    <w:rPr>
      <w:b/>
      <w:bCs/>
      <w:smallCaps/>
      <w:color w:themeColor="accent1" w:themeShade="bf" w:val="0F4761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elZchn"/>
    <w:uiPriority w:val="10"/>
    <w:qFormat/>
    <w:rsid w:val="00623296"/>
    <w:pPr>
      <w:suppressAutoHyphens w:val="false"/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623296"/>
    <w:pPr>
      <w:suppressAutoHyphens w:val="false"/>
      <w:spacing w:lineRule="auto" w:line="278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623296"/>
    <w:pPr>
      <w:suppressAutoHyphens w:val="false"/>
      <w:spacing w:lineRule="auto" w:line="278"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23296"/>
    <w:pPr>
      <w:suppressAutoHyphens w:val="false"/>
      <w:spacing w:lineRule="auto" w:line="278"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623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false"/>
      <w:spacing w:lineRule="auto" w:line="278" w:before="360" w:after="360"/>
      <w:ind w:start="864" w:end="864"/>
      <w:jc w:val="center"/>
    </w:pPr>
    <w:rPr>
      <w:i/>
      <w:iCs/>
      <w:color w:themeColor="accent1" w:themeShade="bf" w:val="0F476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itternetztabelle1hell5">
    <w:name w:val="Gitternetztabelle 1 hell5"/>
    <w:basedOn w:val="NormaleTabelle"/>
    <w:uiPriority w:val="46"/>
    <w:rsid w:val="0062329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2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<Relationship Id="rId7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b0f8d8-48f0-4959-869b-5cdbbf0ba533">
      <Terms xmlns="http://schemas.microsoft.com/office/infopath/2007/PartnerControls"/>
    </lcf76f155ced4ddcb4097134ff3c332f>
    <TaxCatchAll xmlns="cfbc7bd0-e5d1-4549-93e1-0c18a54cec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0BB584574F4347960EFA8BA4E52840" ma:contentTypeVersion="13" ma:contentTypeDescription="Ein neues Dokument erstellen." ma:contentTypeScope="" ma:versionID="21771eb2608fba2f8b67ee6b38a88e84">
  <xsd:schema xmlns:xsd="http://www.w3.org/2001/XMLSchema" xmlns:xs="http://www.w3.org/2001/XMLSchema" xmlns:p="http://schemas.microsoft.com/office/2006/metadata/properties" xmlns:ns2="cab0f8d8-48f0-4959-869b-5cdbbf0ba533" xmlns:ns3="cfbc7bd0-e5d1-4549-93e1-0c18a54cec88" targetNamespace="http://schemas.microsoft.com/office/2006/metadata/properties" ma:root="true" ma:fieldsID="372ae3b8c1e197932c756b81c518b41a" ns2:_="" ns3:_="">
    <xsd:import namespace="cab0f8d8-48f0-4959-869b-5cdbbf0ba533"/>
    <xsd:import namespace="cfbc7bd0-e5d1-4549-93e1-0c18a54cec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0f8d8-48f0-4959-869b-5cdbbf0ba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d54f03d9-aa79-400c-8d29-181a366151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c7bd0-e5d1-4549-93e1-0c18a54cec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2651c8-6ba1-4a30-9267-06556094013b}" ma:internalName="TaxCatchAll" ma:showField="CatchAllData" ma:web="cfbc7bd0-e5d1-4549-93e1-0c18a54cec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40433C-D859-40B5-A981-79C1D853C55F}"/>
</file>

<file path=customXml/itemProps2.xml><?xml version="1.0" encoding="utf-8"?>
<ds:datastoreItem xmlns:ds="http://schemas.openxmlformats.org/officeDocument/2006/customXml" ds:itemID="{BD55B8CE-FCB1-4369-B991-5C42BB3F4EA0}"/>
</file>

<file path=customXml/itemProps3.xml><?xml version="1.0" encoding="utf-8"?>
<ds:datastoreItem xmlns:ds="http://schemas.openxmlformats.org/officeDocument/2006/customXml" ds:itemID="{EFC9A380-8A92-4981-A45F-A1D814D6E0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LibreOffice/25.8.0.4$Windows_X86_64 LibreOffice_project/48f00303701489684e67c38c28aff00cd5929e67</Application>
  <AppVersion>15.0000</AppVersion>
  <Pages>2</Pages>
  <Words>551</Words>
  <Characters>2522</Characters>
  <CharactersWithSpaces>2830</CharactersWithSpaces>
  <Paragraphs>248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2025-02-22T14:04:00Z</dcterms:created>
  <dc:creator>Jessi Wolf</dc:creator>
  <dc:description/>
  <dc:language>en-US</dc:language>
  <cp:lastModifiedBy>Leinert, Christoph</cp:lastModifiedBy>
  <dcterms:modified xsi:type="dcterms:W3CDTF">2025-04-08T20:07:00Z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0x010100FD0BB584574F4347960EFA8BA4E52840</vt:lpwstr>
  </property>
</Properties>
</file>