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D39E" w14:textId="770D0324" w:rsidR="006D03DA" w:rsidRPr="00680A5B" w:rsidRDefault="0079092D">
      <w:pPr>
        <w:rPr>
          <w:rFonts w:ascii="Times New Roman" w:hAnsi="Times New Roman" w:cs="Times New Roman"/>
        </w:rPr>
      </w:pPr>
      <w:r w:rsidRPr="00680A5B">
        <w:rPr>
          <w:rFonts w:ascii="Times New Roman" w:hAnsi="Times New Roman" w:cs="Times New Roman"/>
          <w:b/>
          <w:sz w:val="28"/>
        </w:rPr>
        <w:t>Supplement S</w:t>
      </w:r>
      <w:r w:rsidR="00EC4C74" w:rsidRPr="00EC4C74">
        <w:rPr>
          <w:rFonts w:ascii="Times New Roman" w:eastAsia="新細明體" w:hAnsi="Times New Roman" w:cs="Times New Roman"/>
          <w:b/>
          <w:sz w:val="28"/>
          <w:lang w:eastAsia="zh-TW"/>
        </w:rPr>
        <w:t>5</w:t>
      </w:r>
      <w:r w:rsidRPr="00680A5B">
        <w:rPr>
          <w:rFonts w:ascii="Times New Roman" w:hAnsi="Times New Roman" w:cs="Times New Roman"/>
          <w:b/>
          <w:sz w:val="28"/>
        </w:rPr>
        <w:t>. Summary of Findings (GRADE Table)</w:t>
      </w:r>
    </w:p>
    <w:p w14:paraId="1C47350F" w14:textId="77777777" w:rsidR="006D03DA" w:rsidRPr="00680A5B" w:rsidRDefault="0079092D">
      <w:pPr>
        <w:rPr>
          <w:rFonts w:ascii="Times New Roman" w:hAnsi="Times New Roman" w:cs="Times New Roman"/>
          <w:iCs/>
        </w:rPr>
      </w:pPr>
      <w:r w:rsidRPr="00680A5B">
        <w:rPr>
          <w:rFonts w:ascii="Times New Roman" w:hAnsi="Times New Roman" w:cs="Times New Roman"/>
          <w:iCs/>
        </w:rPr>
        <w:t>Nature-based and Technology-assisted Exercise for Cognitive and Mobility Outcomes in Older Adults and Mild Cognitive Impairment (MCI)</w:t>
      </w:r>
    </w:p>
    <w:tbl>
      <w:tblPr>
        <w:tblStyle w:val="aff2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0"/>
        <w:gridCol w:w="1433"/>
        <w:gridCol w:w="1494"/>
        <w:gridCol w:w="1421"/>
        <w:gridCol w:w="1395"/>
        <w:gridCol w:w="2153"/>
      </w:tblGrid>
      <w:tr w:rsidR="006D03DA" w:rsidRPr="00680A5B" w14:paraId="386A93B1" w14:textId="77777777" w:rsidTr="003209F8">
        <w:trPr>
          <w:jc w:val="center"/>
        </w:trPr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14:paraId="72CB4010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b/>
                <w:sz w:val="20"/>
              </w:rPr>
              <w:t>Outcome domain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14:paraId="7A6587D1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b/>
                <w:sz w:val="20"/>
              </w:rPr>
              <w:t>No. of trials (participants)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24184D3F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b/>
                <w:sz w:val="20"/>
              </w:rPr>
              <w:t>Comparison (intervention vs control)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53582827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b/>
                <w:sz w:val="20"/>
              </w:rPr>
              <w:t>Effect direction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0937D5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b/>
                <w:sz w:val="20"/>
              </w:rPr>
              <w:t>Certainty of evidence (GRADE)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14:paraId="14AFD427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b/>
                <w:sz w:val="20"/>
              </w:rPr>
              <w:t>Summary of findings and interpretation</w:t>
            </w:r>
          </w:p>
        </w:tc>
      </w:tr>
      <w:tr w:rsidR="006D03DA" w:rsidRPr="00680A5B" w14:paraId="7BBD825B" w14:textId="77777777" w:rsidTr="003209F8">
        <w:trPr>
          <w:jc w:val="center"/>
        </w:trPr>
        <w:tc>
          <w:tcPr>
            <w:tcW w:w="1460" w:type="dxa"/>
            <w:tcBorders>
              <w:top w:val="single" w:sz="4" w:space="0" w:color="auto"/>
            </w:tcBorders>
          </w:tcPr>
          <w:p w14:paraId="6BB0B7A1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Executive and global cognitive function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75817C84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6 RCTs (n ≈ 360)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0392DCDA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Exergaming / VR vs conventional or combined exercise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342F4547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↑ improvement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14:paraId="14818378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Segoe UI Symbol" w:hAnsi="Segoe UI Symbol" w:cs="Segoe UI Symbol"/>
                <w:sz w:val="20"/>
              </w:rPr>
              <w:t>⬤⬤</w:t>
            </w:r>
            <w:r w:rsidRPr="00680A5B">
              <w:rPr>
                <w:rFonts w:ascii="Cambria Math" w:hAnsi="Cambria Math" w:cs="Cambria Math"/>
                <w:sz w:val="20"/>
              </w:rPr>
              <w:t>◯◯</w:t>
            </w:r>
            <w:r w:rsidRPr="00680A5B">
              <w:rPr>
                <w:rFonts w:ascii="Times New Roman" w:hAnsi="Times New Roman" w:cs="Times New Roman"/>
                <w:sz w:val="20"/>
              </w:rPr>
              <w:t xml:space="preserve"> Low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14:paraId="479D61CB" w14:textId="4904D01C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 xml:space="preserve">Moderate improvement in global cognition and executive function; consistent trends across 4 trials (Liao 2019, 2021; Liu 2022; Anderson-Hanley 2012). Limitations include small samples and </w:t>
            </w:r>
            <w:r w:rsidR="003209F8">
              <w:rPr>
                <w:rFonts w:ascii="Times New Roman" w:hAnsi="Times New Roman" w:cs="Times New Roman"/>
                <w:sz w:val="20"/>
              </w:rPr>
              <w:t xml:space="preserve">a </w:t>
            </w:r>
            <w:r w:rsidRPr="00680A5B">
              <w:rPr>
                <w:rFonts w:ascii="Times New Roman" w:hAnsi="Times New Roman" w:cs="Times New Roman"/>
                <w:sz w:val="20"/>
              </w:rPr>
              <w:t>lack of blinding.</w:t>
            </w:r>
          </w:p>
        </w:tc>
      </w:tr>
      <w:tr w:rsidR="006D03DA" w:rsidRPr="00680A5B" w14:paraId="28E15404" w14:textId="77777777" w:rsidTr="003209F8">
        <w:trPr>
          <w:jc w:val="center"/>
        </w:trPr>
        <w:tc>
          <w:tcPr>
            <w:tcW w:w="1460" w:type="dxa"/>
          </w:tcPr>
          <w:p w14:paraId="303EE68E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Dual-task gait and motor–cognitive interaction</w:t>
            </w:r>
          </w:p>
        </w:tc>
        <w:tc>
          <w:tcPr>
            <w:tcW w:w="1433" w:type="dxa"/>
          </w:tcPr>
          <w:p w14:paraId="781F950C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4 RCTs (n ≈ 240)</w:t>
            </w:r>
          </w:p>
        </w:tc>
        <w:tc>
          <w:tcPr>
            <w:tcW w:w="1494" w:type="dxa"/>
          </w:tcPr>
          <w:p w14:paraId="6EA5E7CA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VR/exergaming vs traditional training</w:t>
            </w:r>
          </w:p>
        </w:tc>
        <w:tc>
          <w:tcPr>
            <w:tcW w:w="1421" w:type="dxa"/>
          </w:tcPr>
          <w:p w14:paraId="6DBA2917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↑ improvement</w:t>
            </w:r>
          </w:p>
        </w:tc>
        <w:tc>
          <w:tcPr>
            <w:tcW w:w="1395" w:type="dxa"/>
          </w:tcPr>
          <w:p w14:paraId="19C7492D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Segoe UI Symbol" w:hAnsi="Segoe UI Symbol" w:cs="Segoe UI Symbol"/>
                <w:sz w:val="20"/>
              </w:rPr>
              <w:t>⬤⬤</w:t>
            </w:r>
            <w:r w:rsidRPr="00680A5B">
              <w:rPr>
                <w:rFonts w:ascii="Cambria Math" w:hAnsi="Cambria Math" w:cs="Cambria Math"/>
                <w:sz w:val="20"/>
              </w:rPr>
              <w:t>◯◯</w:t>
            </w:r>
            <w:r w:rsidRPr="00680A5B">
              <w:rPr>
                <w:rFonts w:ascii="Times New Roman" w:hAnsi="Times New Roman" w:cs="Times New Roman"/>
                <w:sz w:val="20"/>
              </w:rPr>
              <w:t xml:space="preserve"> Low</w:t>
            </w:r>
          </w:p>
        </w:tc>
        <w:tc>
          <w:tcPr>
            <w:tcW w:w="2153" w:type="dxa"/>
          </w:tcPr>
          <w:p w14:paraId="0D4EF388" w14:textId="0C3DFB2B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 xml:space="preserve">Significant gains in dual-task cost, gait speed, and postural control. Benefits </w:t>
            </w:r>
            <w:r w:rsidR="003209F8">
              <w:rPr>
                <w:rFonts w:ascii="Times New Roman" w:hAnsi="Times New Roman" w:cs="Times New Roman"/>
                <w:sz w:val="20"/>
              </w:rPr>
              <w:t xml:space="preserve">are </w:t>
            </w:r>
            <w:r w:rsidRPr="00680A5B">
              <w:rPr>
                <w:rFonts w:ascii="Times New Roman" w:hAnsi="Times New Roman" w:cs="Times New Roman"/>
                <w:sz w:val="20"/>
              </w:rPr>
              <w:t xml:space="preserve">most pronounced in MCI subgroups. Heterogeneity </w:t>
            </w:r>
            <w:r w:rsidR="003209F8">
              <w:rPr>
                <w:rFonts w:ascii="Times New Roman" w:hAnsi="Times New Roman" w:cs="Times New Roman"/>
                <w:sz w:val="20"/>
              </w:rPr>
              <w:t xml:space="preserve">is </w:t>
            </w:r>
            <w:r w:rsidRPr="00680A5B">
              <w:rPr>
                <w:rFonts w:ascii="Times New Roman" w:hAnsi="Times New Roman" w:cs="Times New Roman"/>
                <w:sz w:val="20"/>
              </w:rPr>
              <w:t>moderate due to different devices.</w:t>
            </w:r>
          </w:p>
        </w:tc>
      </w:tr>
      <w:tr w:rsidR="006D03DA" w:rsidRPr="00680A5B" w14:paraId="19598806" w14:textId="77777777" w:rsidTr="003209F8">
        <w:trPr>
          <w:jc w:val="center"/>
        </w:trPr>
        <w:tc>
          <w:tcPr>
            <w:tcW w:w="1460" w:type="dxa"/>
          </w:tcPr>
          <w:p w14:paraId="6760EC5A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Affect and well-being</w:t>
            </w:r>
          </w:p>
        </w:tc>
        <w:tc>
          <w:tcPr>
            <w:tcW w:w="1433" w:type="dxa"/>
          </w:tcPr>
          <w:p w14:paraId="0C581CCE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3 crossover trials (n ≈ 100)</w:t>
            </w:r>
          </w:p>
        </w:tc>
        <w:tc>
          <w:tcPr>
            <w:tcW w:w="1494" w:type="dxa"/>
          </w:tcPr>
          <w:p w14:paraId="2B55B1BA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Outdoor/nature exercise vs indoor/urban</w:t>
            </w:r>
          </w:p>
        </w:tc>
        <w:tc>
          <w:tcPr>
            <w:tcW w:w="1421" w:type="dxa"/>
          </w:tcPr>
          <w:p w14:paraId="118FEA77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↑ improvement</w:t>
            </w:r>
          </w:p>
        </w:tc>
        <w:tc>
          <w:tcPr>
            <w:tcW w:w="1395" w:type="dxa"/>
          </w:tcPr>
          <w:p w14:paraId="59228C0E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Segoe UI Symbol" w:hAnsi="Segoe UI Symbol" w:cs="Segoe UI Symbol"/>
                <w:sz w:val="20"/>
              </w:rPr>
              <w:t>⬤⬤⬤</w:t>
            </w:r>
            <w:r w:rsidRPr="00680A5B">
              <w:rPr>
                <w:rFonts w:ascii="Cambria Math" w:hAnsi="Cambria Math" w:cs="Cambria Math"/>
                <w:sz w:val="20"/>
              </w:rPr>
              <w:t>◯</w:t>
            </w:r>
            <w:r w:rsidRPr="00680A5B">
              <w:rPr>
                <w:rFonts w:ascii="Times New Roman" w:hAnsi="Times New Roman" w:cs="Times New Roman"/>
                <w:sz w:val="20"/>
              </w:rPr>
              <w:t xml:space="preserve"> Moderate</w:t>
            </w:r>
          </w:p>
        </w:tc>
        <w:tc>
          <w:tcPr>
            <w:tcW w:w="2153" w:type="dxa"/>
          </w:tcPr>
          <w:p w14:paraId="1D63D11A" w14:textId="34261AC2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Outdoor exposure improved positive affect and perceived restoration immediately post-exercise (Niedermeier</w:t>
            </w:r>
            <w:r w:rsidR="00FE0AE8">
              <w:rPr>
                <w:rFonts w:ascii="Times New Roman" w:hAnsi="Times New Roman" w:cs="Times New Roman"/>
                <w:sz w:val="20"/>
              </w:rPr>
              <w:t xml:space="preserve">, 2017; </w:t>
            </w:r>
            <w:proofErr w:type="spellStart"/>
            <w:r w:rsidR="00FE0AE8">
              <w:rPr>
                <w:rFonts w:ascii="Times New Roman" w:hAnsi="Times New Roman" w:cs="Times New Roman"/>
                <w:sz w:val="20"/>
              </w:rPr>
              <w:t>Laezza</w:t>
            </w:r>
            <w:proofErr w:type="spellEnd"/>
            <w:r w:rsidR="00FE0AE8">
              <w:rPr>
                <w:rFonts w:ascii="Times New Roman" w:hAnsi="Times New Roman" w:cs="Times New Roman"/>
                <w:sz w:val="20"/>
              </w:rPr>
              <w:t>,</w:t>
            </w:r>
            <w:r w:rsidRPr="00680A5B">
              <w:rPr>
                <w:rFonts w:ascii="Times New Roman" w:hAnsi="Times New Roman" w:cs="Times New Roman"/>
                <w:sz w:val="20"/>
              </w:rPr>
              <w:t xml:space="preserve"> 2025). Physiological strain matched controls, suggesting psychological mediation.</w:t>
            </w:r>
          </w:p>
        </w:tc>
      </w:tr>
      <w:tr w:rsidR="006D03DA" w:rsidRPr="00680A5B" w14:paraId="0652E7B1" w14:textId="77777777" w:rsidTr="003209F8">
        <w:trPr>
          <w:jc w:val="center"/>
        </w:trPr>
        <w:tc>
          <w:tcPr>
            <w:tcW w:w="1460" w:type="dxa"/>
          </w:tcPr>
          <w:p w14:paraId="1AC3FCCA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Physiological stress and neuroendocrine markers</w:t>
            </w:r>
          </w:p>
        </w:tc>
        <w:tc>
          <w:tcPr>
            <w:tcW w:w="1433" w:type="dxa"/>
          </w:tcPr>
          <w:p w14:paraId="6BC5841B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2 crossover RCTs (n ≈ 70)</w:t>
            </w:r>
          </w:p>
        </w:tc>
        <w:tc>
          <w:tcPr>
            <w:tcW w:w="1494" w:type="dxa"/>
          </w:tcPr>
          <w:p w14:paraId="1369FEE4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Forest/nature walking vs urban or indoor</w:t>
            </w:r>
          </w:p>
        </w:tc>
        <w:tc>
          <w:tcPr>
            <w:tcW w:w="1421" w:type="dxa"/>
          </w:tcPr>
          <w:p w14:paraId="646426B3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→ no clear difference</w:t>
            </w:r>
          </w:p>
        </w:tc>
        <w:tc>
          <w:tcPr>
            <w:tcW w:w="1395" w:type="dxa"/>
          </w:tcPr>
          <w:p w14:paraId="712D91DE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Segoe UI Symbol" w:hAnsi="Segoe UI Symbol" w:cs="Segoe UI Symbol"/>
                <w:sz w:val="20"/>
              </w:rPr>
              <w:t>⬤⬤</w:t>
            </w:r>
            <w:r w:rsidRPr="00680A5B">
              <w:rPr>
                <w:rFonts w:ascii="Cambria Math" w:hAnsi="Cambria Math" w:cs="Cambria Math"/>
                <w:sz w:val="20"/>
              </w:rPr>
              <w:t>◯◯</w:t>
            </w:r>
            <w:r w:rsidRPr="00680A5B">
              <w:rPr>
                <w:rFonts w:ascii="Times New Roman" w:hAnsi="Times New Roman" w:cs="Times New Roman"/>
                <w:sz w:val="20"/>
              </w:rPr>
              <w:t xml:space="preserve"> Low</w:t>
            </w:r>
          </w:p>
        </w:tc>
        <w:tc>
          <w:tcPr>
            <w:tcW w:w="2153" w:type="dxa"/>
          </w:tcPr>
          <w:p w14:paraId="7C41E09D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Minor or inconsistent changes in cortisol, HRV, and BP; possible ceiling effect in healthy samples.</w:t>
            </w:r>
          </w:p>
        </w:tc>
      </w:tr>
      <w:tr w:rsidR="006D03DA" w:rsidRPr="00680A5B" w14:paraId="150BC61B" w14:textId="77777777" w:rsidTr="003209F8">
        <w:trPr>
          <w:jc w:val="center"/>
        </w:trPr>
        <w:tc>
          <w:tcPr>
            <w:tcW w:w="1460" w:type="dxa"/>
          </w:tcPr>
          <w:p w14:paraId="358F2022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Prefrontal activation and neural efficiency (fNIRS/fMRI)</w:t>
            </w:r>
          </w:p>
        </w:tc>
        <w:tc>
          <w:tcPr>
            <w:tcW w:w="1433" w:type="dxa"/>
          </w:tcPr>
          <w:p w14:paraId="4ED07FFC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3 RCTs (n ≈ 150)</w:t>
            </w:r>
          </w:p>
        </w:tc>
        <w:tc>
          <w:tcPr>
            <w:tcW w:w="1494" w:type="dxa"/>
          </w:tcPr>
          <w:p w14:paraId="2FCAB2E6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Exergaming / VR vs conventional</w:t>
            </w:r>
          </w:p>
        </w:tc>
        <w:tc>
          <w:tcPr>
            <w:tcW w:w="1421" w:type="dxa"/>
          </w:tcPr>
          <w:p w14:paraId="0E3DFEEB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↑ improvement</w:t>
            </w:r>
          </w:p>
        </w:tc>
        <w:tc>
          <w:tcPr>
            <w:tcW w:w="1395" w:type="dxa"/>
          </w:tcPr>
          <w:p w14:paraId="7B693D48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Segoe UI Symbol" w:hAnsi="Segoe UI Symbol" w:cs="Segoe UI Symbol"/>
                <w:sz w:val="20"/>
              </w:rPr>
              <w:t>⬤⬤⬤</w:t>
            </w:r>
            <w:r w:rsidRPr="00680A5B">
              <w:rPr>
                <w:rFonts w:ascii="Cambria Math" w:hAnsi="Cambria Math" w:cs="Cambria Math"/>
                <w:sz w:val="20"/>
              </w:rPr>
              <w:t>◯</w:t>
            </w:r>
            <w:r w:rsidRPr="00680A5B">
              <w:rPr>
                <w:rFonts w:ascii="Times New Roman" w:hAnsi="Times New Roman" w:cs="Times New Roman"/>
                <w:sz w:val="20"/>
              </w:rPr>
              <w:t xml:space="preserve"> Moderate</w:t>
            </w:r>
          </w:p>
        </w:tc>
        <w:tc>
          <w:tcPr>
            <w:tcW w:w="2153" w:type="dxa"/>
          </w:tcPr>
          <w:p w14:paraId="0F60F10A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VR and exergaming elicited reduced PFC oxygenation during dual-task walking, indicating improved neural efficiency (Eggenberger 2016; Liao 2021).</w:t>
            </w:r>
          </w:p>
        </w:tc>
      </w:tr>
      <w:tr w:rsidR="006D03DA" w:rsidRPr="00680A5B" w14:paraId="39B674EC" w14:textId="77777777" w:rsidTr="003209F8">
        <w:trPr>
          <w:jc w:val="center"/>
        </w:trPr>
        <w:tc>
          <w:tcPr>
            <w:tcW w:w="1460" w:type="dxa"/>
          </w:tcPr>
          <w:p w14:paraId="7FBBB97E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Adherence and feasibility</w:t>
            </w:r>
          </w:p>
        </w:tc>
        <w:tc>
          <w:tcPr>
            <w:tcW w:w="1433" w:type="dxa"/>
          </w:tcPr>
          <w:p w14:paraId="5FC8261C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5 RCTs (n ≈ 320)</w:t>
            </w:r>
          </w:p>
        </w:tc>
        <w:tc>
          <w:tcPr>
            <w:tcW w:w="1494" w:type="dxa"/>
          </w:tcPr>
          <w:p w14:paraId="1C6AEC72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All modalities</w:t>
            </w:r>
          </w:p>
        </w:tc>
        <w:tc>
          <w:tcPr>
            <w:tcW w:w="1421" w:type="dxa"/>
          </w:tcPr>
          <w:p w14:paraId="4CFD96F2" w14:textId="77777777" w:rsidR="006D03DA" w:rsidRPr="00680A5B" w:rsidRDefault="0079092D">
            <w:pPr>
              <w:jc w:val="center"/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>↑ adherence</w:t>
            </w:r>
          </w:p>
        </w:tc>
        <w:tc>
          <w:tcPr>
            <w:tcW w:w="1395" w:type="dxa"/>
          </w:tcPr>
          <w:p w14:paraId="3794B155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Segoe UI Symbol" w:hAnsi="Segoe UI Symbol" w:cs="Segoe UI Symbol"/>
                <w:sz w:val="20"/>
              </w:rPr>
              <w:t>⬤⬤⬤</w:t>
            </w:r>
            <w:r w:rsidRPr="00680A5B">
              <w:rPr>
                <w:rFonts w:ascii="Cambria Math" w:hAnsi="Cambria Math" w:cs="Cambria Math"/>
                <w:sz w:val="20"/>
              </w:rPr>
              <w:t>◯</w:t>
            </w:r>
            <w:r w:rsidRPr="00680A5B">
              <w:rPr>
                <w:rFonts w:ascii="Times New Roman" w:hAnsi="Times New Roman" w:cs="Times New Roman"/>
                <w:sz w:val="20"/>
              </w:rPr>
              <w:t xml:space="preserve"> Moderate</w:t>
            </w:r>
          </w:p>
        </w:tc>
        <w:tc>
          <w:tcPr>
            <w:tcW w:w="2153" w:type="dxa"/>
          </w:tcPr>
          <w:p w14:paraId="5E63E78A" w14:textId="77777777" w:rsidR="006D03DA" w:rsidRPr="00680A5B" w:rsidRDefault="0079092D">
            <w:pPr>
              <w:rPr>
                <w:rFonts w:ascii="Times New Roman" w:hAnsi="Times New Roman" w:cs="Times New Roman"/>
              </w:rPr>
            </w:pPr>
            <w:r w:rsidRPr="00680A5B">
              <w:rPr>
                <w:rFonts w:ascii="Times New Roman" w:hAnsi="Times New Roman" w:cs="Times New Roman"/>
                <w:sz w:val="20"/>
              </w:rPr>
              <w:t xml:space="preserve">High adherence (≥85%) across both outdoor and VR programs. Minor </w:t>
            </w:r>
            <w:r w:rsidRPr="00680A5B">
              <w:rPr>
                <w:rFonts w:ascii="Times New Roman" w:hAnsi="Times New Roman" w:cs="Times New Roman"/>
                <w:sz w:val="20"/>
              </w:rPr>
              <w:lastRenderedPageBreak/>
              <w:t>adverse events (muscle soreness, visual fatigue) reported in &lt;5%.</w:t>
            </w:r>
          </w:p>
        </w:tc>
      </w:tr>
    </w:tbl>
    <w:p w14:paraId="27B048C5" w14:textId="77777777" w:rsidR="006D03DA" w:rsidRDefault="006D03DA"/>
    <w:p w14:paraId="30E46889" w14:textId="77777777" w:rsidR="006D03DA" w:rsidRPr="008E0431" w:rsidRDefault="0079092D">
      <w:pPr>
        <w:rPr>
          <w:rFonts w:ascii="Times New Roman" w:hAnsi="Times New Roman" w:cs="Times New Roman"/>
          <w:sz w:val="24"/>
          <w:szCs w:val="24"/>
        </w:rPr>
      </w:pPr>
      <w:r w:rsidRPr="008E0431">
        <w:rPr>
          <w:rFonts w:ascii="Times New Roman" w:hAnsi="Times New Roman" w:cs="Times New Roman"/>
          <w:b/>
          <w:sz w:val="24"/>
          <w:szCs w:val="24"/>
        </w:rPr>
        <w:t>Interpretation and confidence in evidence</w:t>
      </w:r>
    </w:p>
    <w:p w14:paraId="458B27BC" w14:textId="77777777" w:rsidR="006D03DA" w:rsidRDefault="0079092D">
      <w:r w:rsidRPr="008E0431">
        <w:rPr>
          <w:rFonts w:ascii="Times New Roman" w:hAnsi="Times New Roman" w:cs="Times New Roman"/>
          <w:sz w:val="24"/>
          <w:szCs w:val="24"/>
        </w:rPr>
        <w:t>Overall, the certainty of evidence was moderate to low, primarily due to small samples, short follow-up durations, and limited blinding feasibility. Nature-based interventions demonstrate consistent affective and motivational benefits, with possible cognitive spill-over via mood regulation and environmental engagement. VR and exergaming interventions show potential for enhancing executive and dual-task functions, supported by objective neural markers. Physiological evidence remains inconclusive but supports feasibility and safety in older adults and MCI. Further large-scale, longer-term RCTs with standardized cognitive outcomes and neuroimaging endpoints are warranted.</w:t>
      </w:r>
    </w:p>
    <w:p w14:paraId="00540D19" w14:textId="77777777" w:rsidR="006D03DA" w:rsidRPr="00FE0AE8" w:rsidRDefault="0079092D">
      <w:pPr>
        <w:rPr>
          <w:rFonts w:ascii="Times New Roman" w:hAnsi="Times New Roman" w:cs="Times New Roman"/>
        </w:rPr>
      </w:pPr>
      <w:r w:rsidRPr="00FE0AE8">
        <w:rPr>
          <w:rFonts w:ascii="Times New Roman" w:hAnsi="Times New Roman" w:cs="Times New Roman"/>
          <w:b/>
          <w:sz w:val="24"/>
        </w:rPr>
        <w:t>GRADE symbols</w:t>
      </w:r>
    </w:p>
    <w:tbl>
      <w:tblPr>
        <w:tblStyle w:val="af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D03DA" w:rsidRPr="00165227" w14:paraId="7365FBC9" w14:textId="77777777" w:rsidTr="00165227">
        <w:trPr>
          <w:jc w:val="center"/>
        </w:trPr>
        <w:tc>
          <w:tcPr>
            <w:tcW w:w="2880" w:type="dxa"/>
            <w:vAlign w:val="center"/>
          </w:tcPr>
          <w:p w14:paraId="33871694" w14:textId="77777777" w:rsidR="006D03DA" w:rsidRPr="00165227" w:rsidRDefault="0079092D" w:rsidP="00165227">
            <w:pPr>
              <w:jc w:val="both"/>
              <w:rPr>
                <w:rFonts w:ascii="Times New Roman" w:hAnsi="Times New Roman" w:cs="Times New Roman"/>
              </w:rPr>
            </w:pPr>
            <w:r w:rsidRPr="00165227">
              <w:rPr>
                <w:rFonts w:ascii="Times New Roman" w:hAnsi="Times New Roman" w:cs="Times New Roman"/>
                <w:b/>
                <w:sz w:val="20"/>
              </w:rPr>
              <w:t>Symbol</w:t>
            </w:r>
          </w:p>
        </w:tc>
        <w:tc>
          <w:tcPr>
            <w:tcW w:w="2880" w:type="dxa"/>
            <w:vAlign w:val="center"/>
          </w:tcPr>
          <w:p w14:paraId="607A02D5" w14:textId="77777777" w:rsidR="006D03DA" w:rsidRPr="00165227" w:rsidRDefault="0079092D" w:rsidP="00165227">
            <w:pPr>
              <w:jc w:val="both"/>
              <w:rPr>
                <w:rFonts w:ascii="Times New Roman" w:hAnsi="Times New Roman" w:cs="Times New Roman"/>
              </w:rPr>
            </w:pPr>
            <w:r w:rsidRPr="00165227">
              <w:rPr>
                <w:rFonts w:ascii="Times New Roman" w:hAnsi="Times New Roman" w:cs="Times New Roman"/>
                <w:b/>
                <w:sz w:val="20"/>
              </w:rPr>
              <w:t>Level</w:t>
            </w:r>
          </w:p>
        </w:tc>
        <w:tc>
          <w:tcPr>
            <w:tcW w:w="2880" w:type="dxa"/>
            <w:vAlign w:val="center"/>
          </w:tcPr>
          <w:p w14:paraId="43CB9027" w14:textId="77777777" w:rsidR="006D03DA" w:rsidRPr="00165227" w:rsidRDefault="0079092D" w:rsidP="00165227">
            <w:pPr>
              <w:jc w:val="both"/>
              <w:rPr>
                <w:rFonts w:ascii="Times New Roman" w:hAnsi="Times New Roman" w:cs="Times New Roman"/>
              </w:rPr>
            </w:pPr>
            <w:r w:rsidRPr="00165227">
              <w:rPr>
                <w:rFonts w:ascii="Times New Roman" w:hAnsi="Times New Roman" w:cs="Times New Roman"/>
                <w:b/>
                <w:sz w:val="20"/>
              </w:rPr>
              <w:t>Interpretation</w:t>
            </w:r>
          </w:p>
        </w:tc>
      </w:tr>
      <w:tr w:rsidR="006D03DA" w:rsidRPr="00165227" w14:paraId="1ACB5699" w14:textId="77777777" w:rsidTr="00165227">
        <w:trPr>
          <w:jc w:val="center"/>
        </w:trPr>
        <w:tc>
          <w:tcPr>
            <w:tcW w:w="2880" w:type="dxa"/>
            <w:vAlign w:val="center"/>
          </w:tcPr>
          <w:p w14:paraId="2A794322" w14:textId="77777777" w:rsidR="006D03DA" w:rsidRPr="00165227" w:rsidRDefault="0079092D" w:rsidP="00165227">
            <w:pPr>
              <w:jc w:val="both"/>
              <w:rPr>
                <w:rFonts w:ascii="Times New Roman" w:hAnsi="Times New Roman" w:cs="Times New Roman"/>
              </w:rPr>
            </w:pPr>
            <w:r w:rsidRPr="00165227">
              <w:rPr>
                <w:rFonts w:ascii="Segoe UI Symbol" w:hAnsi="Segoe UI Symbol" w:cs="Segoe UI Symbol"/>
                <w:sz w:val="20"/>
              </w:rPr>
              <w:t>⬤⬤⬤⬤</w:t>
            </w:r>
          </w:p>
        </w:tc>
        <w:tc>
          <w:tcPr>
            <w:tcW w:w="2880" w:type="dxa"/>
            <w:vAlign w:val="center"/>
          </w:tcPr>
          <w:p w14:paraId="09114599" w14:textId="77777777" w:rsidR="006D03DA" w:rsidRPr="00165227" w:rsidRDefault="0079092D" w:rsidP="00165227">
            <w:pPr>
              <w:jc w:val="both"/>
              <w:rPr>
                <w:rFonts w:ascii="Times New Roman" w:hAnsi="Times New Roman" w:cs="Times New Roman"/>
              </w:rPr>
            </w:pPr>
            <w:r w:rsidRPr="00165227">
              <w:rPr>
                <w:rFonts w:ascii="Times New Roman" w:hAnsi="Times New Roman" w:cs="Times New Roman"/>
                <w:sz w:val="20"/>
              </w:rPr>
              <w:t>High</w:t>
            </w:r>
          </w:p>
        </w:tc>
        <w:tc>
          <w:tcPr>
            <w:tcW w:w="2880" w:type="dxa"/>
            <w:vAlign w:val="center"/>
          </w:tcPr>
          <w:p w14:paraId="76A7B4AD" w14:textId="42FA7350" w:rsidR="006D03DA" w:rsidRPr="00165227" w:rsidRDefault="0079092D" w:rsidP="00165227">
            <w:pPr>
              <w:rPr>
                <w:rFonts w:ascii="Times New Roman" w:hAnsi="Times New Roman" w:cs="Times New Roman"/>
              </w:rPr>
            </w:pPr>
            <w:r w:rsidRPr="00165227">
              <w:rPr>
                <w:rFonts w:ascii="Times New Roman" w:hAnsi="Times New Roman" w:cs="Times New Roman"/>
                <w:sz w:val="20"/>
              </w:rPr>
              <w:t xml:space="preserve">Further research is </w:t>
            </w:r>
            <w:r w:rsidR="00243925">
              <w:rPr>
                <w:rFonts w:ascii="Times New Roman" w:hAnsi="Times New Roman" w:cs="Times New Roman"/>
                <w:sz w:val="20"/>
              </w:rPr>
              <w:t>unlikely</w:t>
            </w:r>
            <w:r w:rsidRPr="00165227">
              <w:rPr>
                <w:rFonts w:ascii="Times New Roman" w:hAnsi="Times New Roman" w:cs="Times New Roman"/>
                <w:sz w:val="20"/>
              </w:rPr>
              <w:t xml:space="preserve"> to change confidence in the estimate of effect</w:t>
            </w:r>
            <w:r w:rsidR="00165227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6D03DA" w:rsidRPr="00165227" w14:paraId="1BD846D2" w14:textId="77777777" w:rsidTr="00165227">
        <w:trPr>
          <w:jc w:val="center"/>
        </w:trPr>
        <w:tc>
          <w:tcPr>
            <w:tcW w:w="2880" w:type="dxa"/>
            <w:vAlign w:val="center"/>
          </w:tcPr>
          <w:p w14:paraId="05C5E7E7" w14:textId="77777777" w:rsidR="006D03DA" w:rsidRPr="00165227" w:rsidRDefault="0079092D" w:rsidP="00165227">
            <w:pPr>
              <w:jc w:val="both"/>
              <w:rPr>
                <w:rFonts w:ascii="Times New Roman" w:hAnsi="Times New Roman" w:cs="Times New Roman"/>
              </w:rPr>
            </w:pPr>
            <w:r w:rsidRPr="00165227">
              <w:rPr>
                <w:rFonts w:ascii="Segoe UI Symbol" w:hAnsi="Segoe UI Symbol" w:cs="Segoe UI Symbol"/>
                <w:sz w:val="20"/>
              </w:rPr>
              <w:t>⬤⬤⬤</w:t>
            </w:r>
            <w:r w:rsidRPr="00165227">
              <w:rPr>
                <w:rFonts w:ascii="Cambria Math" w:hAnsi="Cambria Math" w:cs="Cambria Math"/>
                <w:sz w:val="20"/>
              </w:rPr>
              <w:t>◯</w:t>
            </w:r>
          </w:p>
        </w:tc>
        <w:tc>
          <w:tcPr>
            <w:tcW w:w="2880" w:type="dxa"/>
            <w:vAlign w:val="center"/>
          </w:tcPr>
          <w:p w14:paraId="145E44DD" w14:textId="77777777" w:rsidR="006D03DA" w:rsidRPr="00165227" w:rsidRDefault="0079092D" w:rsidP="00165227">
            <w:pPr>
              <w:jc w:val="both"/>
              <w:rPr>
                <w:rFonts w:ascii="Times New Roman" w:hAnsi="Times New Roman" w:cs="Times New Roman"/>
              </w:rPr>
            </w:pPr>
            <w:r w:rsidRPr="00165227">
              <w:rPr>
                <w:rFonts w:ascii="Times New Roman" w:hAnsi="Times New Roman" w:cs="Times New Roman"/>
                <w:sz w:val="20"/>
              </w:rPr>
              <w:t>Moderate</w:t>
            </w:r>
          </w:p>
        </w:tc>
        <w:tc>
          <w:tcPr>
            <w:tcW w:w="2880" w:type="dxa"/>
            <w:vAlign w:val="center"/>
          </w:tcPr>
          <w:p w14:paraId="7F8491BF" w14:textId="4E358376" w:rsidR="006D03DA" w:rsidRPr="00165227" w:rsidRDefault="0079092D" w:rsidP="00165227">
            <w:pPr>
              <w:rPr>
                <w:rFonts w:ascii="Times New Roman" w:hAnsi="Times New Roman" w:cs="Times New Roman"/>
              </w:rPr>
            </w:pPr>
            <w:r w:rsidRPr="00165227">
              <w:rPr>
                <w:rFonts w:ascii="Times New Roman" w:hAnsi="Times New Roman" w:cs="Times New Roman"/>
                <w:sz w:val="20"/>
              </w:rPr>
              <w:t xml:space="preserve">Further research is likely to have </w:t>
            </w:r>
            <w:r w:rsidR="00165227">
              <w:rPr>
                <w:rFonts w:ascii="Times New Roman" w:hAnsi="Times New Roman" w:cs="Times New Roman"/>
                <w:sz w:val="20"/>
              </w:rPr>
              <w:t>a significant</w:t>
            </w:r>
            <w:r w:rsidRPr="00165227">
              <w:rPr>
                <w:rFonts w:ascii="Times New Roman" w:hAnsi="Times New Roman" w:cs="Times New Roman"/>
                <w:sz w:val="20"/>
              </w:rPr>
              <w:t xml:space="preserve"> impact and may change the estimate</w:t>
            </w:r>
            <w:r w:rsidR="00165227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6D03DA" w:rsidRPr="00165227" w14:paraId="71536FF7" w14:textId="77777777" w:rsidTr="00165227">
        <w:trPr>
          <w:jc w:val="center"/>
        </w:trPr>
        <w:tc>
          <w:tcPr>
            <w:tcW w:w="2880" w:type="dxa"/>
            <w:vAlign w:val="center"/>
          </w:tcPr>
          <w:p w14:paraId="5321B8A2" w14:textId="77777777" w:rsidR="006D03DA" w:rsidRPr="00165227" w:rsidRDefault="0079092D" w:rsidP="00165227">
            <w:pPr>
              <w:jc w:val="both"/>
              <w:rPr>
                <w:rFonts w:ascii="Times New Roman" w:hAnsi="Times New Roman" w:cs="Times New Roman"/>
              </w:rPr>
            </w:pPr>
            <w:r w:rsidRPr="00165227">
              <w:rPr>
                <w:rFonts w:ascii="Segoe UI Symbol" w:hAnsi="Segoe UI Symbol" w:cs="Segoe UI Symbol"/>
                <w:sz w:val="20"/>
              </w:rPr>
              <w:t>⬤⬤</w:t>
            </w:r>
            <w:r w:rsidRPr="00165227">
              <w:rPr>
                <w:rFonts w:ascii="Cambria Math" w:hAnsi="Cambria Math" w:cs="Cambria Math"/>
                <w:sz w:val="20"/>
              </w:rPr>
              <w:t>◯◯</w:t>
            </w:r>
          </w:p>
        </w:tc>
        <w:tc>
          <w:tcPr>
            <w:tcW w:w="2880" w:type="dxa"/>
            <w:vAlign w:val="center"/>
          </w:tcPr>
          <w:p w14:paraId="4FB51098" w14:textId="77777777" w:rsidR="006D03DA" w:rsidRPr="00165227" w:rsidRDefault="0079092D" w:rsidP="00165227">
            <w:pPr>
              <w:jc w:val="both"/>
              <w:rPr>
                <w:rFonts w:ascii="Times New Roman" w:hAnsi="Times New Roman" w:cs="Times New Roman"/>
              </w:rPr>
            </w:pPr>
            <w:r w:rsidRPr="00165227">
              <w:rPr>
                <w:rFonts w:ascii="Times New Roman" w:hAnsi="Times New Roman" w:cs="Times New Roman"/>
                <w:sz w:val="20"/>
              </w:rPr>
              <w:t>Low</w:t>
            </w:r>
          </w:p>
        </w:tc>
        <w:tc>
          <w:tcPr>
            <w:tcW w:w="2880" w:type="dxa"/>
            <w:vAlign w:val="center"/>
          </w:tcPr>
          <w:p w14:paraId="704A66B7" w14:textId="760115D0" w:rsidR="006D03DA" w:rsidRPr="00165227" w:rsidRDefault="0079092D" w:rsidP="00165227">
            <w:pPr>
              <w:rPr>
                <w:rFonts w:ascii="Times New Roman" w:hAnsi="Times New Roman" w:cs="Times New Roman"/>
              </w:rPr>
            </w:pPr>
            <w:r w:rsidRPr="00165227">
              <w:rPr>
                <w:rFonts w:ascii="Times New Roman" w:hAnsi="Times New Roman" w:cs="Times New Roman"/>
                <w:sz w:val="20"/>
              </w:rPr>
              <w:t>Further research is very likely to change the estimate of effect</w:t>
            </w:r>
            <w:r w:rsidR="00165227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6D03DA" w:rsidRPr="00165227" w14:paraId="0BA5FCB2" w14:textId="77777777" w:rsidTr="00165227">
        <w:trPr>
          <w:jc w:val="center"/>
        </w:trPr>
        <w:tc>
          <w:tcPr>
            <w:tcW w:w="2880" w:type="dxa"/>
            <w:vAlign w:val="center"/>
          </w:tcPr>
          <w:p w14:paraId="28FB4FBE" w14:textId="77777777" w:rsidR="006D03DA" w:rsidRPr="00165227" w:rsidRDefault="0079092D" w:rsidP="00165227">
            <w:pPr>
              <w:jc w:val="both"/>
              <w:rPr>
                <w:rFonts w:ascii="Times New Roman" w:hAnsi="Times New Roman" w:cs="Times New Roman"/>
              </w:rPr>
            </w:pPr>
            <w:r w:rsidRPr="00165227">
              <w:rPr>
                <w:rFonts w:ascii="Segoe UI Symbol" w:hAnsi="Segoe UI Symbol" w:cs="Segoe UI Symbol"/>
                <w:sz w:val="20"/>
              </w:rPr>
              <w:t>⬤</w:t>
            </w:r>
            <w:r w:rsidRPr="00165227">
              <w:rPr>
                <w:rFonts w:ascii="Cambria Math" w:hAnsi="Cambria Math" w:cs="Cambria Math"/>
                <w:sz w:val="20"/>
              </w:rPr>
              <w:t>◯◯◯</w:t>
            </w:r>
          </w:p>
        </w:tc>
        <w:tc>
          <w:tcPr>
            <w:tcW w:w="2880" w:type="dxa"/>
            <w:vAlign w:val="center"/>
          </w:tcPr>
          <w:p w14:paraId="4C2EECFC" w14:textId="77777777" w:rsidR="006D03DA" w:rsidRPr="00165227" w:rsidRDefault="0079092D" w:rsidP="00165227">
            <w:pPr>
              <w:jc w:val="both"/>
              <w:rPr>
                <w:rFonts w:ascii="Times New Roman" w:hAnsi="Times New Roman" w:cs="Times New Roman"/>
              </w:rPr>
            </w:pPr>
            <w:r w:rsidRPr="00165227">
              <w:rPr>
                <w:rFonts w:ascii="Times New Roman" w:hAnsi="Times New Roman" w:cs="Times New Roman"/>
                <w:sz w:val="20"/>
              </w:rPr>
              <w:t>Very low</w:t>
            </w:r>
          </w:p>
        </w:tc>
        <w:tc>
          <w:tcPr>
            <w:tcW w:w="2880" w:type="dxa"/>
            <w:vAlign w:val="center"/>
          </w:tcPr>
          <w:p w14:paraId="3F466BE5" w14:textId="22AEC580" w:rsidR="006D03DA" w:rsidRPr="00165227" w:rsidRDefault="0079092D" w:rsidP="00165227">
            <w:pPr>
              <w:rPr>
                <w:rFonts w:ascii="Times New Roman" w:hAnsi="Times New Roman" w:cs="Times New Roman"/>
              </w:rPr>
            </w:pPr>
            <w:r w:rsidRPr="00165227">
              <w:rPr>
                <w:rFonts w:ascii="Times New Roman" w:hAnsi="Times New Roman" w:cs="Times New Roman"/>
                <w:sz w:val="20"/>
              </w:rPr>
              <w:t>Any estimate of effect is very uncertain</w:t>
            </w:r>
            <w:r w:rsidR="00165227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</w:tbl>
    <w:p w14:paraId="79DBFD98" w14:textId="77777777" w:rsidR="0079092D" w:rsidRDefault="0079092D"/>
    <w:sectPr w:rsidR="007909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9AABB" w14:textId="77777777" w:rsidR="0089291A" w:rsidRDefault="0089291A" w:rsidP="00680A5B">
      <w:pPr>
        <w:spacing w:after="0" w:line="240" w:lineRule="auto"/>
      </w:pPr>
      <w:r>
        <w:separator/>
      </w:r>
    </w:p>
  </w:endnote>
  <w:endnote w:type="continuationSeparator" w:id="0">
    <w:p w14:paraId="506EECFB" w14:textId="77777777" w:rsidR="0089291A" w:rsidRDefault="0089291A" w:rsidP="0068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E46EB" w14:textId="77777777" w:rsidR="0089291A" w:rsidRDefault="0089291A" w:rsidP="00680A5B">
      <w:pPr>
        <w:spacing w:after="0" w:line="240" w:lineRule="auto"/>
      </w:pPr>
      <w:r>
        <w:separator/>
      </w:r>
    </w:p>
  </w:footnote>
  <w:footnote w:type="continuationSeparator" w:id="0">
    <w:p w14:paraId="73CEA7E4" w14:textId="77777777" w:rsidR="0089291A" w:rsidRDefault="0089291A" w:rsidP="00680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3060420">
    <w:abstractNumId w:val="8"/>
  </w:num>
  <w:num w:numId="2" w16cid:durableId="1284773842">
    <w:abstractNumId w:val="6"/>
  </w:num>
  <w:num w:numId="3" w16cid:durableId="560098091">
    <w:abstractNumId w:val="5"/>
  </w:num>
  <w:num w:numId="4" w16cid:durableId="315111577">
    <w:abstractNumId w:val="4"/>
  </w:num>
  <w:num w:numId="5" w16cid:durableId="1614286997">
    <w:abstractNumId w:val="7"/>
  </w:num>
  <w:num w:numId="6" w16cid:durableId="961686970">
    <w:abstractNumId w:val="3"/>
  </w:num>
  <w:num w:numId="7" w16cid:durableId="218787191">
    <w:abstractNumId w:val="2"/>
  </w:num>
  <w:num w:numId="8" w16cid:durableId="1360662276">
    <w:abstractNumId w:val="1"/>
  </w:num>
  <w:num w:numId="9" w16cid:durableId="407113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5227"/>
    <w:rsid w:val="00243925"/>
    <w:rsid w:val="00283D6D"/>
    <w:rsid w:val="0029639D"/>
    <w:rsid w:val="003209F8"/>
    <w:rsid w:val="00326F90"/>
    <w:rsid w:val="00680A5B"/>
    <w:rsid w:val="006D03DA"/>
    <w:rsid w:val="006D130B"/>
    <w:rsid w:val="00754CB7"/>
    <w:rsid w:val="0079092D"/>
    <w:rsid w:val="007A7DF3"/>
    <w:rsid w:val="0089291A"/>
    <w:rsid w:val="008E0431"/>
    <w:rsid w:val="00AA1D8D"/>
    <w:rsid w:val="00B47730"/>
    <w:rsid w:val="00CB0664"/>
    <w:rsid w:val="00EC4C74"/>
    <w:rsid w:val="00F72D05"/>
    <w:rsid w:val="00F9217F"/>
    <w:rsid w:val="00FC693F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0D02F5"/>
  <w14:defaultImageDpi w14:val="300"/>
  <w15:docId w15:val="{D58BC436-CC56-4B14-B5F0-F4D522C8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2711</Characters>
  <Application>Microsoft Office Word</Application>
  <DocSecurity>0</DocSecurity>
  <Lines>180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YUHWA SU</cp:lastModifiedBy>
  <cp:revision>4</cp:revision>
  <dcterms:created xsi:type="dcterms:W3CDTF">2025-11-11T09:24:00Z</dcterms:created>
  <dcterms:modified xsi:type="dcterms:W3CDTF">2025-11-15T11:19:00Z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dc46a51e-8ca7-43be-ad16-ebefbc33752d</vt:lpwstr>
  </property>
</Properties>
</file>