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1713" w14:textId="157902E6" w:rsidR="006D1071" w:rsidRDefault="00E763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63B6">
        <w:rPr>
          <w:rFonts w:ascii="Times New Roman" w:eastAsia="MS Mincho" w:hAnsi="Times New Roman" w:cs="Times New Roman"/>
          <w:b/>
          <w:kern w:val="0"/>
          <w:sz w:val="28"/>
          <w:szCs w:val="22"/>
          <w14:ligatures w14:val="none"/>
        </w:rPr>
        <w:t>Supplement</w:t>
      </w:r>
      <w:r w:rsidRPr="00E763B6">
        <w:t xml:space="preserve"> </w:t>
      </w:r>
      <w:r w:rsidRPr="00E763B6">
        <w:rPr>
          <w:rFonts w:ascii="Times New Roman" w:hAnsi="Times New Roman" w:cs="Times New Roman"/>
          <w:b/>
          <w:bCs/>
          <w:sz w:val="28"/>
          <w:szCs w:val="28"/>
        </w:rPr>
        <w:t>S7. Exposure Fidelity Assessment Matrix for Included Randomized Trials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7"/>
        <w:gridCol w:w="1562"/>
        <w:gridCol w:w="1992"/>
        <w:gridCol w:w="943"/>
        <w:gridCol w:w="2282"/>
      </w:tblGrid>
      <w:tr w:rsidR="00E763B6" w:rsidRPr="00E763B6" w14:paraId="260EF752" w14:textId="77777777" w:rsidTr="00E763B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CC50C0" w14:textId="77777777" w:rsidR="00E763B6" w:rsidRPr="00E763B6" w:rsidRDefault="00E763B6" w:rsidP="00E763B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429ECF" w14:textId="77777777" w:rsidR="00E763B6" w:rsidRPr="00E763B6" w:rsidRDefault="00E763B6" w:rsidP="00E763B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Exposure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D3227F" w14:textId="77777777" w:rsidR="00E763B6" w:rsidRPr="00E763B6" w:rsidRDefault="00E763B6" w:rsidP="00E763B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Key exposure descriptors reported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DF3DED" w14:textId="77777777" w:rsidR="00E763B6" w:rsidRPr="00E763B6" w:rsidRDefault="00E763B6" w:rsidP="00E763B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Fidelity rating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577422" w14:textId="77777777" w:rsidR="00E763B6" w:rsidRPr="00E763B6" w:rsidRDefault="00E763B6" w:rsidP="00E763B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Rationale</w:t>
            </w:r>
          </w:p>
        </w:tc>
      </w:tr>
      <w:tr w:rsidR="00E763B6" w:rsidRPr="00E763B6" w14:paraId="2363C3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2DCC2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Niedermeier et al., 2017 [15]</w:t>
            </w:r>
          </w:p>
        </w:tc>
        <w:tc>
          <w:tcPr>
            <w:tcW w:w="0" w:type="auto"/>
            <w:vAlign w:val="center"/>
            <w:hideMark/>
          </w:tcPr>
          <w:p w14:paraId="654BBB64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Nature-based (outdoor hiking)</w:t>
            </w:r>
          </w:p>
        </w:tc>
        <w:tc>
          <w:tcPr>
            <w:tcW w:w="0" w:type="auto"/>
            <w:vAlign w:val="center"/>
            <w:hideMark/>
          </w:tcPr>
          <w:p w14:paraId="2560DF05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Route type, altitude, duration, terrain</w:t>
            </w:r>
          </w:p>
        </w:tc>
        <w:tc>
          <w:tcPr>
            <w:tcW w:w="0" w:type="auto"/>
            <w:vAlign w:val="center"/>
            <w:hideMark/>
          </w:tcPr>
          <w:p w14:paraId="105887AE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F59CEEA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Setting described but no quantitative greenness or canopy metrics</w:t>
            </w:r>
          </w:p>
        </w:tc>
      </w:tr>
      <w:tr w:rsidR="00E763B6" w:rsidRPr="00E763B6" w14:paraId="22BFB2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BD21B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proofErr w:type="spellStart"/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Laezza</w:t>
            </w:r>
            <w:proofErr w:type="spellEnd"/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 et al., 2025 [16]</w:t>
            </w:r>
          </w:p>
        </w:tc>
        <w:tc>
          <w:tcPr>
            <w:tcW w:w="0" w:type="auto"/>
            <w:vAlign w:val="center"/>
            <w:hideMark/>
          </w:tcPr>
          <w:p w14:paraId="08C83C8A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Nature-based (green vs built)</w:t>
            </w:r>
          </w:p>
        </w:tc>
        <w:tc>
          <w:tcPr>
            <w:tcW w:w="0" w:type="auto"/>
            <w:vAlign w:val="center"/>
            <w:hideMark/>
          </w:tcPr>
          <w:p w14:paraId="04C72EBD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Environmental categorization, restorative properties</w:t>
            </w:r>
          </w:p>
        </w:tc>
        <w:tc>
          <w:tcPr>
            <w:tcW w:w="0" w:type="auto"/>
            <w:vAlign w:val="center"/>
            <w:hideMark/>
          </w:tcPr>
          <w:p w14:paraId="6858A967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C67BCB8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Perceived restoration assessed, but no objective greenness indices</w:t>
            </w:r>
          </w:p>
        </w:tc>
      </w:tr>
      <w:tr w:rsidR="00E763B6" w:rsidRPr="00E763B6" w14:paraId="470934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6ED98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Ochiai et al., 2025 [17]</w:t>
            </w:r>
          </w:p>
        </w:tc>
        <w:tc>
          <w:tcPr>
            <w:tcW w:w="0" w:type="auto"/>
            <w:vAlign w:val="center"/>
            <w:hideMark/>
          </w:tcPr>
          <w:p w14:paraId="6945AA05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Nature-based (forest walking)</w:t>
            </w:r>
          </w:p>
        </w:tc>
        <w:tc>
          <w:tcPr>
            <w:tcW w:w="0" w:type="auto"/>
            <w:vAlign w:val="center"/>
            <w:hideMark/>
          </w:tcPr>
          <w:p w14:paraId="30987ECC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Forest setting, walking protocol</w:t>
            </w:r>
          </w:p>
        </w:tc>
        <w:tc>
          <w:tcPr>
            <w:tcW w:w="0" w:type="auto"/>
            <w:vAlign w:val="center"/>
            <w:hideMark/>
          </w:tcPr>
          <w:p w14:paraId="6545310C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A778A81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Natural environment specified, NDVI/canopy not quantified</w:t>
            </w:r>
          </w:p>
        </w:tc>
      </w:tr>
      <w:tr w:rsidR="00E763B6" w:rsidRPr="00E763B6" w14:paraId="26D470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24AEA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Zukowski et al., 2022 [18]</w:t>
            </w:r>
          </w:p>
        </w:tc>
        <w:tc>
          <w:tcPr>
            <w:tcW w:w="0" w:type="auto"/>
            <w:vAlign w:val="center"/>
            <w:hideMark/>
          </w:tcPr>
          <w:p w14:paraId="5540C2A8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Technology-assisted (VR treadmill)</w:t>
            </w:r>
          </w:p>
        </w:tc>
        <w:tc>
          <w:tcPr>
            <w:tcW w:w="0" w:type="auto"/>
            <w:vAlign w:val="center"/>
            <w:hideMark/>
          </w:tcPr>
          <w:p w14:paraId="30788418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VR treadmill paradigm, task description</w:t>
            </w:r>
          </w:p>
        </w:tc>
        <w:tc>
          <w:tcPr>
            <w:tcW w:w="0" w:type="auto"/>
            <w:vAlign w:val="center"/>
            <w:hideMark/>
          </w:tcPr>
          <w:p w14:paraId="1A705720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62CB2843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Device described; no field of view or latency reported</w:t>
            </w:r>
          </w:p>
        </w:tc>
      </w:tr>
      <w:tr w:rsidR="00E763B6" w:rsidRPr="00E763B6" w14:paraId="433A02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36AA0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proofErr w:type="spellStart"/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Ahnesjö</w:t>
            </w:r>
            <w:proofErr w:type="spellEnd"/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 et al., 2022 [19]</w:t>
            </w:r>
          </w:p>
        </w:tc>
        <w:tc>
          <w:tcPr>
            <w:tcW w:w="0" w:type="auto"/>
            <w:vAlign w:val="center"/>
            <w:hideMark/>
          </w:tcPr>
          <w:p w14:paraId="1B4E446F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Nature-based vs indoor</w:t>
            </w:r>
          </w:p>
        </w:tc>
        <w:tc>
          <w:tcPr>
            <w:tcW w:w="0" w:type="auto"/>
            <w:vAlign w:val="center"/>
            <w:hideMark/>
          </w:tcPr>
          <w:p w14:paraId="24A414AB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Environment type, exercise dose</w:t>
            </w:r>
          </w:p>
        </w:tc>
        <w:tc>
          <w:tcPr>
            <w:tcW w:w="0" w:type="auto"/>
            <w:vAlign w:val="center"/>
            <w:hideMark/>
          </w:tcPr>
          <w:p w14:paraId="45B99C64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Low–Moderate</w:t>
            </w:r>
          </w:p>
        </w:tc>
        <w:tc>
          <w:tcPr>
            <w:tcW w:w="0" w:type="auto"/>
            <w:vAlign w:val="center"/>
            <w:hideMark/>
          </w:tcPr>
          <w:p w14:paraId="7CB191F9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Environment labeled but limited contextual detail</w:t>
            </w:r>
          </w:p>
        </w:tc>
      </w:tr>
      <w:tr w:rsidR="00E763B6" w:rsidRPr="00E763B6" w14:paraId="68C353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BC6A4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Liao et al., 2021 [20]</w:t>
            </w:r>
          </w:p>
        </w:tc>
        <w:tc>
          <w:tcPr>
            <w:tcW w:w="0" w:type="auto"/>
            <w:vAlign w:val="center"/>
            <w:hideMark/>
          </w:tcPr>
          <w:p w14:paraId="78B05917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Exergaming</w:t>
            </w:r>
          </w:p>
        </w:tc>
        <w:tc>
          <w:tcPr>
            <w:tcW w:w="0" w:type="auto"/>
            <w:vAlign w:val="center"/>
            <w:hideMark/>
          </w:tcPr>
          <w:p w14:paraId="2056CD8E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Platform, cognitive–motor task design</w:t>
            </w:r>
          </w:p>
        </w:tc>
        <w:tc>
          <w:tcPr>
            <w:tcW w:w="0" w:type="auto"/>
            <w:vAlign w:val="center"/>
            <w:hideMark/>
          </w:tcPr>
          <w:p w14:paraId="3D18805A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000C646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Detailed task structure and progression described</w:t>
            </w:r>
          </w:p>
        </w:tc>
      </w:tr>
      <w:tr w:rsidR="00E763B6" w:rsidRPr="00E763B6" w14:paraId="29D2BC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7613E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Anderson-Hanley et al., 2012 [21]</w:t>
            </w:r>
          </w:p>
        </w:tc>
        <w:tc>
          <w:tcPr>
            <w:tcW w:w="0" w:type="auto"/>
            <w:vAlign w:val="center"/>
            <w:hideMark/>
          </w:tcPr>
          <w:p w14:paraId="210A5826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Exergaming (</w:t>
            </w:r>
            <w:proofErr w:type="spellStart"/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cybercycle</w:t>
            </w:r>
            <w:proofErr w:type="spellEnd"/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4E46E5E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Device type, interactive cycling task</w:t>
            </w:r>
          </w:p>
        </w:tc>
        <w:tc>
          <w:tcPr>
            <w:tcW w:w="0" w:type="auto"/>
            <w:vAlign w:val="center"/>
            <w:hideMark/>
          </w:tcPr>
          <w:p w14:paraId="6A6AC757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D6E417B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Device named; limited technical specifications</w:t>
            </w:r>
          </w:p>
        </w:tc>
      </w:tr>
      <w:tr w:rsidR="00E763B6" w:rsidRPr="00E763B6" w14:paraId="38DCBD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C3E9D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Liao et al., 2019 [22]</w:t>
            </w:r>
          </w:p>
        </w:tc>
        <w:tc>
          <w:tcPr>
            <w:tcW w:w="0" w:type="auto"/>
            <w:vAlign w:val="center"/>
            <w:hideMark/>
          </w:tcPr>
          <w:p w14:paraId="634AC754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VR-based physical–cognitive</w:t>
            </w:r>
          </w:p>
        </w:tc>
        <w:tc>
          <w:tcPr>
            <w:tcW w:w="0" w:type="auto"/>
            <w:vAlign w:val="center"/>
            <w:hideMark/>
          </w:tcPr>
          <w:p w14:paraId="46CDC77E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VR task paradigm, cognitive–motor integration</w:t>
            </w:r>
          </w:p>
        </w:tc>
        <w:tc>
          <w:tcPr>
            <w:tcW w:w="0" w:type="auto"/>
            <w:vAlign w:val="center"/>
            <w:hideMark/>
          </w:tcPr>
          <w:p w14:paraId="5F6B0EC7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922D89D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Training described; immersion parameters not reported</w:t>
            </w:r>
          </w:p>
        </w:tc>
      </w:tr>
      <w:tr w:rsidR="00E763B6" w:rsidRPr="00E763B6" w14:paraId="6D16FC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42AC6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Eggenberger et al., 2016 [23]</w:t>
            </w:r>
          </w:p>
        </w:tc>
        <w:tc>
          <w:tcPr>
            <w:tcW w:w="0" w:type="auto"/>
            <w:vAlign w:val="center"/>
            <w:hideMark/>
          </w:tcPr>
          <w:p w14:paraId="42F99318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Exergame + balance</w:t>
            </w:r>
          </w:p>
        </w:tc>
        <w:tc>
          <w:tcPr>
            <w:tcW w:w="0" w:type="auto"/>
            <w:vAlign w:val="center"/>
            <w:hideMark/>
          </w:tcPr>
          <w:p w14:paraId="7B8CDD27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Balance tasks, progression, fNIRS integration</w:t>
            </w:r>
          </w:p>
        </w:tc>
        <w:tc>
          <w:tcPr>
            <w:tcW w:w="0" w:type="auto"/>
            <w:vAlign w:val="center"/>
            <w:hideMark/>
          </w:tcPr>
          <w:p w14:paraId="660D0E69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DEECC0E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Clear exposure description enabling reproducibility</w:t>
            </w:r>
          </w:p>
        </w:tc>
      </w:tr>
      <w:tr w:rsidR="00E763B6" w:rsidRPr="00E763B6" w14:paraId="546CFF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FAAF0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Liu et al., 2022 [24]</w:t>
            </w:r>
          </w:p>
        </w:tc>
        <w:tc>
          <w:tcPr>
            <w:tcW w:w="0" w:type="auto"/>
            <w:vAlign w:val="center"/>
            <w:hideMark/>
          </w:tcPr>
          <w:p w14:paraId="767D8E61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Exergaming-based Tai Chi</w:t>
            </w:r>
          </w:p>
        </w:tc>
        <w:tc>
          <w:tcPr>
            <w:tcW w:w="0" w:type="auto"/>
            <w:vAlign w:val="center"/>
            <w:hideMark/>
          </w:tcPr>
          <w:p w14:paraId="49CC0D3C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Task structure, Tai Chi adaptation</w:t>
            </w:r>
          </w:p>
        </w:tc>
        <w:tc>
          <w:tcPr>
            <w:tcW w:w="0" w:type="auto"/>
            <w:vAlign w:val="center"/>
            <w:hideMark/>
          </w:tcPr>
          <w:p w14:paraId="34248326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7C8262A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Task described; immersive characteristics limited</w:t>
            </w:r>
          </w:p>
        </w:tc>
      </w:tr>
      <w:tr w:rsidR="00E763B6" w:rsidRPr="00E763B6" w14:paraId="2E195C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4025C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Zhao et al., 2022 [25]</w:t>
            </w:r>
          </w:p>
        </w:tc>
        <w:tc>
          <w:tcPr>
            <w:tcW w:w="0" w:type="auto"/>
            <w:vAlign w:val="center"/>
            <w:hideMark/>
          </w:tcPr>
          <w:p w14:paraId="6D2B6A39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Exergame training</w:t>
            </w:r>
          </w:p>
        </w:tc>
        <w:tc>
          <w:tcPr>
            <w:tcW w:w="0" w:type="auto"/>
            <w:vAlign w:val="center"/>
            <w:hideMark/>
          </w:tcPr>
          <w:p w14:paraId="3596EEA4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Cognitive task integration, session structure</w:t>
            </w:r>
          </w:p>
        </w:tc>
        <w:tc>
          <w:tcPr>
            <w:tcW w:w="0" w:type="auto"/>
            <w:vAlign w:val="center"/>
            <w:hideMark/>
          </w:tcPr>
          <w:p w14:paraId="7A4DCCA3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5B078DC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Intervention logic clear; device details limited</w:t>
            </w:r>
          </w:p>
        </w:tc>
      </w:tr>
      <w:tr w:rsidR="00E763B6" w:rsidRPr="00E763B6" w14:paraId="1DF4B07D" w14:textId="77777777" w:rsidTr="00E763B6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DF5C6CB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Niedermeier et al., 2017 [26]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8D819A8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Outdoor vs indoor exercise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55D3FEA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proofErr w:type="gramStart"/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Environment</w:t>
            </w:r>
            <w:proofErr w:type="gramEnd"/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 contrast, physiological measures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569AD7B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Low–Moderate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2310760" w14:textId="77777777" w:rsidR="00E763B6" w:rsidRPr="00E763B6" w:rsidRDefault="00E763B6" w:rsidP="00E763B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763B6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Exposure contrast clear, contextual detail limited</w:t>
            </w:r>
          </w:p>
        </w:tc>
      </w:tr>
    </w:tbl>
    <w:p w14:paraId="0869B233" w14:textId="77777777" w:rsidR="00E763B6" w:rsidRPr="00E763B6" w:rsidRDefault="00E763B6" w:rsidP="00E763B6">
      <w:pPr>
        <w:rPr>
          <w:rFonts w:ascii="Times New Roman" w:hAnsi="Times New Roman" w:cs="Times New Roman"/>
          <w:b/>
          <w:bCs/>
          <w:lang w:eastAsia="zh-TW"/>
        </w:rPr>
      </w:pPr>
      <w:r w:rsidRPr="00E763B6">
        <w:rPr>
          <w:rFonts w:ascii="Times New Roman" w:hAnsi="Times New Roman" w:cs="Times New Roman"/>
          <w:b/>
          <w:bCs/>
          <w:lang w:eastAsia="zh-TW"/>
        </w:rPr>
        <w:lastRenderedPageBreak/>
        <w:t xml:space="preserve">Interpretation </w:t>
      </w:r>
      <w:proofErr w:type="gramStart"/>
      <w:r w:rsidRPr="00E763B6">
        <w:rPr>
          <w:rFonts w:ascii="Times New Roman" w:hAnsi="Times New Roman" w:cs="Times New Roman"/>
          <w:b/>
          <w:bCs/>
          <w:lang w:eastAsia="zh-TW"/>
        </w:rPr>
        <w:t>note</w:t>
      </w:r>
      <w:proofErr w:type="gramEnd"/>
    </w:p>
    <w:p w14:paraId="59E5F471" w14:textId="77777777" w:rsidR="00E763B6" w:rsidRPr="00E763B6" w:rsidRDefault="00E763B6" w:rsidP="00E763B6">
      <w:pPr>
        <w:rPr>
          <w:lang w:eastAsia="zh-TW"/>
        </w:rPr>
      </w:pPr>
      <w:r w:rsidRPr="00E763B6">
        <w:rPr>
          <w:rFonts w:ascii="Times New Roman" w:hAnsi="Times New Roman" w:cs="Times New Roman"/>
          <w:lang w:eastAsia="zh-TW"/>
        </w:rPr>
        <w:t>Fidelity ratings represent the transparency and reproducibility of exposure reporting rather than exposure “dose” or intervention quality. Across trials, moderate fidelity was most common, reflecting a general lack of standardized environmental or immersive metrics in the literature.</w:t>
      </w:r>
    </w:p>
    <w:p w14:paraId="12D3D4C3" w14:textId="77777777" w:rsidR="00E763B6" w:rsidRPr="00E763B6" w:rsidRDefault="00E763B6">
      <w:pPr>
        <w:rPr>
          <w:rFonts w:hint="eastAsia"/>
          <w:lang w:eastAsia="zh-TW"/>
        </w:rPr>
      </w:pPr>
    </w:p>
    <w:sectPr w:rsidR="00E763B6" w:rsidRPr="00E763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B6"/>
    <w:rsid w:val="00182563"/>
    <w:rsid w:val="00524D42"/>
    <w:rsid w:val="00642C47"/>
    <w:rsid w:val="006D1071"/>
    <w:rsid w:val="008016FB"/>
    <w:rsid w:val="00B919B1"/>
    <w:rsid w:val="00E763B6"/>
    <w:rsid w:val="00EA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E4D58"/>
  <w15:chartTrackingRefBased/>
  <w15:docId w15:val="{D9EF094C-0966-4F74-B092-E8861F17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63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3B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3B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3B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3B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3B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3B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63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76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763B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76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763B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763B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763B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763B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763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63B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76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3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763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6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763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63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63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6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763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763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318</Words>
  <Characters>2030</Characters>
  <Application>Microsoft Office Word</Application>
  <DocSecurity>0</DocSecurity>
  <Lines>338</Lines>
  <Paragraphs>102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YUHWA SU</dc:creator>
  <cp:keywords/>
  <dc:description/>
  <cp:lastModifiedBy>YUHWA SU</cp:lastModifiedBy>
  <cp:revision>1</cp:revision>
  <dcterms:created xsi:type="dcterms:W3CDTF">2025-12-22T04:55:00Z</dcterms:created>
  <dcterms:modified xsi:type="dcterms:W3CDTF">2025-12-22T05:04:00Z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eadf8172-338b-478c-a3db-365b3ebd6bd8</vt:lpwstr>
  </property>
</Properties>
</file>