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039" w:rsidRDefault="00BA3C3F">
      <w:pPr>
        <w:pStyle w:val="Standard"/>
        <w:spacing w:line="240" w:lineRule="auto"/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 w:cs="Times New Roman"/>
          <w:sz w:val="24"/>
          <w:szCs w:val="24"/>
        </w:rPr>
        <w:t>: ICD-9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-CM and ICD-10-CM diagnosis codes for T2DM and CVD and MHD comorbidities of interest</w:t>
      </w:r>
    </w:p>
    <w:p w:rsidR="00885039" w:rsidRDefault="00885039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10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5"/>
        <w:gridCol w:w="2819"/>
        <w:gridCol w:w="4236"/>
      </w:tblGrid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Disease condition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ICD-9-CM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ICD-10-CM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2 diabetes mellitus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250.00,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250.02, 250.10, 250.12, 250.20, 250.22, 250.30, 250.32, 250.40, 250.42, 250.50, 250.52, 250.60, 250.62, 250.70, 250.72, 250.80, 250.82, 250.90, 250.92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E11.00, E11.01, E11.10, E11.11, E11.21, E11.22, E11.29, E11.311, E11.319, E11.321, E11.3211, E11.3212, E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11.3213, E11.3219, E11.329, E11.3291, E11.3292, E11.3293, E11.3299, E11.331, E11.3311, E11.3312, E11.3313, E11.3319, E11.339, E11.3391, E11.3392, E11.3393, E11.3399, E11.341, E11.3411, E11.3412, E11.3413, E11.3419, E11.349, E11.3491, E11.3492, E11.3493, E1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1.3499, E11.351, E11.3511, E11.3512, E11.3513, E11.3519, E11.3521, E11.3522, E11.3523, E11.3529, E11.3531, E11.3532, E11.3533, E11.3539, E11.3541, E11.3542, E11.3543, E11.3549, E11.3551, E11.3552, E11.3553, E11.3559, E11.359, E11.3591, E11.3592, E11.3593,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E11.3599, E11.36, E11.37X1, E11.37X2, E11.37X3, E11.37X9, E11.39, E11.40, E11.41, E11.42, E11.43, E11.44, E11.49, E11.51, E11.52, E11.59, E11.610, E11.618, E11.620, E11.621, E11.622, E11.628, E11.630, E11.638, E11.641, E11.649, E11.65, E11.69, E11.8, E11.9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Myocardial infarction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410, 410.0, 410.00, 410.01, 410.02, 410.1, 410.10, 410.11, 410.12, 410.2, 410.20, 410.21, 410.22, 410.3, 410.30, 410.31, 410.32, 410.4, 4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10.40, 410.41, 410.42, 410.5, 410.50, 410.51, 410.52, 410.6, 410.60, 410.61, 410.62, 410.7, 41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0.70, 410.71, 410.8, 410.80, 410.81, 410.82, 410.9, 410.90, 410.91, 410.92, 412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I21, I21.0, I21.01, I21.02, I21.09, I21.1, I21.11, I21.19, I21.2, I21.21, I21.29, I21.3, I21.4, I21.9, I21.A, I21.A1, I21.A9, I22, I22.0, I22.1, I22.2, I22.8, I22.9, I23, I23.0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, I23.1, I23.2, I23.3, I23.4, I23.5, I23.6, I23.7, I23.8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Stroke/ Transient Heart Attack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hint="eastAsia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430, 431, 433.01, 433.11, 433.21, 433.31, 433.81, 433.91, 434.00, 434.01, 434.10, 434.11, 434.90, 434.91, 435.0, 435.1, 435.3, 435.8, 435.9, 436, 997.02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hint="eastAsia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G45.0, G45.1,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G45.2, G45.3, G45.8, G45.9, G46.0, G46.1, G46.2, G46.3, G46.4, G46.5, G46.6, G46.7, G46.8, G97.31, G97.32, I60.00, I60.01, I60.02, I60.10, I60.11, I60.12, I60.2, I60.20, I60.21, I60.22, I60.30, I60.31, I60.32, I60.4, I60.50, I60.51, I60.52, I60.6, I60.7, I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60.8, I60.9, I61.0, I61.1, I61.2, I61.3, I61.4, I61.5, I61.6, I61.8, I61.9, I62.00, I62.01, I62.02, I62.9, I63.00, I63.011, I63.012, I63.013, I63.019, I63.02, I63.031, I63.032, I63.033, I63.039, I63.09, I63.10, I63.111, I63.112, I63.113, I63.119, I63.12, I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63.131, I63.132, I63.133, I63.139, I63.19, I63.20, I63.211, I63.212, I63.213, I63.219, I63.22, I63.231, I63.232, I63.233, I63.239, I63.29, I63.30, I63.311, I63.312, I63.313, I63.319, I63.321, I63.322, I63.323, I63.329, I63.331, I63.332, I63.333, I63.339, I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63.341, I63.342, I63.343, I63.349, I63.39, I63.40, I63.411, I63.412, I63.413, I63.419, I63.421, I63.422, I63.423, I63.429, I63.431, I63.432, I63.433, I63.439, I63.441, I63.442, I63.443, I63.449, I63.49, I63.50, I63.511, I63.512, I63.513, I63.519, I63.521,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I63.522, I63.523, I63.529, I63.531, I63.532, I63.533, I63.539, I63.541, I63.542, I63.543, I63.549, I63.59, I63.6, I63.8, I63.81, I63.89, I63.9, I67.841, I67.848, I67.89, I97.810, I97.811, I97.820, I97.821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Angina pectoris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413, 413.0, 413.1, 413.9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I20, I20.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0, I20.1, I20.2, I20.8, I20.9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Ischemic heart disease (coronary heart disease)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411, 411.0, 411.1, 411.8, 411.81, 411.89, 414, 414.0, 414.00, 414.01, 414.02, 414.03, 414.04, 414.05, 414.06, 414.07, 414.1, 414.10, 414.11, 414.12, 414.19, 414.2, 414.3, 414.4,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414.8, 414.9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hint="eastAsia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I24, I24.0, I24.1, I24.8, I24.9, I25, I25.1, I25.10, I25.11, I25.110, I25.111, I25.112, I25.118, I25.119, I25.2, I25.3, I25.4, I25.41, I25.42, I25.5, I25.6, I25.7, I25.70, I25.700, I25.701, I25.702, I25.708, I25.709, I25.71, I25.710, I25.711,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I25.712, I25.718, I25.719, I25.72, I25.720, I25.721, I25.722, I25.728, I25.729, I25.73, I25.730, I25.731, I25.732, I25.738, I25.739, I25.75, I25.750, I25.751, I25.752, I25.758, I25.759, I25.76, I25.760, I25.761,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I25.762, I25.768, I25.769, I25.79, I25.790,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I25.791, I25.792, I25.798, I25.799, I25.8, I25.81, I25.810, I25.811, I25.812, I25.82, I25.83, I25.83, I25.84, I25.89, I25.9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Coronary or other arterial revascularization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V45.81, V45.82, V15.1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Z95.1, Z95.5, Z95.8, Z95.81 Z98.61, Z98.890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Substance use diso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rder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304, 304.0, 304.00, 304.01, 304.02, 304.03, 304.1, 304.10, 304.11, 304.12, 304.13, 304.2, 304.20, 304.21, 304.22, 304.23, 304.3, 304.30, 304.31, 304.32, 304.33, 304.4, 304.40, 304.41, 304.42, 304.43, 304.5, 304.50, 304.51, 304.52, 304.53, 304.6, 304.6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0, 304.61, 304.62, 304.63, 304.7, 304.70, 304.71, 304.72, 304.73, 304.8, 304.80, 304.81, 304.82, 304.83, 304.9, 304.90, 304.91, 304.92, 304.93, 305, 305.0, 305.00, 305.01, 305.02, 305.03, 305.1, 305.2, 305.20, 305.21, 305.22, 305.23, 305.3, 305.30, 305.31,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305.32, 305.33, 305.4, 305.40, 305.41, 305.42, 305.43, 305.5, 305.50, 305.51, 305.52, 305.53, 305.6, 305.60, 305.61, 305.62, 305.63, 305.7, 305.70, 305.71, 305.72, 305.73, 305.8, 305.80, 305.81, 305.82, 305.83, 305.9, 305.90, 305.91, 305.92, 305.93, 292,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292.0, 292.2, 292.11, 292.12, 292.2, 292.8, 292.81, 292.82, 292.83,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292.84, 292.85, 292.89, 292.9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 xml:space="preserve">F11, F11.1, F11.10, F11.11, F11.12, F11.120, F11.121, F11.122, F11.129, F11.13, F11.14, F11.15, F11.150, F11.151, F11.159, F11.18, F11.181, F11.182, F11.188,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F11.19, F11.2, F11.20, F11.21, F11.22, F11.220, F11.221, F11.222, F11.229, F11.23, F11.24, F11.25, F11.250, F11.251, F11.259, F11.28, F11.281, F11.282, F11.288, F11.29, F11.9, F11.90, F11.91, F11.92, F11.920, F11.921, F11.922, F11.929, F11.93, F11.94, F11.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95, F11.950, F11.951, F11.959, F11.98, F11.981, F11.982, F11.988, F11.99, F12, F12.1, F12.10, F12.11, F12.12, F12.120, F12.121, F12.122, F12.129, F12.13,F12.15, F12.150, F12.151, F12.159, F12.18, F12.180, F12.188, F12.19, F12.2, F12.20, F12.21, F12.22, F12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.220, F12.221, F12.222, F12.229, F12.23, F12.25, F12.250, F12.251, F12.259, F12.28, F12.280, F12.288, F12.29, F12.9, F12.90, F12.91, F12.92, F12.920, F12.921, F12.922, F12.929, F12.93, F12.95, F12.950, F12.951, F12.959, F12.98, F12.980, F12.988, F12.99, F1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3, F13.1, F13.10, F13.11, F13.12, F13.120, F13.121, F13.129, F13.13, F13.130, F13.131, F13.132, F13.139, F13.14, F13.15, F13.150, F13.151, F13.159, F13.18, F13.180, F13.181, F13.182, F13.188, F13.19, F13.2, F13.20, F13.21, F13.22, F13.220, F13.221, F13.229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, F13.23, F13.230, F13.231, F13.232, F13.239, F13.24, F13.25, F13.250, F13.251, F13.259, F13.26, F13.27, F13.28, F13.280,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F13.281, F13.282, F13.288, F13.29, F13.9, F13.90, F13.91, F13.92, F13.920, F13.921, F13.929, F13.93, F13.930, F13.931, F13.932, F13.93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9, F13.94, F13.95, F13.950, F13.951, F13.959, F13.96, F13.97, F13.98, F13.980, F13.981, F13.982, F13.988, F13.99, F14, F14.1, F14.10, F14.11, F14.12, F14.120, F14.121, F14.122, F14.129, F14.13, F14.14, F14.15, F14.150, F14.151, F14.159, F14.18, F14.180, F1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4.181, F14.182, F14.188, F14.19, F14.2, F14.20, F14.21, F14.22, F14.220, F14.221, F14.222, F14.229, F14.23, F14.24, F14.25, F14.250, F14.251, F14.259, F14.28, F14.280, F14.281, F14.282, F14.288, F14.29, F14.9, F14.90, F14.91, F14.92, F14.920, F14.921, F14.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922, F14.929, F14.93, F14.94, F14.95, F14.950, F14.951, F14.959, F14.98, F14.980, F14.981, F14.982, F14.988, F14.99, F15, F15.1, F15.10, F15.11, F15.12, F15.120, F15.121, F15.122, F15.129, F15.13, F15.14, F15.15, F15.150, F15.151, F15.159, F15.18, F15.180,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F15.181, F15.182, F15.188, F15.19, F15.2, F15.20, F15.21, F15.22, F15.220, F15.221, F15.222, F15.229, F15.23, F15.24, F15.25, F15.250, F15.251, F15.259, F15.28, F15.280, F15.281, F15.282, F15.288, F15.29, F15.9, F15.90, F15.91, F15.92, F15.920, F15.921, F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15.922, F15.929, F15.93, F15.94, F15.95, F15.950, F15.951, F15.959, F15.98, F15.980, F15.981, F15.982, F15.988, F15.99, F16, F16.1, F16.10, F16.11, F16.12, F16.120, F16.121, F16.122, F16.129, F16.14, F16.15, F16.150, F16.151, F16.159, F16.18, f16.180, F16.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183, F16.188, F16.19, F16.2, F16.20, F16.21, F16.22, F16.220, F16.221, F16.229, F16.24, F16.25, F16.250, F16.251, F16.259, F16.28, F16.280, F16.283, F16.288, F16.29, F16.9, F16.90, F16.91, F16.92,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F16.920, F16.921, F16.929, F16.94, F16.95, F16.950, F16.951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, F16.959, F16.98, F16.980, F16.983, F16.988, F16.99, F17, F17.2, F17.20, f17.200, F17.201, F17.203, f17.208, F17.209, F17.21, F17.210, F17.211, F17.213, F17.218, F17.219, F17.22, F17.220, F17.221, F17.223, F17.228, F17.229, F17.29, f17.290, F17.291, f17.2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93, F17.298, F17.299, F18, F18.1, F18.10, F18.11, F18.12, F18.120, F18.121, F18.129, F18.14, F18.15, F18.150, F18.151, F18.159, F18.17, F18.18, F18.180, F18.188, F18.19, F18.2, F18.20, F18.21, F18.22, F18.220, F18.221, F18.229, F18.24, F18.25, F18.250, F18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.251, F18.259, F18.27, F18.28, F18.280, F18.288, F18.29, F18.9, F18.90, F18.91, F18.92, F18.920, F18.921, F18.929, F18.94, F18.95, F18.950, F18.951, F18.959, F18.97, F18.98, F18.980, F18.988, F18.99, F19, F19.1, F19.10, F19.11, F19.12, F19.120, F19.121, F1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9.122, F19.129, F19.13, F19.130, F19.131, F19.132, F19.139, F19.14, F19.15, F19.150, F19.151, F19.159, F19.16, F19.17, F19.18, F19.180, F19.181, F19.182, F19.188, F19.19, F19.2, F19.20, F19.21, F19.22, F19.220, F19.221, F19.222, F19.229, F19.23, F19.230, F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19.231, F19.232, F19.239, F19.24, F19.25, F19.250, F19.251, F19.259, F19.26, F19.27, F19.28, F19.280, F19.281, F19.282, F19.288, F19.29, F19.9, F19.90, F19.91, F19.92, F19.920, F19.921, F19.922, F19.929, F19.93, F19.931, F19.932, F19.939, F19.94, F19.95, F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19.950, F19.951, F19.959, F19.96, F19.97, F19.98, F19.980, F19.981, F19.982, F19.988, F19.99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Depression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hint="eastAsia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296.20, 296.21, 296.22, 296.23, 296.24, 296.25, 296.26, 296.30, 296.31, 296.32, 296.33, 296.34, 296.35, 296.36, 296.51,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296.52, 296.53, 296.54, 296.55,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296.56, 296.60, 296.61, 296.62, 296.63, 296.64, 296.65, 296.66, 296.89, 298.0, 300.4, 309.1, 311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hint="eastAsia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F06.31, F06.32, F31.0, F31.10, F31.11, F31.12, F31.13, F31.2, F31.30, F31.31, F31.32, F31.4, F31.5, F31.60, F31.61, F31.62, F31.63, F31.64, F31.71, F31.73, F3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1.75, F31.76, F31.77, F31.78, F31.81,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F31.89, F31.9, F32.0, F32.1, F32.2, F32.3, F32.4, F32.5, F32.8, F32.89, F32.9, F32.A, F33.0, F33.1, F33.2, F33.3, F33.40, F33.41, F33.42, F33.8, F33.9, F34.0, F34.1, F43.21, F43.23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Anxiety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300, 300.0, 300.00, 300.01,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300.02, 300.09, 300.10, 300.20, 300.21, 300.22, 300.3, 300.5, 300.89, 300.9, 308, 308.0, 308.1, 308.2, 308.3, 308.4, 308.9, 309.24, 309.28, 309.81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F40, F40.0, F40.00, F40.01, F40.02, F40.1, F40.10, F40.11, F40.2, F40.21,210 F40.210, F40.218, F40.22, F40.22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0, F40.228, F40.23, F40.230, F40.231, F40.232, F40.233, F40.24, F40.240, F40.241, F40.242, F40.243, F40.248, F40.29, F40.290, F40.291, F40.298, F40.8, F40.9, F41, F41.0, F41.1, F41.3, F41.8, F41.9, F42, F42.2, F42.3, F42.4, F42.8, F42.9, F43.1, F43.10, F43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.11, F43.12, F43.22, F43.23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c>
          <w:tcPr>
            <w:tcW w:w="1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Schizophrenia</w:t>
            </w:r>
          </w:p>
        </w:tc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295, 295.0, 295.00, 295.01, 295.02, 295.03, 295.04, 295.05, 295.1, 295.10, 295.11, 295.12, 295.13, 295.14, 295.15, 295.2, 295.20, 295.21, 295.22, 295.23, 295.24, 295.25, 295.3, 295.30, 295.31, 295.32, 295.33,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295.34, 295.35, 295.4, 295.40, 295.41, 295.42, 295.43, 295.44, 295.45, 295.5, 295.50, 295.51, 295.52, 295.53, 295.54, 295.55, 295.6, 295.60, 295.61, 295.62, 295.63, 295.64, 295.65, 295.7, 295.70, 295.71, 295.72, 295.73, 295.74, 295.75, 295.8, 295.80, 295.8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1, 295.82, 295.83, 295.84, 295.85, 295.9, 295.90, 295.91, 295.92, 295.93, 295.94, 295.95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F20, F20.0, F20.1, F20.2, F20.3, F20.5, F20.8, F20.81, F20.89, F20.9, F21, F22, F25, F25.0, F25.1, F25.8, F25.9</w:t>
            </w:r>
          </w:p>
        </w:tc>
      </w:tr>
    </w:tbl>
    <w:p w:rsidR="00885039" w:rsidRDefault="00885039">
      <w:pPr>
        <w:pStyle w:val="Standard"/>
        <w:rPr>
          <w:rFonts w:hint="eastAsia"/>
          <w:color w:val="3A7C22"/>
          <w:szCs w:val="24"/>
        </w:rPr>
      </w:pPr>
    </w:p>
    <w:p w:rsidR="00885039" w:rsidRDefault="00BA3C3F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T2DM = Type 2 Diabetes Mellitus; CVD =</w:t>
      </w:r>
      <w:r>
        <w:rPr>
          <w:rFonts w:ascii="Times New Roman" w:hAnsi="Times New Roman" w:cs="Times New Roman"/>
          <w:sz w:val="24"/>
          <w:szCs w:val="24"/>
        </w:rPr>
        <w:t xml:space="preserve"> Cardiovascular; MHD = Mental Health Diseases</w:t>
      </w:r>
    </w:p>
    <w:p w:rsidR="00885039" w:rsidRDefault="00885039">
      <w:pPr>
        <w:pStyle w:val="Standard"/>
        <w:rPr>
          <w:rFonts w:ascii="Times New Roman" w:hAnsi="Times New Roman" w:cs="Times New Roman"/>
          <w:b/>
          <w:bCs/>
          <w:sz w:val="24"/>
          <w:szCs w:val="24"/>
        </w:rPr>
      </w:pPr>
    </w:p>
    <w:p w:rsidR="00885039" w:rsidRDefault="00BA3C3F">
      <w:pPr>
        <w:pStyle w:val="Standard"/>
        <w:spacing w:line="480" w:lineRule="auto"/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  <w:r>
        <w:rPr>
          <w:rFonts w:ascii="Times New Roman" w:hAnsi="Times New Roman" w:cs="Times New Roman"/>
          <w:sz w:val="24"/>
          <w:szCs w:val="24"/>
        </w:rPr>
        <w:t>: Unadjusted pairwise comparisons for study groups for each outcome</w:t>
      </w:r>
    </w:p>
    <w:tbl>
      <w:tblPr>
        <w:tblW w:w="935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5"/>
        <w:gridCol w:w="1209"/>
        <w:gridCol w:w="1860"/>
        <w:gridCol w:w="1186"/>
        <w:gridCol w:w="1900"/>
        <w:gridCol w:w="1189"/>
      </w:tblGrid>
      <w:tr w:rsidR="0088503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15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  <w:t>Inpatient visits</w:t>
            </w:r>
          </w:p>
        </w:tc>
        <w:tc>
          <w:tcPr>
            <w:tcW w:w="3086" w:type="dxa"/>
            <w:gridSpan w:val="2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  <w:t>Outpatient visits</w:t>
            </w:r>
          </w:p>
        </w:tc>
        <w:tc>
          <w:tcPr>
            <w:tcW w:w="1189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  <w:t>ED visits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  <w:t>Pair of groups</w:t>
            </w:r>
          </w:p>
        </w:tc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Annual Difference in means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95% CI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 xml:space="preserve">Annual Difference in </w:t>
            </w:r>
            <w:r>
              <w:rPr>
                <w:rFonts w:ascii="Times New Roman" w:hAnsi="Times New Roman" w:cs="Times New Roman"/>
                <w:color w:val="000000"/>
                <w:lang w:val="en-IN"/>
              </w:rPr>
              <w:t>means</w:t>
            </w:r>
          </w:p>
        </w:tc>
        <w:tc>
          <w:tcPr>
            <w:tcW w:w="1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95% CI</w:t>
            </w:r>
          </w:p>
        </w:tc>
        <w:tc>
          <w:tcPr>
            <w:tcW w:w="11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Annual Difference in means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</w:p>
        </w:tc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1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  <w:t>Group 2 vs Group 1</w:t>
            </w:r>
          </w:p>
        </w:tc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0.297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0.285, 0.309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10.616</w:t>
            </w:r>
          </w:p>
        </w:tc>
        <w:tc>
          <w:tcPr>
            <w:tcW w:w="1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10.303, 10.929</w:t>
            </w:r>
          </w:p>
        </w:tc>
        <w:tc>
          <w:tcPr>
            <w:tcW w:w="11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0.461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  <w:t>Group 3 vs Group 1</w:t>
            </w:r>
          </w:p>
        </w:tc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0.262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0.246, 0.278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11.276</w:t>
            </w:r>
          </w:p>
        </w:tc>
        <w:tc>
          <w:tcPr>
            <w:tcW w:w="1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10.870, 11.682</w:t>
            </w:r>
          </w:p>
        </w:tc>
        <w:tc>
          <w:tcPr>
            <w:tcW w:w="11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0.521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  <w:t>Group 4 vs Group 1</w:t>
            </w:r>
          </w:p>
        </w:tc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0.753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0.736, 0.769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23.335</w:t>
            </w:r>
          </w:p>
        </w:tc>
        <w:tc>
          <w:tcPr>
            <w:tcW w:w="1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22.908, 23.762</w:t>
            </w:r>
          </w:p>
        </w:tc>
        <w:tc>
          <w:tcPr>
            <w:tcW w:w="11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1.328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  <w:t>Group 3 vs Group 2</w:t>
            </w:r>
          </w:p>
        </w:tc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-0.035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-0.053, -0.017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0.660</w:t>
            </w:r>
          </w:p>
        </w:tc>
        <w:tc>
          <w:tcPr>
            <w:tcW w:w="1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0.210, 1.110</w:t>
            </w:r>
          </w:p>
        </w:tc>
        <w:tc>
          <w:tcPr>
            <w:tcW w:w="11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0.059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  <w:t>Group 4 vs Group 2</w:t>
            </w:r>
          </w:p>
        </w:tc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0.455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0.437, 0.474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12.719</w:t>
            </w:r>
          </w:p>
        </w:tc>
        <w:tc>
          <w:tcPr>
            <w:tcW w:w="1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12.251, 13.188</w:t>
            </w:r>
          </w:p>
        </w:tc>
        <w:tc>
          <w:tcPr>
            <w:tcW w:w="11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0.867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15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IN"/>
              </w:rPr>
              <w:t>Group 4 vs Group 3</w:t>
            </w:r>
          </w:p>
        </w:tc>
        <w:tc>
          <w:tcPr>
            <w:tcW w:w="1209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0.490</w:t>
            </w:r>
          </w:p>
        </w:tc>
        <w:tc>
          <w:tcPr>
            <w:tcW w:w="1860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0.470, 0.511</w:t>
            </w:r>
          </w:p>
        </w:tc>
        <w:tc>
          <w:tcPr>
            <w:tcW w:w="1186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12.059</w:t>
            </w:r>
          </w:p>
        </w:tc>
        <w:tc>
          <w:tcPr>
            <w:tcW w:w="1900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11.524, 12.595</w:t>
            </w:r>
          </w:p>
        </w:tc>
        <w:tc>
          <w:tcPr>
            <w:tcW w:w="1189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lang w:val="en-IN"/>
              </w:rPr>
              <w:t>0.808</w:t>
            </w:r>
          </w:p>
        </w:tc>
      </w:tr>
    </w:tbl>
    <w:p w:rsidR="00885039" w:rsidRDefault="00885039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CI = Confidence</w:t>
      </w:r>
      <w:r>
        <w:rPr>
          <w:rFonts w:ascii="Times New Roman" w:hAnsi="Times New Roman" w:cs="Times New Roman"/>
        </w:rPr>
        <w:t xml:space="preserve"> Interval; ED = Emergency Department; T2DM = Type 2 Diabetes Mellitus; CVD = Cardiovascular; MHD = Mental Health Diseases</w:t>
      </w: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Group 1 = Patients with T2DM and neither CVD nor MHD</w:t>
      </w: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Group 2 = Patients with T2DM and CVD but no MHD</w:t>
      </w: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Group 3 = Patients with T2DM and </w:t>
      </w:r>
      <w:r>
        <w:rPr>
          <w:rFonts w:ascii="Times New Roman" w:hAnsi="Times New Roman" w:cs="Times New Roman"/>
        </w:rPr>
        <w:t>MHD but no CVD</w:t>
      </w: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Group 4 = Patients with T2DM and both CVD and MHD</w:t>
      </w: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</w:rPr>
      </w:pPr>
    </w:p>
    <w:p w:rsidR="00885039" w:rsidRDefault="00BA3C3F">
      <w:pPr>
        <w:pStyle w:val="Standard"/>
        <w:spacing w:line="240" w:lineRule="auto"/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3</w:t>
      </w:r>
      <w:r>
        <w:rPr>
          <w:rFonts w:ascii="Times New Roman" w:hAnsi="Times New Roman" w:cs="Times New Roman"/>
          <w:sz w:val="24"/>
          <w:szCs w:val="24"/>
        </w:rPr>
        <w:t>: Adjusted healthcare utilization IRRs for patients with T2DM with or without CVD and MHD</w:t>
      </w:r>
    </w:p>
    <w:p w:rsidR="00885039" w:rsidRDefault="00885039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4"/>
        <w:gridCol w:w="1529"/>
        <w:gridCol w:w="900"/>
        <w:gridCol w:w="1725"/>
        <w:gridCol w:w="973"/>
        <w:gridCol w:w="1515"/>
        <w:gridCol w:w="914"/>
      </w:tblGrid>
      <w:tr w:rsidR="0088503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794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529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 xml:space="preserve">Inpatient visits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[IRR (95% CI)]</w:t>
            </w:r>
          </w:p>
        </w:tc>
        <w:tc>
          <w:tcPr>
            <w:tcW w:w="900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p-value</w:t>
            </w:r>
          </w:p>
        </w:tc>
        <w:tc>
          <w:tcPr>
            <w:tcW w:w="1725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Outpatient visits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 xml:space="preserve">[IRR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(95% CI)]</w:t>
            </w:r>
          </w:p>
        </w:tc>
        <w:tc>
          <w:tcPr>
            <w:tcW w:w="973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p-value</w:t>
            </w:r>
          </w:p>
        </w:tc>
        <w:tc>
          <w:tcPr>
            <w:tcW w:w="1515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ED visits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[IRR (95% CI)]</w:t>
            </w:r>
          </w:p>
        </w:tc>
        <w:tc>
          <w:tcPr>
            <w:tcW w:w="914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p-value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Study cohorts</w:t>
            </w: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Patients with T2DM and neither CVD nor MHD</w:t>
            </w:r>
          </w:p>
        </w:tc>
        <w:tc>
          <w:tcPr>
            <w:tcW w:w="15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0.76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(0.74 - 0.78)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&lt;0.001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0.93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(0.92 - 0.94)</w:t>
            </w:r>
          </w:p>
        </w:tc>
        <w:tc>
          <w:tcPr>
            <w:tcW w:w="9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&lt;0.001</w:t>
            </w:r>
          </w:p>
        </w:tc>
        <w:tc>
          <w:tcPr>
            <w:tcW w:w="1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0.79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(0.78 - 0.80)</w:t>
            </w:r>
          </w:p>
        </w:tc>
        <w:tc>
          <w:tcPr>
            <w:tcW w:w="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&lt;0.001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5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Patients with T2DM and CVD but no MHD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(Reference group)</w:t>
            </w:r>
          </w:p>
        </w:tc>
        <w:tc>
          <w:tcPr>
            <w:tcW w:w="15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Reference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Reference</w:t>
            </w:r>
          </w:p>
        </w:tc>
        <w:tc>
          <w:tcPr>
            <w:tcW w:w="9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Reference</w:t>
            </w:r>
          </w:p>
        </w:tc>
        <w:tc>
          <w:tcPr>
            <w:tcW w:w="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5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Patients with T2DM and MHD but no CVD</w:t>
            </w:r>
          </w:p>
        </w:tc>
        <w:tc>
          <w:tcPr>
            <w:tcW w:w="15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1.24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(1.21 - 1.28)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&lt;0.001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1.21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(1.20 - 1.22)</w:t>
            </w:r>
          </w:p>
        </w:tc>
        <w:tc>
          <w:tcPr>
            <w:tcW w:w="9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&lt;0.001</w:t>
            </w:r>
          </w:p>
        </w:tc>
        <w:tc>
          <w:tcPr>
            <w:tcW w:w="1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1.29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(1.26 - 1.32)</w:t>
            </w:r>
          </w:p>
        </w:tc>
        <w:tc>
          <w:tcPr>
            <w:tcW w:w="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&lt;0.001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5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1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794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Patients with T2DM and both CVD and MHD</w:t>
            </w:r>
          </w:p>
        </w:tc>
        <w:tc>
          <w:tcPr>
            <w:tcW w:w="1529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1.43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(1.39 - 1.46)</w:t>
            </w:r>
          </w:p>
        </w:tc>
        <w:tc>
          <w:tcPr>
            <w:tcW w:w="900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&lt;0.001</w:t>
            </w:r>
          </w:p>
        </w:tc>
        <w:tc>
          <w:tcPr>
            <w:tcW w:w="1725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1.17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(1.16 - 1.18)</w:t>
            </w:r>
          </w:p>
        </w:tc>
        <w:tc>
          <w:tcPr>
            <w:tcW w:w="973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&lt;0.001</w:t>
            </w:r>
          </w:p>
        </w:tc>
        <w:tc>
          <w:tcPr>
            <w:tcW w:w="1515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1.47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(1.44 - 1.50)</w:t>
            </w:r>
          </w:p>
        </w:tc>
        <w:tc>
          <w:tcPr>
            <w:tcW w:w="914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8850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N"/>
              </w:rPr>
              <w:t>&lt;0.001</w:t>
            </w:r>
          </w:p>
        </w:tc>
      </w:tr>
    </w:tbl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CI = Confidence Interval; ED = Emergency Department; IRRs = Incident Rate Ratios; T2DM = Type 2 Diabetes Mellitus; CVD = Cardiovascular; MHD = Mental Health</w:t>
      </w:r>
      <w:r>
        <w:rPr>
          <w:rFonts w:ascii="Times New Roman" w:hAnsi="Times New Roman" w:cs="Times New Roman"/>
        </w:rPr>
        <w:t xml:space="preserve"> Diseases</w:t>
      </w:r>
    </w:p>
    <w:p w:rsidR="00885039" w:rsidRDefault="00885039">
      <w:pPr>
        <w:pStyle w:val="Standard"/>
        <w:spacing w:line="48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48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48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480" w:lineRule="auto"/>
        <w:rPr>
          <w:rFonts w:ascii="Times New Roman" w:hAnsi="Times New Roman" w:cs="Times New Roman"/>
        </w:rPr>
      </w:pPr>
    </w:p>
    <w:p w:rsidR="00885039" w:rsidRDefault="00885039">
      <w:pPr>
        <w:pStyle w:val="Standard"/>
        <w:spacing w:line="480" w:lineRule="auto"/>
        <w:rPr>
          <w:rFonts w:ascii="Times New Roman" w:hAnsi="Times New Roman" w:cs="Times New Roman"/>
        </w:rPr>
      </w:pPr>
    </w:p>
    <w:p w:rsidR="00885039" w:rsidRDefault="00BA3C3F">
      <w:pPr>
        <w:pStyle w:val="Standard"/>
        <w:spacing w:line="240" w:lineRule="auto"/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4</w:t>
      </w:r>
      <w:r>
        <w:rPr>
          <w:rFonts w:ascii="Times New Roman" w:hAnsi="Times New Roman" w:cs="Times New Roman"/>
          <w:sz w:val="24"/>
          <w:szCs w:val="24"/>
        </w:rPr>
        <w:t>: Adjusted incremental annual healthcare utilization associated with CVD and MHD in patients with T2DM</w:t>
      </w:r>
    </w:p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6"/>
        <w:gridCol w:w="2384"/>
        <w:gridCol w:w="353"/>
        <w:gridCol w:w="2214"/>
        <w:gridCol w:w="2473"/>
      </w:tblGrid>
      <w:tr w:rsidR="0088503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036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Comorbidity groups</w:t>
            </w:r>
          </w:p>
        </w:tc>
        <w:tc>
          <w:tcPr>
            <w:tcW w:w="2737" w:type="dxa"/>
            <w:gridSpan w:val="2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Inpatient visits</w:t>
            </w:r>
          </w:p>
        </w:tc>
        <w:tc>
          <w:tcPr>
            <w:tcW w:w="4687" w:type="dxa"/>
            <w:gridSpan w:val="2"/>
          </w:tcPr>
          <w:p w:rsidR="00885039" w:rsidRDefault="00885039">
            <w:pPr>
              <w:pStyle w:val="Standard"/>
              <w:rPr>
                <w:rFonts w:hint="eastAsia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Mean visits</w:t>
            </w:r>
          </w:p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(95% CI)</w:t>
            </w:r>
          </w:p>
        </w:tc>
        <w:tc>
          <w:tcPr>
            <w:tcW w:w="25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Group 1:</w:t>
            </w:r>
          </w:p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Patients with T2DM and neither CVD nor MHD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(n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= 120,003)</w:t>
            </w:r>
          </w:p>
        </w:tc>
        <w:tc>
          <w:tcPr>
            <w:tcW w:w="24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Group 2:</w:t>
            </w:r>
          </w:p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Patients with T2DM and CVD but no MHD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(n = 53,992)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567" w:type="dxa"/>
            <w:gridSpan w:val="2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473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Group 1</w:t>
            </w: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0.369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(0.368, 0.370)</w:t>
            </w:r>
          </w:p>
        </w:tc>
        <w:tc>
          <w:tcPr>
            <w:tcW w:w="2567" w:type="dxa"/>
            <w:gridSpan w:val="2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 </w:t>
            </w:r>
          </w:p>
        </w:tc>
        <w:tc>
          <w:tcPr>
            <w:tcW w:w="2473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 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Group 2</w:t>
            </w: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0.443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(0.441, 0.444)</w:t>
            </w:r>
          </w:p>
        </w:tc>
        <w:tc>
          <w:tcPr>
            <w:tcW w:w="25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0.073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(0.073, 0.074)</w:t>
            </w:r>
          </w:p>
        </w:tc>
        <w:tc>
          <w:tcPr>
            <w:tcW w:w="2473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 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Group 3</w:t>
            </w: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0.560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(0.558, 0.561)</w:t>
            </w:r>
          </w:p>
        </w:tc>
        <w:tc>
          <w:tcPr>
            <w:tcW w:w="25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0.191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(0.190, 0.192)</w:t>
            </w:r>
          </w:p>
        </w:tc>
        <w:tc>
          <w:tcPr>
            <w:tcW w:w="24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0.117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(0.117, 0.117)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Group 4</w:t>
            </w: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0.690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(0.689, 0.692)</w:t>
            </w:r>
          </w:p>
        </w:tc>
        <w:tc>
          <w:tcPr>
            <w:tcW w:w="25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0.321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(0.320, 0.322)</w:t>
            </w:r>
          </w:p>
        </w:tc>
        <w:tc>
          <w:tcPr>
            <w:tcW w:w="24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0.248</w:t>
            </w:r>
          </w:p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(0.247, 0.249)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5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4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7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ED visits</w:t>
            </w:r>
          </w:p>
        </w:tc>
        <w:tc>
          <w:tcPr>
            <w:tcW w:w="4687" w:type="dxa"/>
            <w:gridSpan w:val="2"/>
          </w:tcPr>
          <w:p w:rsidR="00885039" w:rsidRDefault="00885039">
            <w:pPr>
              <w:pStyle w:val="Standard"/>
              <w:rPr>
                <w:rFonts w:hint="eastAsia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567" w:type="dxa"/>
            <w:gridSpan w:val="2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473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88503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Group 1</w:t>
            </w: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0.705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(0.704, 0.707)</w:t>
            </w:r>
          </w:p>
        </w:tc>
        <w:tc>
          <w:tcPr>
            <w:tcW w:w="2567" w:type="dxa"/>
            <w:gridSpan w:val="2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 </w:t>
            </w:r>
          </w:p>
        </w:tc>
        <w:tc>
          <w:tcPr>
            <w:tcW w:w="2473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 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Group 2</w:t>
            </w: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0.846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(0.844, 0.848)</w:t>
            </w:r>
          </w:p>
        </w:tc>
        <w:tc>
          <w:tcPr>
            <w:tcW w:w="25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0.140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(0.140, 0.141)</w:t>
            </w:r>
          </w:p>
        </w:tc>
        <w:tc>
          <w:tcPr>
            <w:tcW w:w="2473" w:type="dxa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 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Group 3</w:t>
            </w: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1.093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(1.090, 1.095)</w:t>
            </w:r>
          </w:p>
        </w:tc>
        <w:tc>
          <w:tcPr>
            <w:tcW w:w="25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0.387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(0.386, 0.388)</w:t>
            </w:r>
          </w:p>
        </w:tc>
        <w:tc>
          <w:tcPr>
            <w:tcW w:w="24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0.247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(0.246, 0.248)</w:t>
            </w:r>
          </w:p>
        </w:tc>
      </w:tr>
      <w:tr w:rsidR="00885039">
        <w:tblPrEx>
          <w:tblCellMar>
            <w:top w:w="0" w:type="dxa"/>
            <w:bottom w:w="0" w:type="dxa"/>
          </w:tblCellMar>
        </w:tblPrEx>
        <w:trPr>
          <w:trHeight w:val="809"/>
        </w:trPr>
        <w:tc>
          <w:tcPr>
            <w:tcW w:w="2036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Group 4</w:t>
            </w:r>
          </w:p>
        </w:tc>
        <w:tc>
          <w:tcPr>
            <w:tcW w:w="2384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1.308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(1.306, 1.311)</w:t>
            </w:r>
          </w:p>
        </w:tc>
        <w:tc>
          <w:tcPr>
            <w:tcW w:w="2567" w:type="dxa"/>
            <w:gridSpan w:val="2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0.603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(0.602, 0.604)</w:t>
            </w:r>
          </w:p>
        </w:tc>
        <w:tc>
          <w:tcPr>
            <w:tcW w:w="2473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039" w:rsidRDefault="00BA3C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0.463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(0.462, 0.464)</w:t>
            </w:r>
          </w:p>
        </w:tc>
      </w:tr>
    </w:tbl>
    <w:p w:rsidR="00885039" w:rsidRDefault="00885039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5039" w:rsidRDefault="00BA3C3F">
      <w:pPr>
        <w:pStyle w:val="Standard"/>
        <w:spacing w:line="240" w:lineRule="auto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</w:t>
      </w:r>
      <w:r>
        <w:rPr>
          <w:rFonts w:ascii="Times New Roman" w:hAnsi="Times New Roman" w:cs="Times New Roman"/>
        </w:rPr>
        <w:t>T2DM = Type 2 Diabetes Mellitus; CVD = Cardiovascular; MHD = Mental Health Diseases</w:t>
      </w:r>
      <w:r>
        <w:rPr>
          <w:rFonts w:ascii="Times New Roman" w:hAnsi="Times New Roman" w:cs="Times New Roman"/>
          <w:sz w:val="24"/>
          <w:szCs w:val="24"/>
        </w:rPr>
        <w:t xml:space="preserve"> CI = Confidence Interval</w:t>
      </w: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Each cell in the final three columns represents the between-group difference in the two groups specified with respect to the predicted mean utilization for each healthcare service type using the method of recycled prediction</w:t>
      </w:r>
      <w:r>
        <w:rPr>
          <w:rFonts w:ascii="Times New Roman" w:hAnsi="Times New Roman" w:cs="Times New Roman"/>
          <w:sz w:val="24"/>
          <w:szCs w:val="24"/>
        </w:rPr>
        <w:t>s; a 95% CI for the mean difference that does not include 0 implies a statistically significant mean difference between the two groups.</w:t>
      </w: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Group 1: Patients with T2DM and neither CVD nor MHD (n = 120,003)</w:t>
      </w: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Group 2: Patients with T2DM and CVD but no MHD (n = 53</w:t>
      </w:r>
      <w:r>
        <w:rPr>
          <w:rFonts w:ascii="Times New Roman" w:hAnsi="Times New Roman" w:cs="Times New Roman"/>
        </w:rPr>
        <w:t>,992)</w:t>
      </w: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Group 3: Patients with T2DM and MHD but no CVD (n = 27,130)</w:t>
      </w:r>
    </w:p>
    <w:p w:rsidR="00885039" w:rsidRDefault="00BA3C3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Group 4: Patients with T2DM and both CVD and MHD (n = 24,040)</w:t>
      </w:r>
    </w:p>
    <w:p w:rsidR="00885039" w:rsidRDefault="00885039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85039" w:rsidRDefault="00885039">
      <w:pPr>
        <w:pStyle w:val="Standard"/>
        <w:rPr>
          <w:rFonts w:hint="eastAsia"/>
        </w:rPr>
      </w:pPr>
    </w:p>
    <w:sectPr w:rsidR="00885039">
      <w:foot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A3C3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000000" w:rsidRDefault="00BA3C3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EB0" w:rsidRDefault="00BA3C3F">
    <w:pPr>
      <w:pStyle w:val="Footer"/>
      <w:rPr>
        <w:rFonts w:hint="eastAsia"/>
      </w:rPr>
    </w:pPr>
    <w:r>
      <w:fldChar w:fldCharType="begin"/>
    </w:r>
    <w:r>
      <w:instrText xml:space="preserve"> PAGE </w:instrText>
    </w:r>
    <w:r>
      <w:rPr>
        <w:rFonts w:hint="eastAsia"/>
      </w:rPr>
      <w:fldChar w:fldCharType="separate"/>
    </w:r>
    <w:r>
      <w:rPr>
        <w:rFonts w:hint="eastAsia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A3C3F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BA3C3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85039"/>
    <w:rsid w:val="00663198"/>
    <w:rsid w:val="00885039"/>
    <w:rsid w:val="00BA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452BF2-1460-4F44-A5CE-258A4DB6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SimSun" w:hAnsi="Aptos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Textbody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Standard"/>
    <w:next w:val="Textbody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Standard"/>
    <w:next w:val="Textbody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Standard"/>
    <w:next w:val="Textbody"/>
    <w:pPr>
      <w:keepNext/>
      <w:keepLines/>
      <w:spacing w:before="80" w:after="40"/>
      <w:outlineLvl w:val="3"/>
    </w:pPr>
    <w:rPr>
      <w:i/>
      <w:iCs/>
      <w:color w:val="0F4761"/>
      <w:sz w:val="24"/>
    </w:rPr>
  </w:style>
  <w:style w:type="paragraph" w:styleId="Heading5">
    <w:name w:val="heading 5"/>
    <w:basedOn w:val="Standard"/>
    <w:next w:val="Textbody"/>
    <w:pPr>
      <w:keepNext/>
      <w:keepLines/>
      <w:spacing w:before="80" w:after="40"/>
      <w:outlineLvl w:val="4"/>
    </w:pPr>
    <w:rPr>
      <w:color w:val="0F4761"/>
      <w:sz w:val="24"/>
    </w:rPr>
  </w:style>
  <w:style w:type="paragraph" w:styleId="Heading6">
    <w:name w:val="heading 6"/>
    <w:basedOn w:val="Standard"/>
    <w:next w:val="Textbody"/>
    <w:pPr>
      <w:keepNext/>
      <w:keepLines/>
      <w:spacing w:before="40" w:after="0"/>
      <w:outlineLvl w:val="5"/>
    </w:pPr>
    <w:rPr>
      <w:i/>
      <w:iCs/>
      <w:color w:val="595959"/>
      <w:sz w:val="24"/>
    </w:rPr>
  </w:style>
  <w:style w:type="paragraph" w:styleId="Heading7">
    <w:name w:val="heading 7"/>
    <w:basedOn w:val="Standard"/>
    <w:next w:val="Textbody"/>
    <w:pPr>
      <w:keepNext/>
      <w:keepLines/>
      <w:spacing w:before="40" w:after="0"/>
      <w:outlineLvl w:val="6"/>
    </w:pPr>
    <w:rPr>
      <w:color w:val="595959"/>
      <w:sz w:val="24"/>
    </w:rPr>
  </w:style>
  <w:style w:type="paragraph" w:styleId="Heading8">
    <w:name w:val="heading 8"/>
    <w:basedOn w:val="Standard"/>
    <w:next w:val="Textbody"/>
    <w:pPr>
      <w:keepNext/>
      <w:keepLines/>
      <w:spacing w:after="0"/>
      <w:outlineLvl w:val="7"/>
    </w:pPr>
    <w:rPr>
      <w:i/>
      <w:iCs/>
      <w:color w:val="272727"/>
      <w:sz w:val="24"/>
    </w:rPr>
  </w:style>
  <w:style w:type="paragraph" w:styleId="Heading9">
    <w:name w:val="heading 9"/>
    <w:basedOn w:val="Standard"/>
    <w:next w:val="Textbody"/>
    <w:pPr>
      <w:keepNext/>
      <w:keepLines/>
      <w:spacing w:after="0"/>
      <w:outlineLvl w:val="8"/>
    </w:pPr>
    <w:rPr>
      <w:color w:val="27272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itle">
    <w:name w:val="Title"/>
    <w:basedOn w:val="Standard"/>
    <w:next w:val="Subtitle"/>
    <w:pPr>
      <w:spacing w:after="80" w:line="240" w:lineRule="auto"/>
    </w:pPr>
    <w:rPr>
      <w:rFonts w:ascii="Aptos Display" w:hAnsi="Aptos Display"/>
      <w:b/>
      <w:bCs/>
      <w:spacing w:val="-10"/>
      <w:sz w:val="56"/>
      <w:szCs w:val="56"/>
    </w:rPr>
  </w:style>
  <w:style w:type="paragraph" w:styleId="Subtitle">
    <w:name w:val="Subtitle"/>
    <w:basedOn w:val="Standard"/>
    <w:next w:val="Textbody"/>
    <w:rPr>
      <w:i/>
      <w:iCs/>
      <w:color w:val="595959"/>
      <w:spacing w:val="15"/>
      <w:sz w:val="28"/>
      <w:szCs w:val="28"/>
    </w:rPr>
  </w:style>
  <w:style w:type="paragraph" w:styleId="Quote">
    <w:name w:val="Quote"/>
    <w:basedOn w:val="Standard"/>
    <w:pPr>
      <w:spacing w:before="160"/>
      <w:jc w:val="center"/>
    </w:pPr>
    <w:rPr>
      <w:rFonts w:ascii="Times New Roman" w:hAnsi="Times New Roman"/>
      <w:i/>
      <w:iCs/>
      <w:color w:val="404040"/>
      <w:sz w:val="24"/>
    </w:rPr>
  </w:style>
  <w:style w:type="paragraph" w:styleId="ListParagraph">
    <w:name w:val="List Paragraph"/>
    <w:basedOn w:val="Standard"/>
    <w:pPr>
      <w:ind w:left="720"/>
    </w:pPr>
    <w:rPr>
      <w:rFonts w:ascii="Times New Roman" w:hAnsi="Times New Roman"/>
      <w:sz w:val="24"/>
    </w:rPr>
  </w:style>
  <w:style w:type="paragraph" w:styleId="IntenseQuote">
    <w:name w:val="Intense Quote"/>
    <w:basedOn w:val="Stand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/>
      <w:sz w:val="24"/>
    </w:rPr>
  </w:style>
  <w:style w:type="paragraph" w:styleId="Footer">
    <w:name w:val="foot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ing1Char">
    <w:name w:val="Heading 1 Char"/>
    <w:basedOn w:val="DefaultParagraphFont"/>
    <w:rPr>
      <w:rFonts w:ascii="Aptos Display" w:hAnsi="Aptos Display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hAnsi="Aptos Display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i/>
      <w:iCs/>
      <w:color w:val="0F4761"/>
      <w:sz w:val="24"/>
    </w:rPr>
  </w:style>
  <w:style w:type="character" w:customStyle="1" w:styleId="Heading5Char">
    <w:name w:val="Heading 5 Char"/>
    <w:basedOn w:val="DefaultParagraphFont"/>
    <w:rPr>
      <w:color w:val="0F4761"/>
      <w:sz w:val="24"/>
    </w:rPr>
  </w:style>
  <w:style w:type="character" w:customStyle="1" w:styleId="Heading6Char">
    <w:name w:val="Heading 6 Char"/>
    <w:basedOn w:val="DefaultParagraphFont"/>
    <w:rPr>
      <w:i/>
      <w:iCs/>
      <w:color w:val="595959"/>
      <w:sz w:val="24"/>
    </w:rPr>
  </w:style>
  <w:style w:type="character" w:customStyle="1" w:styleId="Heading7Char">
    <w:name w:val="Heading 7 Char"/>
    <w:basedOn w:val="DefaultParagraphFont"/>
    <w:rPr>
      <w:color w:val="595959"/>
      <w:sz w:val="24"/>
    </w:rPr>
  </w:style>
  <w:style w:type="character" w:customStyle="1" w:styleId="Heading8Char">
    <w:name w:val="Heading 8 Char"/>
    <w:basedOn w:val="DefaultParagraphFont"/>
    <w:rPr>
      <w:i/>
      <w:iCs/>
      <w:color w:val="272727"/>
      <w:sz w:val="24"/>
    </w:rPr>
  </w:style>
  <w:style w:type="character" w:customStyle="1" w:styleId="Heading9Char">
    <w:name w:val="Heading 9 Char"/>
    <w:basedOn w:val="DefaultParagraphFont"/>
    <w:rPr>
      <w:color w:val="272727"/>
      <w:sz w:val="24"/>
    </w:rPr>
  </w:style>
  <w:style w:type="character" w:customStyle="1" w:styleId="TitleChar">
    <w:name w:val="Title Char"/>
    <w:basedOn w:val="DefaultParagraphFont"/>
    <w:rPr>
      <w:rFonts w:ascii="Aptos Display" w:hAnsi="Aptos Display"/>
      <w:spacing w:val="-10"/>
      <w:kern w:val="3"/>
      <w:sz w:val="56"/>
      <w:szCs w:val="56"/>
    </w:rPr>
  </w:style>
  <w:style w:type="character" w:customStyle="1" w:styleId="SubtitleChar">
    <w:name w:val="Subtitle Char"/>
    <w:basedOn w:val="DefaultParagraphFont"/>
    <w:rPr>
      <w:color w:val="595959"/>
      <w:spacing w:val="15"/>
      <w:sz w:val="28"/>
      <w:szCs w:val="28"/>
    </w:rPr>
  </w:style>
  <w:style w:type="character" w:customStyle="1" w:styleId="QuoteChar">
    <w:name w:val="Quote Char"/>
    <w:basedOn w:val="DefaultParagraphFont"/>
    <w:rPr>
      <w:rFonts w:ascii="Times New Roman" w:hAnsi="Times New Roman"/>
      <w:i/>
      <w:iCs/>
      <w:color w:val="404040"/>
      <w:sz w:val="24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rFonts w:ascii="Times New Roman" w:hAnsi="Times New Roman"/>
      <w:i/>
      <w:iCs/>
      <w:color w:val="0F4761"/>
      <w:sz w:val="24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customStyle="1" w:styleId="Internetlink">
    <w:name w:val="Internet link"/>
    <w:basedOn w:val="DefaultParagraphFont"/>
    <w:rPr>
      <w:color w:val="467886"/>
      <w:u w:val="single"/>
    </w:r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Prachi Prajapati</dc:creator>
  <cp:lastModifiedBy>Rizza Torino</cp:lastModifiedBy>
  <cp:revision>2</cp:revision>
  <dcterms:created xsi:type="dcterms:W3CDTF">2026-01-20T03:35:00Z</dcterms:created>
  <dcterms:modified xsi:type="dcterms:W3CDTF">2026-01-20T03:35:00Z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