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horzAnchor="margin" w:tblpY="771"/>
        <w:tblW w:w="9067" w:type="dxa"/>
        <w:tblLook w:val="04A0" w:firstRow="1" w:lastRow="0" w:firstColumn="1" w:lastColumn="0" w:noHBand="0" w:noVBand="1"/>
      </w:tblPr>
      <w:tblGrid>
        <w:gridCol w:w="2015"/>
        <w:gridCol w:w="3242"/>
        <w:gridCol w:w="3810"/>
      </w:tblGrid>
      <w:tr w:rsidR="00AB2DB5" w:rsidRPr="00C848D3" w14:paraId="6FF529D4" w14:textId="77777777" w:rsidTr="00FD0BBA">
        <w:tc>
          <w:tcPr>
            <w:tcW w:w="2015" w:type="dxa"/>
          </w:tcPr>
          <w:p w14:paraId="1327CDF3" w14:textId="7C0F4F5D" w:rsidR="00AB2DB5" w:rsidRPr="00C848D3" w:rsidRDefault="00AB2DB5" w:rsidP="006E5ECB">
            <w:pPr>
              <w:rPr>
                <w:b/>
                <w:bCs/>
                <w:sz w:val="16"/>
                <w:szCs w:val="16"/>
                <w:lang w:val="en-GB"/>
              </w:rPr>
            </w:pPr>
            <w:r w:rsidRPr="00C848D3">
              <w:rPr>
                <w:b/>
                <w:bCs/>
                <w:sz w:val="16"/>
                <w:szCs w:val="16"/>
                <w:lang w:val="en-GB"/>
              </w:rPr>
              <w:t>Aspect</w:t>
            </w:r>
            <w:r w:rsidR="000247F1" w:rsidRPr="00C848D3">
              <w:rPr>
                <w:b/>
                <w:bCs/>
                <w:sz w:val="16"/>
                <w:szCs w:val="16"/>
                <w:lang w:val="en-GB"/>
              </w:rPr>
              <w:t>s</w:t>
            </w:r>
          </w:p>
        </w:tc>
        <w:tc>
          <w:tcPr>
            <w:tcW w:w="3242" w:type="dxa"/>
          </w:tcPr>
          <w:p w14:paraId="7914AA3B" w14:textId="51DEEA03" w:rsidR="00AB2DB5" w:rsidRPr="00C848D3" w:rsidRDefault="00AB2DB5" w:rsidP="006E5ECB">
            <w:pPr>
              <w:rPr>
                <w:b/>
                <w:bCs/>
                <w:sz w:val="16"/>
                <w:szCs w:val="16"/>
                <w:lang w:val="en-GB"/>
              </w:rPr>
            </w:pPr>
            <w:r w:rsidRPr="00C848D3">
              <w:rPr>
                <w:b/>
                <w:bCs/>
                <w:sz w:val="16"/>
                <w:szCs w:val="16"/>
                <w:lang w:val="en-GB"/>
              </w:rPr>
              <w:t>Observation</w:t>
            </w:r>
            <w:r w:rsidR="000247F1" w:rsidRPr="00C848D3">
              <w:rPr>
                <w:b/>
                <w:bCs/>
                <w:sz w:val="16"/>
                <w:szCs w:val="16"/>
                <w:lang w:val="en-GB"/>
              </w:rPr>
              <w:t>s</w:t>
            </w:r>
          </w:p>
        </w:tc>
        <w:tc>
          <w:tcPr>
            <w:tcW w:w="3810" w:type="dxa"/>
          </w:tcPr>
          <w:p w14:paraId="28D39A2A" w14:textId="0AA73303" w:rsidR="00AB2DB5" w:rsidRPr="00C848D3" w:rsidRDefault="00AB2DB5" w:rsidP="006E5ECB">
            <w:pPr>
              <w:rPr>
                <w:b/>
                <w:bCs/>
                <w:sz w:val="16"/>
                <w:szCs w:val="16"/>
                <w:lang w:val="en-GB"/>
              </w:rPr>
            </w:pPr>
            <w:r w:rsidRPr="00C848D3">
              <w:rPr>
                <w:b/>
                <w:bCs/>
                <w:sz w:val="16"/>
                <w:szCs w:val="16"/>
                <w:lang w:val="en-GB"/>
              </w:rPr>
              <w:t>Variation</w:t>
            </w:r>
            <w:r w:rsidR="000247F1" w:rsidRPr="00C848D3">
              <w:rPr>
                <w:b/>
                <w:bCs/>
                <w:sz w:val="16"/>
                <w:szCs w:val="16"/>
                <w:lang w:val="en-GB"/>
              </w:rPr>
              <w:t>s</w:t>
            </w:r>
          </w:p>
        </w:tc>
      </w:tr>
      <w:tr w:rsidR="00AB2DB5" w:rsidRPr="00C848D3" w14:paraId="73189FBF" w14:textId="77777777" w:rsidTr="00FD0BBA">
        <w:tc>
          <w:tcPr>
            <w:tcW w:w="2015" w:type="dxa"/>
          </w:tcPr>
          <w:p w14:paraId="2B5298FC" w14:textId="0F4B02B9" w:rsidR="00AB2DB5" w:rsidRPr="00C848D3" w:rsidRDefault="00AB2DB5" w:rsidP="006E5ECB">
            <w:pPr>
              <w:rPr>
                <w:sz w:val="16"/>
                <w:szCs w:val="16"/>
                <w:lang w:val="en-GB"/>
              </w:rPr>
            </w:pPr>
            <w:r w:rsidRPr="00C848D3">
              <w:rPr>
                <w:sz w:val="16"/>
                <w:szCs w:val="16"/>
                <w:lang w:val="en-GB"/>
              </w:rPr>
              <w:t>Introduction</w:t>
            </w:r>
          </w:p>
        </w:tc>
        <w:tc>
          <w:tcPr>
            <w:tcW w:w="3242" w:type="dxa"/>
          </w:tcPr>
          <w:p w14:paraId="1AC3D5D7" w14:textId="03BC1E2D" w:rsidR="00D334FC" w:rsidRPr="00C848D3" w:rsidRDefault="00D334FC" w:rsidP="00D334FC">
            <w:pPr>
              <w:rPr>
                <w:sz w:val="16"/>
                <w:szCs w:val="16"/>
                <w:lang w:val="en-GB"/>
              </w:rPr>
            </w:pPr>
            <w:r w:rsidRPr="00C848D3">
              <w:rPr>
                <w:sz w:val="16"/>
                <w:szCs w:val="16"/>
                <w:lang w:val="en-GB"/>
              </w:rPr>
              <w:t>Staff commonly introduced themselves and confirmed the reason for the ED visit. Permission was in several cases sought to perform an assessment or to “just ask a few questions".</w:t>
            </w:r>
          </w:p>
        </w:tc>
        <w:tc>
          <w:tcPr>
            <w:tcW w:w="3810" w:type="dxa"/>
          </w:tcPr>
          <w:p w14:paraId="6FDDF099" w14:textId="77777777" w:rsidR="00D334FC" w:rsidRDefault="00EE27B5" w:rsidP="006E5ECB">
            <w:pPr>
              <w:rPr>
                <w:sz w:val="16"/>
                <w:szCs w:val="16"/>
                <w:lang w:val="en-GB"/>
              </w:rPr>
            </w:pPr>
            <w:r w:rsidRPr="00C848D3">
              <w:rPr>
                <w:sz w:val="16"/>
                <w:szCs w:val="16"/>
                <w:lang w:val="en-GB"/>
              </w:rPr>
              <w:t>The assessment was conducted at different points during the ED visit: some at the initial encounter, most after approximately one hour, and two more than ten hours after arrival. If the staff member and patient had met previously, no formal introduction was made.</w:t>
            </w:r>
          </w:p>
          <w:p w14:paraId="65EF47DC" w14:textId="5ECD080E" w:rsidR="00C848D3" w:rsidRPr="00C848D3" w:rsidRDefault="00C848D3" w:rsidP="006E5ECB">
            <w:pPr>
              <w:rPr>
                <w:sz w:val="16"/>
                <w:szCs w:val="16"/>
                <w:lang w:val="en-GB"/>
              </w:rPr>
            </w:pPr>
          </w:p>
        </w:tc>
      </w:tr>
      <w:tr w:rsidR="00AB2DB5" w:rsidRPr="00C848D3" w14:paraId="412432AD" w14:textId="77777777" w:rsidTr="00FD0BBA">
        <w:tc>
          <w:tcPr>
            <w:tcW w:w="2015" w:type="dxa"/>
          </w:tcPr>
          <w:p w14:paraId="12B565BD" w14:textId="591D589E" w:rsidR="00AB2DB5" w:rsidRPr="00C848D3" w:rsidRDefault="00AB2DB5" w:rsidP="006E5ECB">
            <w:pPr>
              <w:rPr>
                <w:sz w:val="16"/>
                <w:szCs w:val="16"/>
                <w:lang w:val="en-GB"/>
              </w:rPr>
            </w:pPr>
            <w:r w:rsidRPr="00C848D3">
              <w:rPr>
                <w:sz w:val="16"/>
                <w:szCs w:val="16"/>
                <w:lang w:val="en-GB"/>
              </w:rPr>
              <w:t>Framing the assessment</w:t>
            </w:r>
          </w:p>
        </w:tc>
        <w:tc>
          <w:tcPr>
            <w:tcW w:w="3242" w:type="dxa"/>
          </w:tcPr>
          <w:p w14:paraId="0BDA70A5" w14:textId="77777777" w:rsidR="007378D4" w:rsidRDefault="00862270" w:rsidP="00862270">
            <w:pPr>
              <w:rPr>
                <w:sz w:val="16"/>
                <w:szCs w:val="16"/>
                <w:lang w:val="en-GB"/>
              </w:rPr>
            </w:pPr>
            <w:r w:rsidRPr="00C848D3">
              <w:rPr>
                <w:sz w:val="16"/>
                <w:szCs w:val="16"/>
                <w:lang w:val="en-GB"/>
              </w:rPr>
              <w:t>When introducing the assessment to patients, staff used different formulations, including asking how the patient was managing at home, inquiring about the home situation to check for support needs or for later comparison, explaining that the assessment involved evaluating frailty using a scale, and presenting frailty level as a factor to be considered in care decisions when higher scores were obtained.</w:t>
            </w:r>
          </w:p>
          <w:p w14:paraId="540CC72B" w14:textId="5B16952C" w:rsidR="00C848D3" w:rsidRPr="00C848D3" w:rsidRDefault="00C848D3" w:rsidP="00862270">
            <w:pPr>
              <w:rPr>
                <w:sz w:val="16"/>
                <w:szCs w:val="16"/>
                <w:lang w:val="en-GB"/>
              </w:rPr>
            </w:pPr>
          </w:p>
        </w:tc>
        <w:tc>
          <w:tcPr>
            <w:tcW w:w="3810" w:type="dxa"/>
          </w:tcPr>
          <w:p w14:paraId="0917201C" w14:textId="4BBE492E" w:rsidR="00AB2DB5" w:rsidRPr="00C848D3" w:rsidRDefault="00EC3FDE" w:rsidP="006E5ECB">
            <w:pPr>
              <w:rPr>
                <w:sz w:val="16"/>
                <w:szCs w:val="16"/>
                <w:lang w:val="en-GB"/>
              </w:rPr>
            </w:pPr>
            <w:r w:rsidRPr="00C848D3">
              <w:rPr>
                <w:sz w:val="16"/>
                <w:szCs w:val="16"/>
                <w:lang w:val="en-GB"/>
              </w:rPr>
              <w:t xml:space="preserve">Most staff members sat down next to the patient, while a few remained </w:t>
            </w:r>
            <w:proofErr w:type="gramStart"/>
            <w:r w:rsidRPr="00C848D3">
              <w:rPr>
                <w:sz w:val="16"/>
                <w:szCs w:val="16"/>
                <w:lang w:val="en-GB"/>
              </w:rPr>
              <w:t>standing</w:t>
            </w:r>
            <w:proofErr w:type="gramEnd"/>
            <w:r w:rsidRPr="00C848D3">
              <w:rPr>
                <w:sz w:val="16"/>
                <w:szCs w:val="16"/>
                <w:lang w:val="en-GB"/>
              </w:rPr>
              <w:t>. Body language such as maintaining eye contact, smiling, and leaning forward was used.</w:t>
            </w:r>
          </w:p>
          <w:p w14:paraId="0941AFB7" w14:textId="2F45AA59" w:rsidR="007378D4" w:rsidRPr="00C848D3" w:rsidRDefault="007378D4" w:rsidP="006E5ECB">
            <w:pPr>
              <w:rPr>
                <w:sz w:val="16"/>
                <w:szCs w:val="16"/>
                <w:lang w:val="en-GB"/>
              </w:rPr>
            </w:pPr>
          </w:p>
        </w:tc>
      </w:tr>
      <w:tr w:rsidR="00AB2DB5" w:rsidRPr="00C848D3" w14:paraId="4A62922C" w14:textId="77777777" w:rsidTr="00FD0BBA">
        <w:tc>
          <w:tcPr>
            <w:tcW w:w="2015" w:type="dxa"/>
          </w:tcPr>
          <w:p w14:paraId="24B8F03D" w14:textId="1CCB3D85" w:rsidR="00AB2DB5" w:rsidRPr="00C848D3" w:rsidRDefault="00AB2DB5" w:rsidP="006E5ECB">
            <w:pPr>
              <w:rPr>
                <w:sz w:val="16"/>
                <w:szCs w:val="16"/>
                <w:lang w:val="en-GB"/>
              </w:rPr>
            </w:pPr>
            <w:r w:rsidRPr="00C848D3">
              <w:rPr>
                <w:sz w:val="16"/>
                <w:szCs w:val="16"/>
                <w:lang w:val="en-GB"/>
              </w:rPr>
              <w:t>Targeted questions</w:t>
            </w:r>
            <w:r w:rsidR="00C7064F" w:rsidRPr="00C848D3">
              <w:rPr>
                <w:sz w:val="16"/>
                <w:szCs w:val="16"/>
                <w:lang w:val="en-GB"/>
              </w:rPr>
              <w:t xml:space="preserve"> and conversations</w:t>
            </w:r>
          </w:p>
        </w:tc>
        <w:tc>
          <w:tcPr>
            <w:tcW w:w="3242" w:type="dxa"/>
          </w:tcPr>
          <w:p w14:paraId="28158F0E" w14:textId="060AD28D" w:rsidR="007378D4" w:rsidRDefault="00403A6B" w:rsidP="00C7064F">
            <w:pPr>
              <w:rPr>
                <w:sz w:val="16"/>
                <w:szCs w:val="16"/>
                <w:lang w:val="en-GB"/>
              </w:rPr>
            </w:pPr>
            <w:r w:rsidRPr="00C848D3">
              <w:rPr>
                <w:sz w:val="16"/>
                <w:szCs w:val="16"/>
                <w:lang w:val="en-GB"/>
              </w:rPr>
              <w:t>The assessment included questions related to living arrangements</w:t>
            </w:r>
            <w:r w:rsidR="002F24EA" w:rsidRPr="00C848D3">
              <w:rPr>
                <w:sz w:val="16"/>
                <w:szCs w:val="16"/>
                <w:lang w:val="en-GB"/>
              </w:rPr>
              <w:t xml:space="preserve"> and </w:t>
            </w:r>
            <w:r w:rsidRPr="00C848D3">
              <w:rPr>
                <w:sz w:val="16"/>
                <w:szCs w:val="16"/>
                <w:lang w:val="en-GB"/>
              </w:rPr>
              <w:t>social situation, physical activity</w:t>
            </w:r>
            <w:r w:rsidR="002F24EA" w:rsidRPr="00C848D3">
              <w:rPr>
                <w:sz w:val="16"/>
                <w:szCs w:val="16"/>
                <w:lang w:val="en-GB"/>
              </w:rPr>
              <w:t>.</w:t>
            </w:r>
            <w:r w:rsidRPr="00C848D3">
              <w:rPr>
                <w:sz w:val="16"/>
                <w:szCs w:val="16"/>
                <w:lang w:val="en-GB"/>
              </w:rPr>
              <w:t xml:space="preserve"> </w:t>
            </w:r>
            <w:r w:rsidR="002F24EA" w:rsidRPr="00C848D3">
              <w:rPr>
                <w:sz w:val="16"/>
                <w:szCs w:val="16"/>
                <w:lang w:val="en-GB"/>
              </w:rPr>
              <w:t xml:space="preserve">All videos included questions whether they had any </w:t>
            </w:r>
            <w:r w:rsidR="002E18D9" w:rsidRPr="00C848D3">
              <w:rPr>
                <w:sz w:val="16"/>
                <w:szCs w:val="16"/>
                <w:lang w:val="en-GB"/>
              </w:rPr>
              <w:t>assistance to</w:t>
            </w:r>
            <w:r w:rsidRPr="00C848D3">
              <w:rPr>
                <w:sz w:val="16"/>
                <w:szCs w:val="16"/>
                <w:lang w:val="en-GB"/>
              </w:rPr>
              <w:t xml:space="preserve"> perform activities of daily living</w:t>
            </w:r>
            <w:r w:rsidR="002F24EA" w:rsidRPr="00C848D3">
              <w:rPr>
                <w:sz w:val="16"/>
                <w:szCs w:val="16"/>
                <w:lang w:val="en-GB"/>
              </w:rPr>
              <w:t xml:space="preserve"> </w:t>
            </w:r>
            <w:r w:rsidRPr="00C848D3">
              <w:rPr>
                <w:sz w:val="16"/>
                <w:szCs w:val="16"/>
                <w:lang w:val="en-GB"/>
              </w:rPr>
              <w:t>Questions were typically phrased in everyday language and focused on the patient’s habitual functioning, using concrete examples (e.g. managing personal care, shopping, household tasks, medication management, mobility, and use of home care services or assistive devices).</w:t>
            </w:r>
            <w:r w:rsidR="00C7064F" w:rsidRPr="00C848D3">
              <w:rPr>
                <w:sz w:val="16"/>
                <w:szCs w:val="16"/>
                <w:lang w:val="en-GB"/>
              </w:rPr>
              <w:t xml:space="preserve">  Staff conveyed professionalism through structured questioning and knowledge of geriatric issues. Rapport was fostered by introducing a personal touch into CFS conversations and by using humour.</w:t>
            </w:r>
          </w:p>
          <w:p w14:paraId="65E52262" w14:textId="30DD4ECC" w:rsidR="00C848D3" w:rsidRPr="00C848D3" w:rsidRDefault="00C848D3" w:rsidP="00C7064F">
            <w:pPr>
              <w:rPr>
                <w:sz w:val="16"/>
                <w:szCs w:val="16"/>
                <w:lang w:val="en-GB"/>
              </w:rPr>
            </w:pPr>
          </w:p>
        </w:tc>
        <w:tc>
          <w:tcPr>
            <w:tcW w:w="3810" w:type="dxa"/>
          </w:tcPr>
          <w:p w14:paraId="7605ACF0" w14:textId="563D129A" w:rsidR="00FD0BBA" w:rsidRPr="00C848D3" w:rsidRDefault="00FD0BBA" w:rsidP="00FD0BBA">
            <w:pPr>
              <w:rPr>
                <w:sz w:val="16"/>
                <w:szCs w:val="16"/>
                <w:lang w:val="en-GB"/>
              </w:rPr>
            </w:pPr>
            <w:r w:rsidRPr="00C848D3">
              <w:rPr>
                <w:sz w:val="16"/>
                <w:szCs w:val="16"/>
                <w:lang w:val="en-GB"/>
              </w:rPr>
              <w:t>The number of targeted assessment questions varied between eight and approximately twice that, depending on the patient’s level of functioning. Patients perceived as very vital were identified early and required fewer questions, whereas patients with lower levels of functioning prompted a broader set of follow-up questions.</w:t>
            </w:r>
            <w:r w:rsidR="00C7064F" w:rsidRPr="00C848D3">
              <w:rPr>
                <w:sz w:val="16"/>
                <w:szCs w:val="16"/>
                <w:lang w:val="en-GB"/>
              </w:rPr>
              <w:t xml:space="preserve"> </w:t>
            </w:r>
            <w:r w:rsidRPr="00C848D3">
              <w:rPr>
                <w:sz w:val="16"/>
                <w:szCs w:val="16"/>
                <w:lang w:val="en-GB"/>
              </w:rPr>
              <w:t>Conversations ranged from being limited to assessment questions to including patients’ life stories or validating their emotional state through words and body language.</w:t>
            </w:r>
          </w:p>
          <w:p w14:paraId="2264FBB8" w14:textId="7BB183F7" w:rsidR="007378D4" w:rsidRPr="00C848D3" w:rsidRDefault="007378D4" w:rsidP="00C7064F">
            <w:pPr>
              <w:rPr>
                <w:sz w:val="16"/>
                <w:szCs w:val="16"/>
                <w:lang w:val="en-GB"/>
              </w:rPr>
            </w:pPr>
          </w:p>
        </w:tc>
      </w:tr>
      <w:tr w:rsidR="00AB2DB5" w:rsidRPr="00C848D3" w14:paraId="1FC34F81" w14:textId="77777777" w:rsidTr="00FD0BBA">
        <w:tc>
          <w:tcPr>
            <w:tcW w:w="2015" w:type="dxa"/>
          </w:tcPr>
          <w:p w14:paraId="428E7681" w14:textId="0BBE82E9" w:rsidR="00AB2DB5" w:rsidRPr="00C848D3" w:rsidRDefault="006B5DA1" w:rsidP="006E5ECB">
            <w:pPr>
              <w:rPr>
                <w:sz w:val="16"/>
                <w:szCs w:val="16"/>
                <w:lang w:val="en-GB"/>
              </w:rPr>
            </w:pPr>
            <w:r w:rsidRPr="00C848D3">
              <w:rPr>
                <w:sz w:val="16"/>
                <w:szCs w:val="16"/>
                <w:lang w:val="en-GB"/>
              </w:rPr>
              <w:t>Conclusion of the assessment</w:t>
            </w:r>
          </w:p>
        </w:tc>
        <w:tc>
          <w:tcPr>
            <w:tcW w:w="3242" w:type="dxa"/>
          </w:tcPr>
          <w:p w14:paraId="397284A5" w14:textId="79578036" w:rsidR="00AB2DB5" w:rsidRDefault="00FD0BBA" w:rsidP="006E5ECB">
            <w:pPr>
              <w:rPr>
                <w:sz w:val="16"/>
                <w:szCs w:val="16"/>
                <w:lang w:val="en-GB"/>
              </w:rPr>
            </w:pPr>
            <w:r w:rsidRPr="00C848D3">
              <w:rPr>
                <w:sz w:val="16"/>
                <w:szCs w:val="16"/>
                <w:lang w:val="en-GB"/>
              </w:rPr>
              <w:t xml:space="preserve">The </w:t>
            </w:r>
            <w:r w:rsidR="00C848D3" w:rsidRPr="00C848D3">
              <w:rPr>
                <w:sz w:val="16"/>
                <w:szCs w:val="16"/>
                <w:lang w:val="en-GB"/>
              </w:rPr>
              <w:t>assessment</w:t>
            </w:r>
            <w:r w:rsidRPr="00C848D3">
              <w:rPr>
                <w:sz w:val="16"/>
                <w:szCs w:val="16"/>
                <w:lang w:val="en-GB"/>
              </w:rPr>
              <w:t xml:space="preserve"> often ended with </w:t>
            </w:r>
            <w:proofErr w:type="gramStart"/>
            <w:r w:rsidRPr="00C848D3">
              <w:rPr>
                <w:sz w:val="16"/>
                <w:szCs w:val="16"/>
                <w:lang w:val="en-GB"/>
              </w:rPr>
              <w:t>a brief summary</w:t>
            </w:r>
            <w:proofErr w:type="gramEnd"/>
            <w:r w:rsidRPr="00C848D3">
              <w:rPr>
                <w:sz w:val="16"/>
                <w:szCs w:val="16"/>
                <w:lang w:val="en-GB"/>
              </w:rPr>
              <w:t xml:space="preserve"> of what had been discussed (e.g. ‘I hear that you …’). Some staff also concluded with a </w:t>
            </w:r>
            <w:r w:rsidR="00C848D3" w:rsidRPr="00C848D3">
              <w:rPr>
                <w:sz w:val="16"/>
                <w:szCs w:val="16"/>
                <w:lang w:val="en-GB"/>
              </w:rPr>
              <w:t>plan</w:t>
            </w:r>
            <w:r w:rsidRPr="00C848D3">
              <w:rPr>
                <w:sz w:val="16"/>
                <w:szCs w:val="16"/>
                <w:lang w:val="en-GB"/>
              </w:rPr>
              <w:t>, which in most cases referred to the ongoing emergency visit rather than the assessment itself. In some meetings, information was provided about where to seek help if needed.</w:t>
            </w:r>
          </w:p>
          <w:p w14:paraId="6E650881" w14:textId="23C61B6F" w:rsidR="00C848D3" w:rsidRPr="00C848D3" w:rsidRDefault="00C848D3" w:rsidP="006E5ECB">
            <w:pPr>
              <w:rPr>
                <w:sz w:val="16"/>
                <w:szCs w:val="16"/>
                <w:lang w:val="en-GB"/>
              </w:rPr>
            </w:pPr>
          </w:p>
        </w:tc>
        <w:tc>
          <w:tcPr>
            <w:tcW w:w="3810" w:type="dxa"/>
          </w:tcPr>
          <w:p w14:paraId="35042E4E" w14:textId="6F3D0A05" w:rsidR="00EC3FDE" w:rsidRPr="00C848D3" w:rsidRDefault="00FD0BBA" w:rsidP="006E5ECB">
            <w:pPr>
              <w:rPr>
                <w:sz w:val="16"/>
                <w:szCs w:val="16"/>
                <w:lang w:val="en-GB"/>
              </w:rPr>
            </w:pPr>
            <w:r w:rsidRPr="00C848D3">
              <w:rPr>
                <w:sz w:val="16"/>
                <w:szCs w:val="16"/>
                <w:lang w:val="en-GB"/>
              </w:rPr>
              <w:t>Endings varied from brief confirmations (e.g. ‘I have a good picture now’) to slightly more extended summaries.</w:t>
            </w:r>
          </w:p>
        </w:tc>
      </w:tr>
    </w:tbl>
    <w:p w14:paraId="0541E4FF" w14:textId="67C45468" w:rsidR="00E81B0A" w:rsidRDefault="00C848D3">
      <w:pPr>
        <w:rPr>
          <w:rFonts w:ascii="Calibri" w:eastAsia="Calibri" w:hAnsi="Calibri" w:cs="Calibri"/>
          <w:sz w:val="24"/>
          <w:szCs w:val="24"/>
          <w:lang w:val="en-GB"/>
        </w:rPr>
      </w:pPr>
      <w:r w:rsidRPr="00C848D3">
        <w:rPr>
          <w:rFonts w:ascii="Calibri" w:eastAsia="Calibri" w:hAnsi="Calibri" w:cs="Calibri"/>
          <w:b/>
          <w:bCs/>
          <w:sz w:val="24"/>
          <w:szCs w:val="24"/>
          <w:lang w:val="en-GB"/>
        </w:rPr>
        <w:t>Appendix 2.</w:t>
      </w:r>
      <w:r w:rsidRPr="00C848D3">
        <w:rPr>
          <w:rFonts w:ascii="Calibri" w:eastAsia="Calibri" w:hAnsi="Calibri" w:cs="Calibri"/>
          <w:sz w:val="24"/>
          <w:szCs w:val="24"/>
          <w:lang w:val="en-GB"/>
        </w:rPr>
        <w:t xml:space="preserve"> Summarises observed features of how the frailty assessment was conducted during the ED encounters, based on video-recorded observations.</w:t>
      </w:r>
    </w:p>
    <w:p w14:paraId="2A791BBB" w14:textId="77777777" w:rsidR="00C848D3" w:rsidRDefault="00C848D3">
      <w:pPr>
        <w:rPr>
          <w:rFonts w:ascii="Calibri" w:eastAsia="Calibri" w:hAnsi="Calibri" w:cs="Calibri"/>
          <w:sz w:val="24"/>
          <w:szCs w:val="24"/>
          <w:lang w:val="en-GB"/>
        </w:rPr>
      </w:pPr>
    </w:p>
    <w:p w14:paraId="219E44CA" w14:textId="77777777" w:rsidR="00C848D3" w:rsidRDefault="00C848D3">
      <w:pPr>
        <w:rPr>
          <w:rFonts w:ascii="Calibri" w:eastAsia="Calibri" w:hAnsi="Calibri" w:cs="Calibri"/>
          <w:sz w:val="24"/>
          <w:szCs w:val="24"/>
          <w:lang w:val="en-GB"/>
        </w:rPr>
      </w:pPr>
    </w:p>
    <w:p w14:paraId="548CE008" w14:textId="77777777" w:rsidR="00C848D3" w:rsidRPr="00C848D3" w:rsidRDefault="00C848D3">
      <w:pPr>
        <w:rPr>
          <w:lang w:val="en-GB"/>
        </w:rPr>
      </w:pPr>
    </w:p>
    <w:sectPr w:rsidR="00C848D3" w:rsidRPr="00C848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D818" w14:textId="77777777" w:rsidR="00DA0383" w:rsidRDefault="00DA0383" w:rsidP="00DA0383">
      <w:pPr>
        <w:spacing w:after="0" w:line="240" w:lineRule="auto"/>
      </w:pPr>
      <w:r>
        <w:separator/>
      </w:r>
    </w:p>
  </w:endnote>
  <w:endnote w:type="continuationSeparator" w:id="0">
    <w:p w14:paraId="3867F68D" w14:textId="77777777" w:rsidR="00DA0383" w:rsidRDefault="00DA0383" w:rsidP="00DA0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71B2F" w14:textId="77777777" w:rsidR="00DA0383" w:rsidRDefault="00DA0383" w:rsidP="00DA0383">
      <w:pPr>
        <w:spacing w:after="0" w:line="240" w:lineRule="auto"/>
      </w:pPr>
      <w:r>
        <w:separator/>
      </w:r>
    </w:p>
  </w:footnote>
  <w:footnote w:type="continuationSeparator" w:id="0">
    <w:p w14:paraId="3E6643F9" w14:textId="77777777" w:rsidR="00DA0383" w:rsidRDefault="00DA0383" w:rsidP="00DA0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54B8"/>
    <w:multiLevelType w:val="hybridMultilevel"/>
    <w:tmpl w:val="B2445F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364229"/>
    <w:multiLevelType w:val="hybridMultilevel"/>
    <w:tmpl w:val="DAB277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C0E5F32"/>
    <w:multiLevelType w:val="hybridMultilevel"/>
    <w:tmpl w:val="79B0D9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D577169"/>
    <w:multiLevelType w:val="hybridMultilevel"/>
    <w:tmpl w:val="45C272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722900">
    <w:abstractNumId w:val="2"/>
  </w:num>
  <w:num w:numId="2" w16cid:durableId="246185382">
    <w:abstractNumId w:val="0"/>
  </w:num>
  <w:num w:numId="3" w16cid:durableId="1037312164">
    <w:abstractNumId w:val="3"/>
  </w:num>
  <w:num w:numId="4" w16cid:durableId="509494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revisionView w:insDel="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50"/>
    <w:rsid w:val="0002185D"/>
    <w:rsid w:val="000247F1"/>
    <w:rsid w:val="000436EF"/>
    <w:rsid w:val="000D2EB2"/>
    <w:rsid w:val="002A1915"/>
    <w:rsid w:val="002E18D9"/>
    <w:rsid w:val="002F24EA"/>
    <w:rsid w:val="00403A6B"/>
    <w:rsid w:val="00505417"/>
    <w:rsid w:val="006B5DA1"/>
    <w:rsid w:val="006E5ECB"/>
    <w:rsid w:val="006E5F18"/>
    <w:rsid w:val="00714C0F"/>
    <w:rsid w:val="007378D4"/>
    <w:rsid w:val="007A63C9"/>
    <w:rsid w:val="007C0E09"/>
    <w:rsid w:val="00862270"/>
    <w:rsid w:val="00923632"/>
    <w:rsid w:val="009A76A1"/>
    <w:rsid w:val="00A13431"/>
    <w:rsid w:val="00A1709A"/>
    <w:rsid w:val="00A26C3E"/>
    <w:rsid w:val="00AA0884"/>
    <w:rsid w:val="00AB2DB5"/>
    <w:rsid w:val="00B801A2"/>
    <w:rsid w:val="00C7064F"/>
    <w:rsid w:val="00C848D3"/>
    <w:rsid w:val="00CC4C8F"/>
    <w:rsid w:val="00D334FC"/>
    <w:rsid w:val="00D948C2"/>
    <w:rsid w:val="00DA0383"/>
    <w:rsid w:val="00E250B6"/>
    <w:rsid w:val="00E81B0A"/>
    <w:rsid w:val="00EC3FDE"/>
    <w:rsid w:val="00EE27B5"/>
    <w:rsid w:val="00F51822"/>
    <w:rsid w:val="00FA6B50"/>
    <w:rsid w:val="00FC2130"/>
    <w:rsid w:val="00FD0B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958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A6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A6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A6B5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A6B5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A6B5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A6B5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A6B5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A6B5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A6B5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A6B5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A6B5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A6B5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A6B5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A6B5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A6B5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A6B5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A6B5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A6B50"/>
    <w:rPr>
      <w:rFonts w:eastAsiaTheme="majorEastAsia" w:cstheme="majorBidi"/>
      <w:color w:val="272727" w:themeColor="text1" w:themeTint="D8"/>
    </w:rPr>
  </w:style>
  <w:style w:type="paragraph" w:styleId="Rubrik">
    <w:name w:val="Title"/>
    <w:basedOn w:val="Normal"/>
    <w:next w:val="Normal"/>
    <w:link w:val="RubrikChar"/>
    <w:uiPriority w:val="10"/>
    <w:qFormat/>
    <w:rsid w:val="00FA6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A6B5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A6B5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A6B5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A6B5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A6B50"/>
    <w:rPr>
      <w:i/>
      <w:iCs/>
      <w:color w:val="404040" w:themeColor="text1" w:themeTint="BF"/>
    </w:rPr>
  </w:style>
  <w:style w:type="paragraph" w:styleId="Liststycke">
    <w:name w:val="List Paragraph"/>
    <w:basedOn w:val="Normal"/>
    <w:uiPriority w:val="34"/>
    <w:qFormat/>
    <w:rsid w:val="00FA6B50"/>
    <w:pPr>
      <w:ind w:left="720"/>
      <w:contextualSpacing/>
    </w:pPr>
  </w:style>
  <w:style w:type="character" w:styleId="Starkbetoning">
    <w:name w:val="Intense Emphasis"/>
    <w:basedOn w:val="Standardstycketeckensnitt"/>
    <w:uiPriority w:val="21"/>
    <w:qFormat/>
    <w:rsid w:val="00FA6B50"/>
    <w:rPr>
      <w:i/>
      <w:iCs/>
      <w:color w:val="0F4761" w:themeColor="accent1" w:themeShade="BF"/>
    </w:rPr>
  </w:style>
  <w:style w:type="paragraph" w:styleId="Starktcitat">
    <w:name w:val="Intense Quote"/>
    <w:basedOn w:val="Normal"/>
    <w:next w:val="Normal"/>
    <w:link w:val="StarktcitatChar"/>
    <w:uiPriority w:val="30"/>
    <w:qFormat/>
    <w:rsid w:val="00FA6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A6B50"/>
    <w:rPr>
      <w:i/>
      <w:iCs/>
      <w:color w:val="0F4761" w:themeColor="accent1" w:themeShade="BF"/>
    </w:rPr>
  </w:style>
  <w:style w:type="character" w:styleId="Starkreferens">
    <w:name w:val="Intense Reference"/>
    <w:basedOn w:val="Standardstycketeckensnitt"/>
    <w:uiPriority w:val="32"/>
    <w:qFormat/>
    <w:rsid w:val="00FA6B50"/>
    <w:rPr>
      <w:b/>
      <w:bCs/>
      <w:smallCaps/>
      <w:color w:val="0F4761" w:themeColor="accent1" w:themeShade="BF"/>
      <w:spacing w:val="5"/>
    </w:rPr>
  </w:style>
  <w:style w:type="table" w:styleId="Tabellrutnt">
    <w:name w:val="Table Grid"/>
    <w:basedOn w:val="Normaltabell"/>
    <w:uiPriority w:val="39"/>
    <w:rsid w:val="00A26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23632"/>
    <w:rPr>
      <w:sz w:val="16"/>
      <w:szCs w:val="16"/>
    </w:rPr>
  </w:style>
  <w:style w:type="paragraph" w:styleId="Kommentarer">
    <w:name w:val="annotation text"/>
    <w:basedOn w:val="Normal"/>
    <w:link w:val="KommentarerChar"/>
    <w:uiPriority w:val="99"/>
    <w:unhideWhenUsed/>
    <w:rsid w:val="00923632"/>
    <w:pPr>
      <w:spacing w:line="240" w:lineRule="auto"/>
    </w:pPr>
    <w:rPr>
      <w:sz w:val="20"/>
      <w:szCs w:val="20"/>
    </w:rPr>
  </w:style>
  <w:style w:type="character" w:customStyle="1" w:styleId="KommentarerChar">
    <w:name w:val="Kommentarer Char"/>
    <w:basedOn w:val="Standardstycketeckensnitt"/>
    <w:link w:val="Kommentarer"/>
    <w:uiPriority w:val="99"/>
    <w:rsid w:val="00923632"/>
    <w:rPr>
      <w:sz w:val="20"/>
      <w:szCs w:val="20"/>
    </w:rPr>
  </w:style>
  <w:style w:type="paragraph" w:styleId="Kommentarsmne">
    <w:name w:val="annotation subject"/>
    <w:basedOn w:val="Kommentarer"/>
    <w:next w:val="Kommentarer"/>
    <w:link w:val="KommentarsmneChar"/>
    <w:uiPriority w:val="99"/>
    <w:semiHidden/>
    <w:unhideWhenUsed/>
    <w:rsid w:val="00923632"/>
    <w:rPr>
      <w:b/>
      <w:bCs/>
    </w:rPr>
  </w:style>
  <w:style w:type="character" w:customStyle="1" w:styleId="KommentarsmneChar">
    <w:name w:val="Kommentarsämne Char"/>
    <w:basedOn w:val="KommentarerChar"/>
    <w:link w:val="Kommentarsmne"/>
    <w:uiPriority w:val="99"/>
    <w:semiHidden/>
    <w:rsid w:val="00923632"/>
    <w:rPr>
      <w:b/>
      <w:bCs/>
      <w:sz w:val="20"/>
      <w:szCs w:val="20"/>
    </w:rPr>
  </w:style>
  <w:style w:type="paragraph" w:styleId="Revision">
    <w:name w:val="Revision"/>
    <w:hidden/>
    <w:uiPriority w:val="99"/>
    <w:semiHidden/>
    <w:rsid w:val="00923632"/>
    <w:pPr>
      <w:spacing w:after="0" w:line="240" w:lineRule="auto"/>
    </w:pPr>
  </w:style>
  <w:style w:type="paragraph" w:styleId="Sidhuvud">
    <w:name w:val="header"/>
    <w:basedOn w:val="Normal"/>
    <w:link w:val="SidhuvudChar"/>
    <w:uiPriority w:val="99"/>
    <w:unhideWhenUsed/>
    <w:rsid w:val="00DA03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A0383"/>
  </w:style>
  <w:style w:type="paragraph" w:styleId="Sidfot">
    <w:name w:val="footer"/>
    <w:basedOn w:val="Normal"/>
    <w:link w:val="SidfotChar"/>
    <w:uiPriority w:val="99"/>
    <w:unhideWhenUsed/>
    <w:rsid w:val="00DA03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A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89948">
      <w:bodyDiv w:val="1"/>
      <w:marLeft w:val="0"/>
      <w:marRight w:val="0"/>
      <w:marTop w:val="0"/>
      <w:marBottom w:val="0"/>
      <w:divBdr>
        <w:top w:val="none" w:sz="0" w:space="0" w:color="auto"/>
        <w:left w:val="none" w:sz="0" w:space="0" w:color="auto"/>
        <w:bottom w:val="none" w:sz="0" w:space="0" w:color="auto"/>
        <w:right w:val="none" w:sz="0" w:space="0" w:color="auto"/>
      </w:divBdr>
    </w:div>
    <w:div w:id="344748358">
      <w:bodyDiv w:val="1"/>
      <w:marLeft w:val="0"/>
      <w:marRight w:val="0"/>
      <w:marTop w:val="0"/>
      <w:marBottom w:val="0"/>
      <w:divBdr>
        <w:top w:val="none" w:sz="0" w:space="0" w:color="auto"/>
        <w:left w:val="none" w:sz="0" w:space="0" w:color="auto"/>
        <w:bottom w:val="none" w:sz="0" w:space="0" w:color="auto"/>
        <w:right w:val="none" w:sz="0" w:space="0" w:color="auto"/>
      </w:divBdr>
    </w:div>
    <w:div w:id="477578120">
      <w:bodyDiv w:val="1"/>
      <w:marLeft w:val="0"/>
      <w:marRight w:val="0"/>
      <w:marTop w:val="0"/>
      <w:marBottom w:val="0"/>
      <w:divBdr>
        <w:top w:val="none" w:sz="0" w:space="0" w:color="auto"/>
        <w:left w:val="none" w:sz="0" w:space="0" w:color="auto"/>
        <w:bottom w:val="none" w:sz="0" w:space="0" w:color="auto"/>
        <w:right w:val="none" w:sz="0" w:space="0" w:color="auto"/>
      </w:divBdr>
    </w:div>
    <w:div w:id="531915684">
      <w:bodyDiv w:val="1"/>
      <w:marLeft w:val="0"/>
      <w:marRight w:val="0"/>
      <w:marTop w:val="0"/>
      <w:marBottom w:val="0"/>
      <w:divBdr>
        <w:top w:val="none" w:sz="0" w:space="0" w:color="auto"/>
        <w:left w:val="none" w:sz="0" w:space="0" w:color="auto"/>
        <w:bottom w:val="none" w:sz="0" w:space="0" w:color="auto"/>
        <w:right w:val="none" w:sz="0" w:space="0" w:color="auto"/>
      </w:divBdr>
    </w:div>
    <w:div w:id="1698039595">
      <w:bodyDiv w:val="1"/>
      <w:marLeft w:val="0"/>
      <w:marRight w:val="0"/>
      <w:marTop w:val="0"/>
      <w:marBottom w:val="0"/>
      <w:divBdr>
        <w:top w:val="none" w:sz="0" w:space="0" w:color="auto"/>
        <w:left w:val="none" w:sz="0" w:space="0" w:color="auto"/>
        <w:bottom w:val="none" w:sz="0" w:space="0" w:color="auto"/>
        <w:right w:val="none" w:sz="0" w:space="0" w:color="auto"/>
      </w:divBdr>
    </w:div>
    <w:div w:id="1764958496">
      <w:bodyDiv w:val="1"/>
      <w:marLeft w:val="0"/>
      <w:marRight w:val="0"/>
      <w:marTop w:val="0"/>
      <w:marBottom w:val="0"/>
      <w:divBdr>
        <w:top w:val="none" w:sz="0" w:space="0" w:color="auto"/>
        <w:left w:val="none" w:sz="0" w:space="0" w:color="auto"/>
        <w:bottom w:val="none" w:sz="0" w:space="0" w:color="auto"/>
        <w:right w:val="none" w:sz="0" w:space="0" w:color="auto"/>
      </w:divBdr>
    </w:div>
    <w:div w:id="1774863394">
      <w:bodyDiv w:val="1"/>
      <w:marLeft w:val="0"/>
      <w:marRight w:val="0"/>
      <w:marTop w:val="0"/>
      <w:marBottom w:val="0"/>
      <w:divBdr>
        <w:top w:val="none" w:sz="0" w:space="0" w:color="auto"/>
        <w:left w:val="none" w:sz="0" w:space="0" w:color="auto"/>
        <w:bottom w:val="none" w:sz="0" w:space="0" w:color="auto"/>
        <w:right w:val="none" w:sz="0" w:space="0" w:color="auto"/>
      </w:divBdr>
    </w:div>
    <w:div w:id="20407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2446</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2025-12-20T16:48:00Z</dcterms:created>
  <dcterms:modified xsi:type="dcterms:W3CDTF">2025-12-20T16:49:00Z</dcterms:modified>
</cp:coreProperties>
</file>