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FCC9D">
      <w:pPr>
        <w:pStyle w:val="4"/>
        <w:keepNext w:val="0"/>
        <w:keepLines w:val="0"/>
        <w:widowControl/>
        <w:suppressLineNumbers/>
        <w:shd w:val="clear"/>
        <w:spacing w:line="240" w:lineRule="auto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7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Supplementary </w:t>
      </w:r>
      <w:r>
        <w:rPr>
          <w:rStyle w:val="7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Table </w:t>
      </w:r>
      <w:r>
        <w:rPr>
          <w:rStyle w:val="7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S6</w:t>
      </w:r>
      <w:r>
        <w:rPr>
          <w:rStyle w:val="7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.</w:t>
      </w:r>
      <w:r>
        <w:rPr>
          <w:rStyle w:val="7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Association Between CCR and Incident Hip Fracture: Cause-Specific Hazard Models and Sensitivity Analysis Adjusting for eGFRcys</w:t>
      </w:r>
      <w:r>
        <w:rPr>
          <w:rStyle w:val="7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Style w:val="7"/>
          <w:rFonts w:hint="eastAsia" w:ascii="Times New Roman" w:hAnsi="Times New Roman" w:eastAsia="宋体" w:cs="Times New Roman"/>
          <w:b/>
          <w:caps w:val="0"/>
          <w:color w:val="0F1115"/>
          <w:spacing w:val="0"/>
          <w:sz w:val="21"/>
          <w:szCs w:val="21"/>
          <w:shd w:val="clear" w:color="auto" w:fill="auto"/>
          <w:lang w:eastAsia="zh-CN"/>
        </w:rPr>
        <w:t>(</w:t>
      </w:r>
      <w:r>
        <w:rPr>
          <w:rStyle w:val="7"/>
          <w:rFonts w:hint="default" w:ascii="Times New Roman" w:hAnsi="Times New Roman" w:eastAsia="Segoe UI" w:cs="Times New Roman"/>
          <w:b/>
          <w:caps w:val="0"/>
          <w:color w:val="0F1115"/>
          <w:spacing w:val="0"/>
          <w:sz w:val="21"/>
          <w:szCs w:val="21"/>
          <w:shd w:val="clear" w:color="auto" w:fill="auto"/>
        </w:rPr>
        <w:t xml:space="preserve">n </w:t>
      </w:r>
      <w:r>
        <w:rPr>
          <w:rStyle w:val="7"/>
          <w:rFonts w:hint="eastAsia" w:ascii="Times New Roman" w:hAnsi="Times New Roman" w:eastAsia="宋体" w:cs="Times New Roman"/>
          <w:b/>
          <w:caps w:val="0"/>
          <w:color w:val="0F1115"/>
          <w:spacing w:val="0"/>
          <w:sz w:val="21"/>
          <w:szCs w:val="21"/>
          <w:shd w:val="clear" w:color="auto" w:fill="auto"/>
          <w:lang w:eastAsia="zh-CN"/>
        </w:rPr>
        <w:t>=</w:t>
      </w:r>
      <w:r>
        <w:rPr>
          <w:rStyle w:val="7"/>
          <w:rFonts w:hint="default" w:ascii="Times New Roman" w:hAnsi="Times New Roman" w:eastAsia="Segoe UI" w:cs="Times New Roman"/>
          <w:b/>
          <w:caps w:val="0"/>
          <w:color w:val="0F1115"/>
          <w:spacing w:val="0"/>
          <w:sz w:val="21"/>
          <w:szCs w:val="21"/>
          <w:shd w:val="clear" w:color="auto" w:fill="auto"/>
        </w:rPr>
        <w:t>2,636)</w:t>
      </w:r>
    </w:p>
    <w:tbl>
      <w:tblPr>
        <w:tblStyle w:val="5"/>
        <w:tblpPr w:leftFromText="180" w:rightFromText="180" w:vertAnchor="text" w:horzAnchor="page" w:tblpX="943" w:tblpY="270"/>
        <w:tblOverlap w:val="never"/>
        <w:tblW w:w="10996" w:type="dxa"/>
        <w:tblInd w:w="0" w:type="dxa"/>
        <w:tblBorders>
          <w:top w:val="single" w:color="4874CB" w:themeColor="accent1" w:sz="8" w:space="0"/>
          <w:left w:val="none" w:color="auto" w:sz="0" w:space="0"/>
          <w:bottom w:val="single" w:color="4874CB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1F5F9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1281"/>
        <w:gridCol w:w="1300"/>
        <w:gridCol w:w="669"/>
        <w:gridCol w:w="1306"/>
        <w:gridCol w:w="560"/>
        <w:gridCol w:w="1368"/>
        <w:gridCol w:w="547"/>
        <w:gridCol w:w="1325"/>
        <w:gridCol w:w="540"/>
        <w:gridCol w:w="1532"/>
        <w:gridCol w:w="568"/>
      </w:tblGrid>
      <w:tr w14:paraId="4FB0E3B7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</w:trPr>
        <w:tc>
          <w:tcPr>
            <w:tcW w:w="128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31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sz w:val="18"/>
                <w:szCs w:val="18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Exposure variable</w:t>
            </w:r>
          </w:p>
        </w:tc>
        <w:tc>
          <w:tcPr>
            <w:tcW w:w="130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8999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Model 1 HR</w:t>
            </w:r>
          </w:p>
          <w:p w14:paraId="353A5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180" w:firstLineChars="100"/>
              <w:jc w:val="left"/>
              <w:textAlignment w:val="top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(95%CI)</w:t>
            </w:r>
          </w:p>
        </w:tc>
        <w:tc>
          <w:tcPr>
            <w:tcW w:w="66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C98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 value</w:t>
            </w:r>
          </w:p>
        </w:tc>
        <w:tc>
          <w:tcPr>
            <w:tcW w:w="130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712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Model 2 HR</w:t>
            </w:r>
          </w:p>
          <w:p w14:paraId="24AE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180" w:firstLineChars="100"/>
              <w:jc w:val="left"/>
              <w:textAlignment w:val="top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(95%CI)</w:t>
            </w:r>
          </w:p>
        </w:tc>
        <w:tc>
          <w:tcPr>
            <w:tcW w:w="56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DA3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 value</w:t>
            </w:r>
          </w:p>
        </w:tc>
        <w:tc>
          <w:tcPr>
            <w:tcW w:w="136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C98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Model 3 HR</w:t>
            </w:r>
          </w:p>
          <w:p w14:paraId="2E994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180" w:firstLineChars="100"/>
              <w:jc w:val="left"/>
              <w:textAlignment w:val="top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(95%CI)</w:t>
            </w:r>
          </w:p>
        </w:tc>
        <w:tc>
          <w:tcPr>
            <w:tcW w:w="54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C466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 value</w:t>
            </w:r>
          </w:p>
        </w:tc>
        <w:tc>
          <w:tcPr>
            <w:tcW w:w="132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42B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80" w:hanging="180" w:hangingChars="10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Model 4 HR</w:t>
            </w:r>
          </w:p>
          <w:p w14:paraId="6243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78" w:leftChars="85" w:firstLine="0" w:firstLineChars="0"/>
              <w:jc w:val="left"/>
              <w:textAlignment w:val="top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sz w:val="18"/>
                <w:szCs w:val="18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(95%CI)</w:t>
            </w:r>
          </w:p>
        </w:tc>
        <w:tc>
          <w:tcPr>
            <w:tcW w:w="54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 value</w:t>
            </w:r>
          </w:p>
        </w:tc>
        <w:tc>
          <w:tcPr>
            <w:tcW w:w="153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76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80" w:hanging="180" w:hangingChars="10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Model4+eGFRcys HR</w:t>
            </w:r>
          </w:p>
          <w:p w14:paraId="7B8D3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(95%CI)</w:t>
            </w:r>
          </w:p>
        </w:tc>
        <w:tc>
          <w:tcPr>
            <w:tcW w:w="56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D18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 value</w:t>
            </w:r>
          </w:p>
        </w:tc>
      </w:tr>
      <w:tr w14:paraId="37F617CA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8D7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Per 0.1-unit CCR increase</w:t>
            </w:r>
          </w:p>
        </w:tc>
        <w:tc>
          <w:tcPr>
            <w:tcW w:w="1300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4F4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89(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)</w:t>
            </w:r>
          </w:p>
          <w:p w14:paraId="62F89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69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A09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15</w:t>
            </w:r>
          </w:p>
          <w:p w14:paraId="20C0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06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DC1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88(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99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  <w:p w14:paraId="1968F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60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4DC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0.033</w:t>
            </w:r>
          </w:p>
        </w:tc>
        <w:tc>
          <w:tcPr>
            <w:tcW w:w="1368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14B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89(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  <w:p w14:paraId="12BD2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7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69B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1325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8E0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88(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,0.9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</w:tc>
        <w:tc>
          <w:tcPr>
            <w:tcW w:w="540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D7D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1532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184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 xml:space="preserve">0.87 (0.76, 0.99) </w:t>
            </w:r>
          </w:p>
        </w:tc>
        <w:tc>
          <w:tcPr>
            <w:tcW w:w="568" w:type="dxa"/>
            <w:tcBorders>
              <w:top w:val="single" w:color="000000" w:themeColor="dark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E96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40</w:t>
            </w:r>
          </w:p>
        </w:tc>
      </w:tr>
      <w:tr w14:paraId="6C5BF693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1F5F9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AF2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Quartiles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0EB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4A0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E7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A8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20A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E4E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971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8B6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5AD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B23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</w:p>
        </w:tc>
      </w:tr>
      <w:tr w14:paraId="1B4A4CF9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B8B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Q1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5EE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1.00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Reference)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BE9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D27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1.00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Reference)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761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CD5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1.00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Reference)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85F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5FB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val="en-US" w:eastAsia="zh-CN"/>
              </w:rPr>
              <w:t>.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  <w:lang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shd w:val="clear" w:fill="FFFFFF"/>
              </w:rPr>
              <w:t>Reference)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11E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CD2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333639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.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Reference)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799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</w:tr>
      <w:tr w14:paraId="6526A475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FD0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Q2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578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0.6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2(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,0.9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70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1AD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0.6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6(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0.4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1.04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79F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CA3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0.6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6(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0.4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E05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073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210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333639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0.6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8(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0.4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,1.0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F7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98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50D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 xml:space="preserve">0.66 (0.42, 1.06)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61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0.086</w:t>
            </w:r>
          </w:p>
        </w:tc>
      </w:tr>
      <w:tr w14:paraId="57C62B5C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915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  <w:t>Q3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97C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68(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,1.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99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067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8B0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74(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,1.1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6)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072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190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F28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0.7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3(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,1.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16)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ECD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185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CE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78(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,1.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24)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43B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.289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817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 xml:space="preserve">0.75 (0.46, 1.22)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342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0.243</w:t>
            </w:r>
          </w:p>
        </w:tc>
      </w:tr>
      <w:tr w14:paraId="6E0BDDB1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1F5F9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3EC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Q4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ABB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0.4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5(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0.2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72)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744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</w:pPr>
            <w:r>
              <w:rPr>
                <w:rFonts w:ascii="Segoe UI" w:hAnsi="Segoe UI" w:eastAsia="Segoe UI" w:cs="Segoe UI"/>
                <w:b w:val="0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&lt;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sz w:val="18"/>
                <w:szCs w:val="18"/>
                <w:lang w:val="zh-CN"/>
              </w:rPr>
              <w:t>0.00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E3A6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46(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79)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155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5A5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47(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81)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D1F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06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B47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0.4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4(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0.2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,0.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77)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300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209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 xml:space="preserve">0.41 (0.22, 0.76)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648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0.005</w:t>
            </w:r>
          </w:p>
        </w:tc>
      </w:tr>
      <w:tr w14:paraId="4C090FBA">
        <w:tblPrEx>
          <w:tblBorders>
            <w:top w:val="single" w:color="4874CB" w:themeColor="accent1" w:sz="8" w:space="0"/>
            <w:left w:val="none" w:color="auto" w:sz="0" w:space="0"/>
            <w:bottom w:val="single" w:color="4874CB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</w:trPr>
        <w:tc>
          <w:tcPr>
            <w:tcW w:w="1281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3AD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for trend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7B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CF7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B72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B4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A4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E51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DA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iCs w:val="0"/>
                <w:caps w:val="0"/>
                <w:color w:val="08090C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BAF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E7E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color="000000" w:themeColor="dark1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550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400" w:lineRule="exact"/>
              <w:jc w:val="left"/>
              <w:textAlignment w:val="top"/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zh-CN"/>
              </w:rPr>
              <w:t>0.01</w:t>
            </w:r>
            <w:r>
              <w:rPr>
                <w:rFonts w:hint="eastAsia" w:ascii="Times New Roman" w:hAnsi="Times New Roman" w:eastAsia="微软雅黑" w:cs="Times New Roman"/>
                <w:b w:val="0"/>
                <w:i w:val="0"/>
                <w:color w:val="08090C"/>
                <w:sz w:val="18"/>
                <w:szCs w:val="18"/>
                <w:lang w:val="en-US" w:eastAsia="zh-CN"/>
              </w:rPr>
              <w:t>3</w:t>
            </w:r>
          </w:p>
        </w:tc>
      </w:tr>
    </w:tbl>
    <w:p w14:paraId="32FE0E0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</w:p>
    <w:p w14:paraId="2F342B9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 w14:paraId="2438769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7"/>
          <w:rFonts w:hint="default" w:ascii="Times New Roman" w:hAnsi="Times New Roman" w:eastAsia="Segoe UI" w:cs="Times New Roman"/>
          <w:b/>
          <w:bCs/>
          <w:i/>
          <w:iCs/>
          <w:caps w:val="0"/>
          <w:color w:val="0F1115"/>
          <w:spacing w:val="0"/>
          <w:sz w:val="21"/>
          <w:szCs w:val="21"/>
          <w:shd w:val="clear" w:fill="FFFFFF"/>
        </w:rPr>
        <w:t xml:space="preserve">Abbreviations: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CCR, creatinine-to-cystatin C ratio; HR, hazard ratio; CI, confidence interval; BMI, body mass index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;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ADL, activities of daily living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;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eGFRcys, estimated glomerular filtration rate based on cystatin C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.</w:t>
      </w:r>
    </w:p>
    <w:p w14:paraId="7D5A995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Covariate adjustment: Model 1: Unadjusted. Model 2: Age, sex, BMI. Model 3: Model 2 + smoking, alcohol. Model 4: Model 3 + marital status, hypertension, diabetes, arthritis, 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history of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fall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s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, kidney disease, ADL status.</w:t>
      </w:r>
    </w:p>
    <w:p w14:paraId="4409B09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P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0F1115"/>
          <w:spacing w:val="0"/>
          <w:sz w:val="21"/>
          <w:szCs w:val="21"/>
          <w:shd w:val="clear" w:fill="FFFFFF"/>
        </w:rPr>
        <w:t xml:space="preserve">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for trend was assessed by treating the median CCR value per quartile as a continuous variable.</w:t>
      </w:r>
    </w:p>
    <w:p w14:paraId="4FC8970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Analysis: Cause-specific Cox proportional hazards models, with death as a censoring event.</w:t>
      </w:r>
    </w:p>
    <w:p w14:paraId="5AEBF37C"/>
    <w:p w14:paraId="5F4D93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textAlignment w:val="top"/>
        <w:rPr>
          <w:rStyle w:val="7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 w14:paraId="3811CC83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3B59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1A6E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4EBF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9C041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7655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E507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10403"/>
    <w:rsid w:val="79F1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2025-11-24T15:37:00Z</dcterms:created>
  <dc:creator>树三三</dc:creator>
  <cp:lastModifiedBy>树三三</cp:lastModifiedBy>
  <dcterms:modified xsi:type="dcterms:W3CDTF">2025-11-24T15:37:58Z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B1C817A770E84B04B04CC8BB99FC77BA_11</vt:lpwstr>
  </property>
  <property fmtid="{D5CDD505-2E9C-101B-9397-08002B2CF9AE}" pid="4" name="KSOTemplateDocerSaveRecord">
    <vt:lpwstr>eyJoZGlkIjoiZjMzYzcxNmFjOWU0MDU0NjVlZWM4NTczMTA1ZTYwMDYiLCJ1c2VySWQiOiI1ODEzNzk5ODUifQ==</vt:lpwstr>
  </property>
</Properties>
</file>