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B0E8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: Definitions and Management of Adverse Events​</w:t>
      </w:r>
    </w:p>
    <w:p w14:paraId="594A016C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16"/>
        <w:tblW w:w="4811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9"/>
        <w:gridCol w:w="6538"/>
        <w:gridCol w:w="4897"/>
      </w:tblGrid>
      <w:tr w14:paraId="1E96C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797" w:type="pct"/>
            <w:tcBorders>
              <w:top w:val="nil"/>
              <w:left w:val="nil"/>
              <w:bottom w:val="single" w:color="F0F0F0" w:sz="12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0438CB81">
            <w:p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Adverse event</w:t>
            </w:r>
          </w:p>
        </w:tc>
        <w:tc>
          <w:tcPr>
            <w:tcW w:w="2402" w:type="pct"/>
            <w:tcBorders>
              <w:top w:val="nil"/>
              <w:left w:val="nil"/>
              <w:bottom w:val="single" w:color="F0F0F0" w:sz="12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11E3B669">
            <w:p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Definition</w:t>
            </w:r>
          </w:p>
        </w:tc>
        <w:tc>
          <w:tcPr>
            <w:tcW w:w="1799" w:type="pct"/>
            <w:tcBorders>
              <w:top w:val="nil"/>
              <w:left w:val="nil"/>
              <w:bottom w:val="single" w:color="F0F0F0" w:sz="12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67D98381">
            <w:p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Management </w:t>
            </w:r>
          </w:p>
        </w:tc>
      </w:tr>
      <w:tr w14:paraId="583089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7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5B187657">
            <w:p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Respiratory depression</w:t>
            </w:r>
          </w:p>
        </w:tc>
        <w:tc>
          <w:tcPr>
            <w:tcW w:w="2402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520984F7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Respiratory rate &lt; 8 breaths/min or SpO₂ &lt; 90% on room air or requiring supplemental oxygen to maintain SpO₂ ≥ 92%</w:t>
            </w:r>
          </w:p>
        </w:tc>
        <w:tc>
          <w:tcPr>
            <w:tcW w:w="1799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108200EE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 Stimulate patient and instruct to take deep breaths</w:t>
            </w:r>
          </w:p>
          <w:p w14:paraId="4E1B454A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 Administer supplemental oxygen (2–4 L/min via nasal cannula)</w:t>
            </w:r>
          </w:p>
          <w:p w14:paraId="3BF0C726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 If persistent, temporarily pause PCIA and administer naloxone 0.04–0.4 mg IV, repeated every 2–3 minutes as needed</w:t>
            </w:r>
          </w:p>
          <w:p w14:paraId="674B9EC1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 If severe (apnoea or SpO₂ &lt; 85%), initiate bag-mask ventilation and consider endotracheal intubation</w:t>
            </w:r>
          </w:p>
        </w:tc>
      </w:tr>
      <w:tr w14:paraId="177C6A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7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7EF946E2">
            <w:p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Hypotension</w:t>
            </w:r>
          </w:p>
        </w:tc>
        <w:tc>
          <w:tcPr>
            <w:tcW w:w="2402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3123DE8A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Systolic blood pressure (SBP) &lt; 90 mmHg or decrease &gt; 20% from baseline, or mean arterial pressure (MAP) &lt; 65 mmHg</w:t>
            </w:r>
          </w:p>
        </w:tc>
        <w:tc>
          <w:tcPr>
            <w:tcW w:w="1799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207E6570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 Place patient in Trendelenburg position</w:t>
            </w:r>
          </w:p>
          <w:p w14:paraId="14A86CD3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 Administer IV fluid bolus (250–500 mL crystalloid)</w:t>
            </w:r>
          </w:p>
          <w:p w14:paraId="14E28400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 If persistent, reduce or pause dexmedetomidine infusion</w:t>
            </w:r>
          </w:p>
          <w:p w14:paraId="282A78C5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 Administer IV vasopressor (ephedrine 5–10 mg or phenylephrine 50–100 µg) as needed</w:t>
            </w:r>
          </w:p>
          <w:p w14:paraId="5576F890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 If refractory, consider ICU transfer</w:t>
            </w:r>
          </w:p>
        </w:tc>
      </w:tr>
      <w:tr w14:paraId="1F3A1D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7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3763B627">
            <w:p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Bradycardia</w:t>
            </w:r>
          </w:p>
        </w:tc>
        <w:tc>
          <w:tcPr>
            <w:tcW w:w="2402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572F73DC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Heart rate (HR) &lt; 50 bpm</w:t>
            </w:r>
          </w:p>
        </w:tc>
        <w:tc>
          <w:tcPr>
            <w:tcW w:w="1799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77DDE8EA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 Assess for contributing factors (e.g., dexmedetomidine, vagal stimulation)</w:t>
            </w:r>
          </w:p>
          <w:p w14:paraId="436344F1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 If symptomatic (hypotension, dizziness), administer atropine 0.5 mg IV, repeat every 3–5 minutes up to 3 mg</w:t>
            </w:r>
          </w:p>
          <w:p w14:paraId="7A26736F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 If persistent and symptomatic, pause dexmedetomidine and consider temporary pacing if severe</w:t>
            </w:r>
          </w:p>
        </w:tc>
      </w:tr>
      <w:tr w14:paraId="12B79F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7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2CE51827">
            <w:p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Tachycardia</w:t>
            </w:r>
          </w:p>
        </w:tc>
        <w:tc>
          <w:tcPr>
            <w:tcW w:w="2402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3A835A29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Heart rate (HR) &gt; 100 bpm</w:t>
            </w:r>
          </w:p>
        </w:tc>
        <w:tc>
          <w:tcPr>
            <w:tcW w:w="1799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4EF091C5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 Assess for pain (treat with PCA bolus if NRS ≥ 4)</w:t>
            </w:r>
          </w:p>
          <w:p w14:paraId="0507A10D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 Assess for hypovolaemia, bleeding, or anxiety</w:t>
            </w:r>
          </w:p>
          <w:p w14:paraId="5BED5E49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 If persistent without identifiable cause, consider ECG monitoring and cardiology consultation</w:t>
            </w:r>
          </w:p>
        </w:tc>
      </w:tr>
      <w:tr w14:paraId="775CC8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7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27E6802B">
            <w:p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Hypertension</w:t>
            </w:r>
          </w:p>
        </w:tc>
        <w:tc>
          <w:tcPr>
            <w:tcW w:w="2402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0B64A5BA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Systolic blood pressure (SBP) &gt; 160 mmHg or diastolic blood pressure (DBP) &gt; 90 mmHg</w:t>
            </w:r>
          </w:p>
        </w:tc>
        <w:tc>
          <w:tcPr>
            <w:tcW w:w="1799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3D9A1786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 Assess for pain (treat with PCA bolus if NRS ≥ 4)</w:t>
            </w:r>
          </w:p>
          <w:p w14:paraId="7AADEE9D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 Assess for bladder distension or anxiety</w:t>
            </w:r>
          </w:p>
          <w:p w14:paraId="2DFED74B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 If persistent, consider IV antihypertensive (labetalol 5–10 mg or hydralazine 5–10 mg) as needed</w:t>
            </w:r>
          </w:p>
        </w:tc>
      </w:tr>
      <w:tr w14:paraId="6E6C36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7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70AD8B62">
            <w:p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Postoperative nausea and vomiting (PONV)</w:t>
            </w:r>
          </w:p>
        </w:tc>
        <w:tc>
          <w:tcPr>
            <w:tcW w:w="2402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5EE8F897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Nausea (subjective sensation) or vomiting/retching occurring after surgery</w:t>
            </w:r>
          </w:p>
        </w:tc>
        <w:tc>
          <w:tcPr>
            <w:tcW w:w="1799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773B5BA2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 Assess for contributing factors (opioids, hypotension, pain)</w:t>
            </w:r>
          </w:p>
          <w:p w14:paraId="57587E3A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 Administer antiemetic: ondansetron 4 mg IV (if not already given) or droperidol 0.625–1.25 mg IV</w:t>
            </w:r>
          </w:p>
          <w:p w14:paraId="2416603D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 If refractory, consider dexamethasone 4–8 mg IV or combination therapy</w:t>
            </w:r>
          </w:p>
          <w:p w14:paraId="458E79EF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 Ensure adequate hydration</w:t>
            </w:r>
          </w:p>
        </w:tc>
      </w:tr>
      <w:tr w14:paraId="085B7A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7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16D0EFD9">
            <w:p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Pruritus</w:t>
            </w:r>
          </w:p>
        </w:tc>
        <w:tc>
          <w:tcPr>
            <w:tcW w:w="2402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04E65AF7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Itching, localized or generalized, attributed to opioid use</w:t>
            </w:r>
          </w:p>
        </w:tc>
        <w:tc>
          <w:tcPr>
            <w:tcW w:w="1799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13D519E4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 Reassure patient if mild</w:t>
            </w:r>
          </w:p>
          <w:p w14:paraId="32E50F2E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 If distressing, consider low-dose naloxone infusion (0.25–0.5 µg/kg/h) or nalbuphine 2.5–5 mg IV (exploiting its µ-antagonist properties)</w:t>
            </w:r>
          </w:p>
          <w:p w14:paraId="3660A5D6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 Antihistamines (diplenhydramine 25–50 mg IV/IM) if not contraindicated</w:t>
            </w:r>
          </w:p>
        </w:tc>
      </w:tr>
      <w:tr w14:paraId="3302CF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7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432CD042">
            <w:p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Dizziness</w:t>
            </w:r>
          </w:p>
        </w:tc>
        <w:tc>
          <w:tcPr>
            <w:tcW w:w="2402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689A9A61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Sensation of lightheadedness or unsteadiness</w:t>
            </w:r>
          </w:p>
        </w:tc>
        <w:tc>
          <w:tcPr>
            <w:tcW w:w="1799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73DB6EBC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 Assess for hypotension or orthostatic changes</w:t>
            </w:r>
          </w:p>
          <w:p w14:paraId="177B236A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 Ensure patient safety (assist with ambulation, bed in low position)</w:t>
            </w:r>
          </w:p>
          <w:p w14:paraId="52C2A896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 If persistent, consider reducing PCA bolus dose or background infusion</w:t>
            </w:r>
          </w:p>
        </w:tc>
      </w:tr>
      <w:tr w14:paraId="73DC9D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7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23846E08">
            <w:p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Excessive sedation</w:t>
            </w:r>
          </w:p>
        </w:tc>
        <w:tc>
          <w:tcPr>
            <w:tcW w:w="2402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7AACCFD0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Richmond Agitation-Sedation Scale (RASS) score &lt; -3 (deep sedation) or difficulty arousing</w:t>
            </w:r>
          </w:p>
        </w:tc>
        <w:tc>
          <w:tcPr>
            <w:tcW w:w="1799" w:type="pct"/>
            <w:tcBorders>
              <w:top w:val="nil"/>
              <w:left w:val="nil"/>
              <w:bottom w:val="single" w:color="F0F0F0" w:sz="6" w:space="0"/>
              <w:right w:val="nil"/>
            </w:tcBorders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36AF5A9A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 Stimulate patient and assess airway patency</w:t>
            </w:r>
          </w:p>
          <w:p w14:paraId="598A3C1D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 Hold PCA until patient returns to target sedation level (RASS -2 to 0)</w:t>
            </w:r>
          </w:p>
          <w:p w14:paraId="39EA1785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 Administer supplemental oxygen</w:t>
            </w:r>
          </w:p>
          <w:p w14:paraId="21CC6745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 If severe or with respiratory depression, administer naloxone 0.04–0.4 mg IV</w:t>
            </w:r>
          </w:p>
        </w:tc>
      </w:tr>
    </w:tbl>
    <w:p w14:paraId="77F5546E">
      <w:pPr>
        <w:jc w:val="lef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b/>
          <w:bCs/>
          <w:sz w:val="24"/>
          <w:szCs w:val="24"/>
        </w:rPr>
        <w:t>​Notes:​</w:t>
      </w:r>
      <w:r>
        <w:rPr>
          <w:rFonts w:ascii="Times New Roman" w:hAnsi="Times New Roman" w:cs="Times New Roman"/>
          <w:sz w:val="24"/>
          <w:szCs w:val="24"/>
        </w:rPr>
        <w:t>​</w:t>
      </w:r>
    </w:p>
    <w:p w14:paraId="19B5032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PCIA</w:t>
      </w:r>
      <w:r>
        <w:rPr>
          <w:rFonts w:ascii="Times New Roman" w:hAnsi="Times New Roman" w:cs="Times New Roman"/>
          <w:sz w:val="24"/>
          <w:szCs w:val="24"/>
        </w:rPr>
        <w:t>: Patient-Controlled Intravenous Analgesia.</w:t>
      </w:r>
    </w:p>
    <w:p w14:paraId="504717D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</w:rPr>
        <w:t>: Intravenous.</w:t>
      </w:r>
    </w:p>
    <w:p w14:paraId="526A1B5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Baseline value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 defined as the average measurement obtained within the 30-minute period prior to anesthetic induction.</w:t>
      </w:r>
    </w:p>
    <w:p w14:paraId="4BA7FE6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selection and dosing of vasoactive agents (e.g., norepinephrine, dopamine) must be individualized and titrated according to the patient's hemodynamic parameters.</w:t>
      </w:r>
    </w:p>
    <w:p w14:paraId="06D84DF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management measures must be implemented based on comprehensive clinical judgment.</w:t>
      </w:r>
    </w:p>
    <w:p w14:paraId="58F172E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serious AE must be reported to the principal investigator within 24 h and to the ethics committee within 72 h.</w:t>
      </w:r>
    </w:p>
    <w:p w14:paraId="73A6036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attending anaesthesiologist on duty is responsible for implementing and documenting the above measures.</w:t>
      </w:r>
    </w:p>
    <w:p w14:paraId="453959F9">
      <w:pPr>
        <w:numPr>
          <w:numId w:val="0"/>
        </w:numP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Hypertension</w:t>
      </w:r>
    </w:p>
    <w:p w14:paraId="6076BFB0">
      <w:pPr>
        <w:numPr>
          <w:numId w:val="0"/>
        </w:numPr>
        <w:ind w:leftChars="0"/>
        <w:rPr>
          <w:rFonts w:hint="eastAsia" w:ascii="Times New Roman" w:hAnsi="Times New Roman" w:cs="Times New Roman"/>
          <w:b w:val="0"/>
          <w:bCs w:val="0"/>
          <w:sz w:val="24"/>
          <w:szCs w:val="32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vertAlign w:val="baseline"/>
          <w:lang w:val="en-US" w:eastAsia="zh-CN"/>
        </w:rPr>
        <w:t>Additional Intervention Trigger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vertAlign w:val="baseline"/>
          <w:lang w:val="en-US" w:eastAsia="zh-CN"/>
        </w:rPr>
        <w:t xml:space="preserve">: Antihypertensive treatment will be initiated immediately if any of the above criteria are met and the patient exhibits symptoms suggestive of hypertensive crisis or target-organ dysfunction (e.g., severe headache, chest pain, dyspnoea, altered mental status, or new neurological deficit), regardless of the degree of blood pressure elevation. In asymptomatic patients meeting the numerical criteria, a confirmatory repeat measurement will be obtained within 5 minutes before intervention. </w:t>
      </w:r>
    </w:p>
    <w:p w14:paraId="7A6B4B9A">
      <w:pPr>
        <w:numPr>
          <w:numId w:val="0"/>
        </w:numPr>
        <w:ind w:leftChars="0"/>
        <w:rPr>
          <w:rFonts w:hint="default" w:ascii="Times New Roman" w:hAnsi="Times New Roman" w:cs="Times New Roman"/>
          <w:b w:val="0"/>
          <w:bCs w:val="0"/>
          <w:sz w:val="24"/>
          <w:szCs w:val="32"/>
          <w:vertAlign w:val="baseline"/>
          <w:lang w:val="en-US" w:eastAsia="zh-CN"/>
        </w:rPr>
      </w:pPr>
    </w:p>
    <w:p w14:paraId="532CB28D">
      <w:pPr>
        <w:numPr>
          <w:numId w:val="0"/>
        </w:numPr>
        <w:ind w:leftChars="0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>Hypotension</w:t>
      </w:r>
    </w:p>
    <w:p w14:paraId="5276D77C">
      <w:pPr>
        <w:numPr>
          <w:ilvl w:val="0"/>
          <w:numId w:val="0"/>
        </w:numPr>
        <w:ind w:leftChars="100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Definition</w:t>
      </w:r>
      <w:r>
        <w:rPr>
          <w:rFonts w:hint="default" w:ascii="Times New Roman" w:hAnsi="Times New Roman" w:cs="Times New Roman"/>
          <w:sz w:val="24"/>
          <w:szCs w:val="32"/>
        </w:rPr>
        <w:t>: Mean arterial pressure (MAP) &lt; 65 mmHg or a decrease of &gt; 20% from preoperative baseline value.</w:t>
      </w:r>
    </w:p>
    <w:p w14:paraId="7A4CF6EE">
      <w:pPr>
        <w:numPr>
          <w:ilvl w:val="0"/>
          <w:numId w:val="0"/>
        </w:numPr>
        <w:ind w:leftChars="100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Clinical context</w:t>
      </w:r>
      <w:r>
        <w:rPr>
          <w:rFonts w:hint="default" w:ascii="Times New Roman" w:hAnsi="Times New Roman" w:cs="Times New Roman"/>
          <w:sz w:val="24"/>
          <w:szCs w:val="32"/>
        </w:rPr>
        <w:t>: These numerical thresholds serve as screening criteria; however, the decision to escalate treatment (beyond initial fluid administration) will be guided by the presence of clinical signs of hypoperfusion, including but not limited to:</w:t>
      </w:r>
    </w:p>
    <w:p w14:paraId="15925335">
      <w:pPr>
        <w:numPr>
          <w:ilvl w:val="0"/>
          <w:numId w:val="2"/>
        </w:numPr>
        <w:ind w:left="840" w:leftChars="0" w:hanging="420" w:firstLineChars="0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Altered mental status</w:t>
      </w:r>
    </w:p>
    <w:p w14:paraId="5964D44B">
      <w:pPr>
        <w:numPr>
          <w:ilvl w:val="0"/>
          <w:numId w:val="2"/>
        </w:numPr>
        <w:ind w:left="840" w:leftChars="0" w:hanging="420" w:firstLineChars="0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Oliguria (urine output &lt; 0.5 mL/kg/h)</w:t>
      </w:r>
    </w:p>
    <w:p w14:paraId="6DDCB483">
      <w:pPr>
        <w:numPr>
          <w:ilvl w:val="0"/>
          <w:numId w:val="2"/>
        </w:numPr>
        <w:ind w:left="840" w:leftChars="0" w:hanging="420" w:firstLineChars="0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ECG changes suggestive of myocardial ischemia</w:t>
      </w:r>
    </w:p>
    <w:p w14:paraId="7F97875F">
      <w:pPr>
        <w:numPr>
          <w:ilvl w:val="0"/>
          <w:numId w:val="2"/>
        </w:numPr>
        <w:ind w:left="840" w:leftChars="0" w:hanging="420" w:firstLineChars="0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Dizziness or syncope</w:t>
      </w:r>
    </w:p>
    <w:p w14:paraId="184B1BEB">
      <w:pPr>
        <w:numPr>
          <w:ilvl w:val="0"/>
          <w:numId w:val="2"/>
        </w:numPr>
        <w:ind w:left="840" w:leftChars="0" w:hanging="420" w:firstLineChars="0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Pallor or prolonged capillary refill time</w:t>
      </w:r>
    </w:p>
    <w:p w14:paraId="3C7289E3">
      <w:pPr>
        <w:numPr>
          <w:ilvl w:val="0"/>
          <w:numId w:val="0"/>
        </w:numPr>
        <w:ind w:leftChars="100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Management</w:t>
      </w:r>
      <w:r>
        <w:rPr>
          <w:rFonts w:hint="default" w:ascii="Times New Roman" w:hAnsi="Times New Roman" w:cs="Times New Roman"/>
          <w:sz w:val="24"/>
          <w:szCs w:val="32"/>
        </w:rPr>
        <w:t>:</w:t>
      </w:r>
    </w:p>
    <w:p w14:paraId="051368BD">
      <w:pPr>
        <w:numPr>
          <w:ilvl w:val="0"/>
          <w:numId w:val="0"/>
        </w:numPr>
        <w:ind w:leftChars="100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Asymptomatic hypotension (meeting numerical criteria but without hypoperfusion signs) will be monitored closely without immediate pharmacological intervention.</w:t>
      </w:r>
    </w:p>
    <w:p w14:paraId="0D736A85">
      <w:pPr>
        <w:numPr>
          <w:ilvl w:val="0"/>
          <w:numId w:val="0"/>
        </w:numPr>
        <w:ind w:leftChars="100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Symptomatic hypotension or evidence of end-organ hypoperfusion will trigger stepwise management: intravenous fluid bolus (250–500 mL crystalloid), reassessment, and if refractory, vasopressor support (e.g., norepinephrine) as clinically indicated.</w:t>
      </w:r>
    </w:p>
    <w:p w14:paraId="77966CD0">
      <w:pPr>
        <w:numPr>
          <w:numId w:val="0"/>
        </w:numPr>
        <w:ind w:left="360" w:leftChars="0"/>
        <w:jc w:val="left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Individualization</w:t>
      </w:r>
      <w:r>
        <w:rPr>
          <w:rFonts w:hint="default" w:ascii="Times New Roman" w:hAnsi="Times New Roman" w:cs="Times New Roman"/>
          <w:sz w:val="24"/>
          <w:szCs w:val="32"/>
        </w:rPr>
        <w:t>: Treatment decisions will be tailored to each patient's baseline status, frailty level, and overall clinical picture, in accordance with the principles of individualized geriatric care.</w:t>
      </w:r>
    </w:p>
    <w:p w14:paraId="7B2D8CC2">
      <w:pPr>
        <w:numPr>
          <w:numId w:val="0"/>
        </w:numPr>
        <w:ind w:left="360" w:leftChars="0"/>
        <w:jc w:val="left"/>
        <w:rPr>
          <w:rFonts w:hint="default" w:ascii="Times New Roman" w:hAnsi="Times New Roman" w:cs="Times New Roman"/>
          <w:sz w:val="24"/>
          <w:szCs w:val="32"/>
        </w:rPr>
      </w:pPr>
    </w:p>
    <w:p w14:paraId="220C71B1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eastAsia" w:ascii="Times New Roman" w:hAnsi="Times New Roman" w:cs="Times New Roman"/>
          <w:sz w:val="24"/>
          <w:szCs w:val="32"/>
          <w:vertAlign w:val="superscript"/>
          <w:lang w:val="en-US" w:eastAsia="zh-CN"/>
        </w:rPr>
        <w:t>3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>Respiratory depression</w:t>
      </w:r>
      <w:r>
        <w:rPr>
          <w:rFonts w:hint="default" w:ascii="Times New Roman" w:hAnsi="Times New Roman" w:cs="Times New Roman"/>
          <w:sz w:val="24"/>
          <w:szCs w:val="32"/>
        </w:rPr>
        <w:t xml:space="preserve"> is defined as SpO₂ ≤ 92% or respiratory rate &lt; 8 breaths/min. This threshold was chosen because frail elderly patients have diminished cardiopulmonary reserve and may experience clinically significant hypoxemia at SpO₂ levels that would be better tolerated in younger or healthier populations. All adverse events will be documented in the case report form and reviewed by an independent safety committee.</w:t>
      </w:r>
    </w:p>
    <w:p w14:paraId="4A760D70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32"/>
        </w:rPr>
      </w:pPr>
    </w:p>
    <w:p w14:paraId="17AEA6A9">
      <w:pPr>
        <w:numPr>
          <w:numId w:val="0"/>
        </w:numPr>
        <w:jc w:val="left"/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32"/>
          <w:vertAlign w:val="superscript"/>
          <w:lang w:val="en-US" w:eastAsia="zh-CN"/>
        </w:rPr>
        <w:t xml:space="preserve">4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Postoperative Nausea and Vomiting (PONV)</w:t>
      </w:r>
    </w:p>
    <w:p w14:paraId="1A789514">
      <w:pPr>
        <w:numPr>
          <w:numId w:val="0"/>
        </w:numPr>
        <w:jc w:val="left"/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</w:pPr>
    </w:p>
    <w:tbl>
      <w:tblPr>
        <w:tblW w:w="90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08"/>
        <w:gridCol w:w="1240"/>
        <w:gridCol w:w="6058"/>
      </w:tblGrid>
      <w:tr w14:paraId="05DC8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1708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D200F33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  <w14:ligatures w14:val="standardContextual"/>
              </w:rPr>
              <w:t>PONV Grade</w:t>
            </w:r>
          </w:p>
        </w:tc>
        <w:tc>
          <w:tcPr>
            <w:tcW w:w="124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03B1A81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  <w14:ligatures w14:val="standardContextual"/>
              </w:rPr>
              <w:t>Severity</w:t>
            </w:r>
          </w:p>
        </w:tc>
        <w:tc>
          <w:tcPr>
            <w:tcW w:w="6058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659FA9C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  <w14:ligatures w14:val="standardContextual"/>
              </w:rPr>
              <w:t>Description</w:t>
            </w:r>
          </w:p>
        </w:tc>
      </w:tr>
      <w:tr w14:paraId="79664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708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46AFA5D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  <w14:ligatures w14:val="standardContextual"/>
              </w:rPr>
              <w:t>0</w:t>
            </w:r>
          </w:p>
        </w:tc>
        <w:tc>
          <w:tcPr>
            <w:tcW w:w="124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727C9A4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  <w14:ligatures w14:val="standardContextual"/>
              </w:rPr>
              <w:t>None</w:t>
            </w:r>
          </w:p>
        </w:tc>
        <w:tc>
          <w:tcPr>
            <w:tcW w:w="6058" w:type="dxa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4C317AB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  <w14:ligatures w14:val="standardContextual"/>
              </w:rPr>
              <w:t>No nausea or vomiting.</w:t>
            </w:r>
          </w:p>
        </w:tc>
      </w:tr>
      <w:tr w14:paraId="6894A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708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DE3BFF5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124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709D622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  <w14:ligatures w14:val="standardContextual"/>
              </w:rPr>
              <w:t>Mild</w:t>
            </w:r>
          </w:p>
        </w:tc>
        <w:tc>
          <w:tcPr>
            <w:tcW w:w="6058" w:type="dxa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E6E19EE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  <w14:ligatures w14:val="standardContextual"/>
              </w:rPr>
              <w:t>Patient complains of nausea but does not require antiemetic treatment.</w:t>
            </w:r>
          </w:p>
        </w:tc>
      </w:tr>
      <w:tr w14:paraId="6280E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708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7626C44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124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468999F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  <w14:ligatures w14:val="standardContextual"/>
              </w:rPr>
              <w:t>Moderate</w:t>
            </w:r>
          </w:p>
        </w:tc>
        <w:tc>
          <w:tcPr>
            <w:tcW w:w="6058" w:type="dxa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488D2F8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  <w14:ligatures w14:val="standardContextual"/>
              </w:rPr>
              <w:t>Patient complains of nausea and requires antiemetic treatment.</w:t>
            </w:r>
          </w:p>
        </w:tc>
      </w:tr>
      <w:tr w14:paraId="39822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708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16E377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124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92324CB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  <w14:ligatures w14:val="standardContextual"/>
              </w:rPr>
              <w:t>Severe</w:t>
            </w:r>
          </w:p>
        </w:tc>
        <w:tc>
          <w:tcPr>
            <w:tcW w:w="6058" w:type="dxa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A327C00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  <w14:ligatures w14:val="standardContextual"/>
              </w:rPr>
              <w:t>Patient experiences episodes of vomiting or retching, requiring antiemetic treatment.</w:t>
            </w:r>
          </w:p>
        </w:tc>
      </w:tr>
    </w:tbl>
    <w:p w14:paraId="54DF33B3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A6C2DC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Definition of Severe Pain Adverse Event</w:t>
      </w:r>
      <w:r>
        <w:rPr>
          <w:rFonts w:hint="eastAsia" w:ascii="Times New Roman" w:hAnsi="Times New Roman" w:cs="Times New Roman"/>
          <w:sz w:val="24"/>
          <w:szCs w:val="24"/>
        </w:rPr>
        <w:t>: Persistent pain defined as a Numeric Rating Scale (NRS) score ≥ 7 at rest or during movement, lasting for more than 24 consecutive hours, despite optimal use of the PCIA pump and administration of rescue analgesia as per protocol.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5573D5"/>
    <w:multiLevelType w:val="multilevel"/>
    <w:tmpl w:val="0B5573D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DDA57D2"/>
    <w:multiLevelType w:val="singleLevel"/>
    <w:tmpl w:val="3DDA57D2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274816"/>
    <w:rsid w:val="001C0FF6"/>
    <w:rsid w:val="00235C47"/>
    <w:rsid w:val="00274816"/>
    <w:rsid w:val="00357E60"/>
    <w:rsid w:val="00380DC2"/>
    <w:rsid w:val="004177D6"/>
    <w:rsid w:val="00425617"/>
    <w:rsid w:val="0046008A"/>
    <w:rsid w:val="0060281D"/>
    <w:rsid w:val="00643030"/>
    <w:rsid w:val="0065423D"/>
    <w:rsid w:val="006826C5"/>
    <w:rsid w:val="006B6927"/>
    <w:rsid w:val="006C7565"/>
    <w:rsid w:val="006E69B9"/>
    <w:rsid w:val="00AE4062"/>
    <w:rsid w:val="00C60150"/>
    <w:rsid w:val="00CB4876"/>
    <w:rsid w:val="00CE10EB"/>
    <w:rsid w:val="00DA0F60"/>
    <w:rsid w:val="00E36A7B"/>
    <w:rsid w:val="00E71E0E"/>
    <w:rsid w:val="00EE3090"/>
    <w:rsid w:val="00F86868"/>
    <w:rsid w:val="00FD7AE2"/>
    <w:rsid w:val="05B27806"/>
    <w:rsid w:val="17D86F39"/>
    <w:rsid w:val="1F091F36"/>
    <w:rsid w:val="231B6323"/>
    <w:rsid w:val="2B920D55"/>
    <w:rsid w:val="2C743D04"/>
    <w:rsid w:val="2F4D2717"/>
    <w:rsid w:val="38471845"/>
    <w:rsid w:val="4F6B557F"/>
    <w:rsid w:val="5002017E"/>
    <w:rsid w:val="59DE2095"/>
    <w:rsid w:val="640E7909"/>
    <w:rsid w:val="6CEC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Strong"/>
    <w:basedOn w:val="17"/>
    <w:qFormat/>
    <w:uiPriority w:val="22"/>
    <w:rPr>
      <w:b/>
      <w:bCs/>
    </w:rPr>
  </w:style>
  <w:style w:type="character" w:customStyle="1" w:styleId="19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uiPriority w:val="9"/>
    <w:rPr>
      <w:rFonts w:cstheme="majorBidi"/>
      <w:color w:val="0F4761" w:themeColor="accent1" w:themeShade="BF"/>
      <w:sz w:val="24"/>
      <w:szCs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0F4761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8">
    <w:name w:val="标题 字符"/>
    <w:basedOn w:val="17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31">
    <w:name w:val="引用 字符"/>
    <w:basedOn w:val="17"/>
    <w:link w:val="30"/>
    <w:uiPriority w:val="29"/>
    <w:rPr>
      <w:i/>
      <w:iCs/>
      <w:color w:val="3F3F3F" w:themeColor="text1" w:themeTint="BF"/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7"/>
    <w:qFormat/>
    <w:uiPriority w:val="21"/>
    <w:rPr>
      <w:i/>
      <w:iCs/>
      <w:color w:val="0F4761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5">
    <w:name w:val="明显引用 字符"/>
    <w:basedOn w:val="17"/>
    <w:link w:val="34"/>
    <w:uiPriority w:val="30"/>
    <w:rPr>
      <w:i/>
      <w:iCs/>
      <w:color w:val="0F4761" w:themeColor="accent1" w:themeShade="BF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0F4761" w:themeColor="accent1" w:themeShade="BF"/>
      <w:spacing w:val="5"/>
    </w:rPr>
  </w:style>
  <w:style w:type="character" w:customStyle="1" w:styleId="37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280</Words>
  <Characters>1831</Characters>
  <Lines>15</Lines>
  <Paragraphs>4</Paragraphs>
  <TotalTime>33</TotalTime>
  <ScaleCrop>false</ScaleCrop>
  <LinksUpToDate>false</LinksUpToDate>
  <CharactersWithSpaces>2077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2025-09-17T05:43:00Z</dcterms:created>
  <dc:creator>HUAWEI</dc:creator>
  <cp:lastModifiedBy>SYT</cp:lastModifiedBy>
  <dcterms:modified xsi:type="dcterms:W3CDTF">2026-02-23T05:23:15Z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eyJoZGlkIjoiMzYwYzU2MWI3N2Y3MzJlNmMwOWM2NjNjMmYxYjQ1MmYiLCJ1c2VySWQiOiIzNTE4MjgyMjEifQ==</vt:lpwstr>
  </property>
  <property fmtid="{D5CDD505-2E9C-101B-9397-08002B2CF9AE}" pid="3" name="KSOProductBuildVer">
    <vt:lpwstr>2052-12.1.0.25225</vt:lpwstr>
  </property>
  <property fmtid="{D5CDD505-2E9C-101B-9397-08002B2CF9AE}" pid="4" name="ICV">
    <vt:lpwstr>17F7B87E481A449D82C432401FE9172D_12</vt:lpwstr>
  </property>
</Properties>
</file>