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9F729">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rPr>
        <w:t>Supplementary</w:t>
      </w:r>
      <w:r>
        <w:rPr>
          <w:rFonts w:hint="default" w:ascii="Times New Roman" w:hAnsi="Times New Roman" w:cs="Times New Roman"/>
          <w:b/>
          <w:bCs/>
          <w:sz w:val="21"/>
          <w:szCs w:val="21"/>
          <w:lang w:val="en-US" w:eastAsia="zh-CN"/>
        </w:rPr>
        <w:t xml:space="preserve"> </w:t>
      </w:r>
      <w:r>
        <w:rPr>
          <w:rFonts w:hint="eastAsia" w:ascii="Times New Roman" w:hAnsi="Times New Roman" w:cs="Times New Roman"/>
          <w:b/>
          <w:bCs/>
          <w:sz w:val="21"/>
          <w:szCs w:val="21"/>
          <w:lang w:val="en-US" w:eastAsia="zh-CN"/>
        </w:rPr>
        <w:t>T</w:t>
      </w:r>
      <w:r>
        <w:rPr>
          <w:rFonts w:hint="default" w:ascii="Times New Roman" w:hAnsi="Times New Roman" w:cs="Times New Roman"/>
          <w:b/>
          <w:bCs/>
          <w:sz w:val="21"/>
          <w:szCs w:val="21"/>
          <w:lang w:val="en-US" w:eastAsia="zh-CN"/>
        </w:rPr>
        <w:t>ext</w:t>
      </w:r>
    </w:p>
    <w:p w14:paraId="72446A7B">
      <w:pP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Covariate Selection and Justification</w:t>
      </w:r>
      <w:bookmarkStart w:id="0" w:name="_GoBack"/>
      <w:bookmarkEnd w:id="0"/>
    </w:p>
    <w:p w14:paraId="06360B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In this study, covariates were selected a priori based on biological plausibility and prior epidemiological evidence suggesting associations with both the exposures (age and sex) and hearing outcomes.</w:t>
      </w:r>
    </w:p>
    <w:p w14:paraId="02AC14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Tea consumption</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{"citationID":"n4Fec7Ov","properties":{"formattedCitation":"(1,2)","plainCitation":"(1,2)","noteIndex":0},"citationItems":[{"id":17140,"uris":["http://zotero.org/users/11851938/items/QVXEBM8F"],"itemData":{"id":17140,"type":"article-journal","abstract":"OBJECTIVE: To describe the gender and regional differences in adults' tea drinking pattern found in China Kadoorie Biobank (CKB) survey, involving half million adults, in 10 areas in China.\nMETHODS: The baseline survey of CKB was conducted in 5 urban areas and 5 rural areas in China during 2004-2008. The information on tea drinking of 512 891 adults aged 30-79 years was collected and analyzed.\nRESULTS: The overall prevalence of regular tea drinking (i.e., weekly) was 50.7% in males and 21.3% in females. Among 10 areas, Hunan reported the highest regular tea drinking prevalence (74.3% in males, 76.6% in females), while Henan reported the lowest regular tea drinking prevalence (5.5% in males, 1.0% in females). Most regular tea drinkers consumed green tea except those from Zhejiang and Haikou. Hunan reported the highest tea consumption per time (3.8 g in males, 3.1 g in females), per day (6.2 g in males, 4.1 g in females) and per week (38.4 g in males, 25.0 g in females).\nCONCLUSION: The adults' tea drinking pattern i.e. frequency, type, amount of tea and preferred concentration of tea water, varied greatly among the 10 regions covered by CKB study.","container-title":"Zhonghua Liu Xing Bing Xue Za Zhi = Zhonghua Liuxingbingxue Zazhi","ISSN":"0254-6450","issue":"11","journalAbbreviation":"Zhonghua Liu Xing Bing Xue Za Zhi","language":"en-US","page":"1195-1199","PMID":"26850235","source":"PubMed","title":"[regional differences in adults' tea drinking pattern: Findings from China kadoorie biobank study in 10 areas in china]","title-short":"[Regional differences in adults' tea drinking pattern","volume":"36","author":[{"family":"Li","given":"Xia"},{"family":"Lyu","given":"Jun"},{"family":"Guo","given":"Yu"},{"family":"Bian","given":"Zheng"},{"family":"Yu","given":"Canqing"},{"family":"Zhou","given":"Huiyan"},{"family":"Tan","given":"Yunlong"},{"family":"Pei","given":"Pei"},{"family":"Chen","given":"Junshi"},{"family":"Chen","given":"Zhengming"},{"family":"Li","given":"Liming"},{"literal":"China Kadoor Biobank (CKB) Collaborative Group"}],"issued":{"date-parts":[["2015",11]]}}},{"id":17158,"uris":["http://zotero.org/users/11851938/items/JDYBQFWX"],"itemData":{"id":17158,"type":"article-journal","abstract":"Objective: To describe the distribution characteristics of tea consumption in adult twins recruited in the Chinese National Twin Registry (CNTR) and provide clues to genetic and environmental influences on tea consumption. Methods: Enrolled in CNTR during 2010-2018, 25 264 twin pairs aged 18 years and above were included in subsequent analysis. Random effect models were used to estimate tea consumption in the population and regional distribution characteristics. The concordance rate of the behavior and difference in consumption volume of tea within pairs were also described. Results: The mean age of all subjects was (35.38±12.45) years old. The weekly tea consumers accounted for 17.0%, with an average tea consumption of (3.36±2.44) cups per day. The proportion of weekly tea consumers was higher among males, 50-59 years old, southern, urban, educated, and the first-born in the twin pair (P&lt;0.05), and lower among unmarried individuals (P&lt;0.001). Within-pair analysis showed that the concordance rate of tea consumption of monozygotic (MZ) twins was higher than that of dizygotic (DZ) twins and the overall heritability of tea consumption was 13.45% (11.38%-15.51%). Stratified by the characteristics mentioned above, only in males, the concordance rate of MZ showed a tendency to be greater than that of DZ (all P&lt;0.05). The differences in consumption volume of tea within twin pairs were minor in MZ among males (P&lt;0.05), while the differences were not significant in female twins. Conclusion: There were discrepancies in the distribution of tea consumption among twins of different demographic and regional characteristics. Tea consumption was mainly influenced by environmental factors and slightly influenced by genetic factors. The size of genetic factors varied with gender, age, and region, and gender was a potential modified factor.","container-title":"Zhonghua Liu Xing Bing Xue Za Zhi = Zhonghua Liuxingbingxue Zazhi","DOI":"10.3760/cma.j.cn112338-20211210-00964","ISSN":"0254-6450","issue":"8","journalAbbreviation":"Zhonghua Liu Xing Bing Xue Za Zhi","language":"chi","page":"1241-1248","PMID":"35981986","source":"PubMed","title":"[a descriptive analysis of tea consumption in adult twins in China]","volume":"43","author":[{"family":"Wu","given":"Z. Y."},{"family":"Gao","given":"W. J."},{"family":"Cao","given":"J."},{"family":"Lyu","given":"C. Q."},{"family":"Yu","given":"S. F."},{"family":"Wang","given":"T."},{"family":"Huang","given":"D. J. Y."},{"family":"Sun","given":"C. X."},{"family":"Liao","given":"Y. J."},{"family":"Pang","given":"Z. C."},{"family":"Pang","given":"M."},{"family":"Yu","given":"H."},{"family":"Wang","given":"X. P."},{"family":"Wu","given":"Z."},{"family":"Dong","given":"F."},{"family":"Wu","given":"G. J."},{"family":"Jiang","given":"X. J."},{"family":"Wang","given":"Y."},{"family":"Liu","given":"J."},{"family":"Deng","given":"L."},{"family":"Lu","given":"L. M."},{"family":"Li","given":"Liming"}],"issued":{"date-parts":[["2022",8,10]]}}}],"schema":"https://github.com/citation-style-language/schema/raw/master/csl-citation.json"}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lang w:eastAsia="zh-CN"/>
        </w:rPr>
        <w:t>(1,2)</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coffee intake</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{"citationID":"qwVaF1fT","properties":{"formattedCitation":"(3)","plainCitation":"(3)","noteIndex":0},"citationItems":[{"id":17161,"uris":["http://zotero.org/users/11851938/items/HIVBBWLN"],"itemData":{"id":17161,"type":"article-journal","abstract":"Early adulthood is a critical period for non-communicable disease (NCD) prevention, with beverage consumption being a modifiable risk factor. Evidence in young Chinese adults remains limited. We conducted a multicenter cross-sectional study (May–June 2023) of 3198 university students aged 18–25 years from seven regions of China. Beverage intake was recorded for seven days using the validated Liq.In7 diary with calibrated cups, and multivariable linear regression, including sex- and age-stratified models and interaction analyses, identified determinants. Sex, age, and sleep quality were the strongest predictors: females consumed less plain water (β = –112.75; 95% CI: –147.98 to –77.53; p &lt; 0.001) and SSBs (β = –23.59; 95% CI: –34.60 to –12.57; p &lt; 0.001), while plain water intake increased with age (β = 33.42; 95% CI: 19.92–46.91; p &lt; 0.001). Poorer sleep quality (higher PSQI) was associated with higher SSBs consumption. SSBs intake among adults aged 22–25 years increased with higher temperature and socioeconomic tier. Interaction models confirmed that plain water intake increased with age in both sexes but remained lower in females. These findings support integrated interventions, including SSBs taxation and nutrition education, aligned with Healthy China 2030 and WHO sugar-reduction targets.","container-title":"Foods","DOI":"10.3390/foods14213687","ISSN":"2304-8158","issue":"21","journalAbbreviation":"Foods","language":"en","page":"3687","source":"DOI.org (Crossref)","title":"Determinants of beverage consumption in young adults: A multicenter cross-sectional study across seven major geographic regions of China","title-short":"Determinants of Beverage Consumption in Young Adults","volume":"14","author":[{"family":"Zhou","given":"Shuyi"},{"family":"Zhang","given":"Jianfen"},{"family":"Shen","given":"Xiuhua"},{"family":"Yang","given":"Lina"},{"family":"He","given":"Jinsong"},{"family":"Zhang","given":"Fan"},{"family":"Ma","given":"Guansheng"},{"family":"Zhang","given":"Na"}],"issued":{"date-parts":[["2025",10,29]]}}}],"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lang w:eastAsia="zh-CN"/>
        </w:rPr>
        <w:t>(3)</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pickled foods</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{"citationID":"UZ8br5lp","properties":{"formattedCitation":"(4)","plainCitation":"(4)","noteIndex":0},"citationItems":[{"id":17170,"uris":["http://zotero.org/users/11851938/items/DT448KIZ"],"itemData":{"id":17170,"type":"article-journal","abstract":"Objective: To describe the epidemiological characteristics of intakes of different types of preserved vegetables in participants from the China Kadoorie Biobank (CKB). Methods: The CKB project conducted baseline survey, the first resurvey, and the second resurvey during 2004-2008, 2008, and 2013-2014, respectively. According to the average intake levels of salted and sour pickled vegetables in the second resurvey, the 10 survey areas were classified as the area where people mainly consumed salted vegetables, the area where people mainly consumed sour pickled vegetables, and the area where people rarely consumed preserved vegetables. For the first two areas, logistic regression model was used to describe the temporal trends and population distribution of preserved vegetable intake and analyze the distribution of other dietary factors. Results: The area where people mainly consumed salted vegetables included Qingdao, Harbin, Suzhou, and Zhejiang (baseline participant number: 204 036), while the area where people mainly consumed sour pickled vegetables included Gansu and Sichuan (baseline participant number: 105 573). In the area where people mainly consumed salted vegetables, the average intake frequencies of preserved vegetables was 3.1, 3.3, and 1.8 days/week in the baseline survey, the first resurvey, and the second resurvey, respectively, showing a declining trend (P&lt;0.001). Similarly, the average intake frequencies of preserved vegetables were 2.8, 2.7, and 1.6 days/week in the baseline survey, the first resurvey and the second resurvey in the area where people mainly consumed sour pickled vegetables (P&lt;0.001). At baseline survey, the married and those had lower education level tended to have more preserved vegetable intakes in both areas (P&lt;0.001). In the area where people mainly consumed salted vegetables, the elderly had higher frequency of preserved vegetable intake (P&lt;0.001), which was converse in the area where people mainly consumed sour pickled vegetables. In the participants with higher frequency of preserved vegetable intake, more people consumed spicy food daily and preferred salty food (P&lt;0.05). Conclusions: The area and population specific differences in the type and frequency of preserved vegetable intake were observed in adults in the CKB project in China. Besides, the average level of preserved vegetable intake showed a declining trend. Preserved vegetable intake might be associated with other dietary habits.","container-title":"Zhonghua Liu Xing Bing Xue Za Zhi = Zhonghua Liuxingbingxue Zazhi","DOI":"10.3760/cma.j.cn112338-20230613-00370","ISSN":"0254-6450","issue":"1","journalAbbreviation":"Zhonghua Liu Xing Bing Xue Za Zhi","language":"chi","page":"19-25","PMID":"38228520","source":"PubMed","title":"[epidemiological characteristics of preserved vegetable intake in adults in 10 areas of China]","volume":"45","author":[{"family":"Yu","given":"W."},{"family":"Lan","given":"Y. B."},{"family":"Lyu","given":"J."},{"family":"Sun","given":"D. J. Y."},{"family":"Pei","given":"P."},{"family":"Du","given":"H. D."},{"family":"Chen","given":"J. S."},{"family":"Chen","given":"Z. M."},{"family":"Li","given":"L. M."},{"family":"Yu","given":"C. Q."}],"issued":{"date-parts":[["2024",1,10]]}}}],"schema":"https://github.com/citation-style-language/schema/raw/master/csl-citation.json"}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lang w:eastAsia="zh-CN"/>
        </w:rPr>
        <w:t>(4)</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and high-sodium diet</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{"citationID":"s1bs3riX","properties":{"formattedCitation":"(5,6)","plainCitation":"(5,6)","noteIndex":0},"citationItems":[{"id":17172,"uris":["http://zotero.org/users/11851938/items/2AH8JT5Z"],"itemData":{"id":17172,"type":"article-journal","abstract":"OBJECTIVE: To analyze the mean population intake of salt in Chinese adults in 2010-2012.\nMETHODS: Data were from the Chinese Nutrition and Health Surveillance in 2010-2012. The samples were selected through the method of probability proportion to size (PPS). The study objects were 55 531 adults aged 18 and over from 150 sites in 31 provinces, autonomous regions or municipalities in China. The information of oil, salt and other condiments for household was from the 3 d food weighed record. The average of salt intake for individuals was calculated based on the energy percentage in one family. The results presented the level of salt intake (x ± Sx) by analyzing the different demography characteristics. The results were calculated using complex weighting by the population data from National Bureau of Statistics in 2009.\nRESULTS: The intake of salt was (9.6 ± 0.3) g/d and it was higher in men ((10.4 ± 0.4) g/d) than that in women ((8.8 ± 0.3) g/d). The intake in the age group of 40-49, 50-59 and 60-69 was (9.9 ± 0.5) g/d, (10.3 ± 0.4) g/d and (9.9 ± 0.3) g/d, respectively. The adults in rural ((10.2 ± 0.3) g/d) had a higher salt intake than that of urban ((9.0 ± 0.5) g/d). An average of salt intake was increased gradually in big city ((7.9 ± 0.3) g/d), medium /small city ((9.2 ± 0.6) g/d) , general rural ((9.9 ± 0.4) g/d) and poor rural ((10.8 ± 0.7)g/d).\nCONCLUSION: The mean salt intake among Chinese adults was still in a very high level. Something should be done to reduce the salt intake for the government and policy-makers.","container-title":"Zhonghua Yu Fang Yi Xue Za Zhi [Chinese Journal of Preventive Medicine]","DOI":"10.3760/cma.j.issn.0253-9624.2016.03.005","ISSN":"0253-9624","issue":"3","journalAbbreviation":"Zhonghua Yu Fang Yi Xue Za Zhi","language":"chi","page":"217-220","PMID":"26957237","source":"PubMed","title":"[salt intake among Chinese adults in 2010-2012]","volume":"50","author":[{"family":"Yu","given":"Dongmei"},{"family":"He","given":"Yuna"},{"family":"Fang","given":"Hongyun"},{"family":"Xu","given":"Xiaoli"},{"family":"Wang","given":"Xun"},{"family":"Yu","given":"Wentao"},{"family":"Jia","given":"Fengmei"},{"family":"Yang","given":"Xiaoguang"},{"family":"Ma","given":"Guansheng"},{"family":"Zhao","given":"Liyun"}],"issued":{"date-parts":[["2016",3]]}}},{"id":17173,"uris":["http://zotero.org/users/11851938/items/QXZR6Q8H"],"itemData":{"id":17173,"type":"article-journal","abstract":"Objective: To analyze the status of dietary sodium intake of Chinese adult residents in fifteen provinces in 2015. Methods: Data were collected from 2015 China Nutrition Transition Cohort Study. This cohort study used a three consecutive 24-h retrospective method to record food intake and weighing method to record household condiment consumption. In this study, 14 847 residents aged 18 years and over with complete data from 15 provinces in 2015 were selected for the comparison of dietary sodium intake (median) with different characteristics. Results: Among the 14 847 residents, 47.1% were males, and the rural and northern residents accounted for 60.1% and 37.7%, respectively. Median sodium intake was 3 960.0 mg/d among residents in 2015. The sodium intake of males (4 272.1 mg/d) was higher than that of females (3 716.6 mg/d). Across age subgroups, sodium intake was highest among residents aged 45-59 years (4 257.0 mg/d; 18-44 years old, 3 867.1 mg/d; ≥60 years old, 3 799.0 mg/d). Sodium intake was higher in rural area (4 042.9 mg/d) than in urban area (3 866.8 mg/d), higher in north (4 229.2 mg/d) than in south (3 806.8 mg/d) (all P values &lt;0.05). 11.8% of residents with dietary sodium intake were below 2 000 mg/d. The main sources of dietary sodium were condiments (79.4%), regular cooking foods (11.9%) and processed foods (8.7%). Among the condiments, the salt and soy sauce accounted for 63.6% and 10.4%, respectively. Conclusion: In 2015, Chinese adult residents had higher dietary sodium intake with gender and regional differences. Condiments were the main source of dietary sodium.","container-title":"Zhonghua Yu Fang Yi Xue Za Zhi [Chinese Journal of Preventive Medicine]","DOI":"10.3760/cma.j.issn.0253-9624.2019.05.004","ISSN":"0253-9624","issue":"5","journalAbbreviation":"Zhonghua Yu Fang Yi Xue Za Zhi","language":"chi","page":"455-458","PMID":"31091600","source":"PubMed","title":"[dietary sodium intake of adult residents in 15 provinces of China in 2015]","volume":"53","author":[{"family":"Zhang","given":"J. G."},{"family":"Wang","given":"Z. H."},{"family":"Du","given":"W. W."},{"family":"Su","given":"C."},{"family":"Jiang","given":"H. R."},{"family":"Huang","given":"F. F."},{"family":"Jia","given":"X. F."},{"family":"Ouyang","given":"Y. F."},{"family":"Li","given":"L."},{"family":"Wang","given":"Y."},{"family":"Zhang","given":"B."},{"family":"Wang","given":"H. J."}],"issued":{"date-parts":[["2019",5,6]]}}}],"schema":"https://github.com/citation-style-language/schema/raw/master/csl-citation.json"}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lang w:eastAsia="zh-CN"/>
        </w:rPr>
        <w:t>(5,6)</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xml:space="preserve"> were included as covariates because these behaviors have been shown to vary by age and sex in population-based studies and have also been associated with hearing outcomes in prior research</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lkOpxA9l","properties":{"formattedCitation":"(7\\uc0\\u8211{}11)","plainCitation":"(7–11)","noteIndex":0},"citationItems":[{"id":16501,"uris":["http://zotero.org/users/11851938/items/K8MWUH4G"],"itemData":{"id":16501,"type":"article-journal","abstract":"Objective: To investigate the role and mechanism of action of green tea polyphenols in noise-induced hearing loss. Methods: Male specific pathogen-free guinea pigs were randomly divided into normal control group with 9 guinea pigs, noise exposure group with 36 guinea pigs, and green tea polyphenol intervention group with 36 guinea pigs. Auditory brainstem response (ABR) threshold shift was examined before noise exposure and at 1, 3, 7, and 14 days of noise exposure. The surface preparation of cochlear basilar membrane was used for hair cell count and the morphology of hair cells was also observed. Western blot was used to observe the expression of cysteinyl aspartate-specific protease-9 (caspase-9) and cysteinyl aspartate-specific protease-3 (caspase-3) in cochlear tissue. Results: Both the noise exposure group and the green tea polyphenol intervention group had an increase in ABR threshold after noise exposure, and the green tea polyphenol intervention group had a significantly lower ABR threshold shift than the noise exposure group at all time points (P&lt;0.05). Both groups had enlargement, atrophy, or loss of hair cells after noise exposure, and at 7 and 14 days of noise exposure, the noise exposure group had a significantly higher rate of abnormal hair cells than the green tea polyphenol intervention group (P&lt;0.05). Both groups had an increase in the expression of caspase-9 and caspase-3 after noise exposure, and the noise exposure group had a significantly greater increase than the green tea polyphenol intervention group (P&lt;0.05). Conclusion: Green tea polyphenols can reduce noise-induced hearing loss and hair cell injury, possibly by regulating the expression of caspase-9 and caspase-3.","container-title":"Zhonghua Lao Dong Wei Sheng Zhi Ye Bing Za Zhi = Zhonghua Laodong Weisheng Zhiyebing Zazhi = Chinese Journal of Industrial Hygiene and Occupational Diseases","DOI":"10.3760/cma.j.issn.1001-9391.2017.08.001","ISSN":"1001-9391","issue":"8","journalAbbreviation":"Zhonghua Lao Dong Wei Sheng Zhi Ye Bing Za Zhi","language":"chi","page":"561-565","PMID":"29081120","source":"PubMed","title":"[role of green tea polyphenols in noise-induced hearing loss]","volume":"35","author":[{"family":"Li","given":"Y. H."},{"family":"Jiang","given":"P. S."},{"family":"Su","given":"Y. W."},{"family":"Liu","given":"Y. M."}],"issued":{"date-parts":[["2017",8,20]]}}},{"id":17294,"uris":["http://zotero.org/users/11851938/items/EV7I3K36"],"itemData":{"id":17294,"type":"article-journal","abstract":"The purpose of this study was to investigate the effects of Oolong tea drinking on the auditory functions in aged subjects. Retrospective cohort study was conducted on 265 subjects who were older than 55 years old. Tea drinking was determined from responses to a medical and food consumption questionnaires. The effects of Oolong tea drinking on pure tone thresholds (PTAs) for peripheral hearing and pitch pattern sequence (PPS) scores for central hearing were analyzed. Results showed that, before adjusting for other factors, PTAs were not significantly different between \"non-tea drinkers\" and \"Oolong tea drinkes\". But, the mean PPS score was higher in the \"Oolong tea drinkers\" (74.5 ± 12.7%) than in the \"non-tea drinkers\" (68.4 ± 13.9%). After adjusting for age, gender, waist circumference, and other variables, Oolong tea drinking (coefficient (β) ± standard error (SE) = 2.60 ± 0.67, P&lt;0.001) was positively associated with PPS score, but not with PTAs, by multivariate linear regression analysis. In subgroup analysis for PPS score by gender, Oolong tea drinking showed a significant positive association with PPS score in males (β± SE=4.75 ± 0.95, P&lt;0.001), but showed association of borderline significance with PPS score in females (β± SE=1.57 ± 0.94, P=0.097), with adjustment of other risk factors. In conclusion, Oolong tea drinking was associated with better central auditory function, but not with peripheral hearing thresholds, especially in male aged subjects.","container-title":"The Journal of Nutrition, Health &amp; Aging","DOI":"10.1007/s12603-011-0078-5","ISSN":"1760-4788","issue":"3","journalAbbreviation":"J Nutr Health Aging","language":"eng","page":"252-256","PMID":"22456782","source":"PubMed","title":"Effects of tea drinking on auditory functions in aged subjects","volume":"16","author":[{"family":"Hwang","given":"J. H."},{"family":"Chan","given":"Y. C."},{"family":"Hsu","given":"C. J."},{"family":"Liu","given":"T. C."},{"family":"Chen","given":"J. C."}],"issued":{"date-parts":[["2012",3]]}}},{"id":16493,"uris":["http://zotero.org/users/11851938/items/IFAGPY3N"],"itemData":{"id":16493,"type":"article-journal","abstract":"Background\nHearing loss (HL) is the third most prevalent condition, significantly affecting individuals and society. Recent research has explored the potential impact of nutrition, particularly caffeine intake, on HL. While some studies focus on coffee, caffeine intake should be assessed across all dietary sources. This study examines the association between dietary caffeine intake and HL.\n\nMethods\nOur cross-sectional study included 6,082 participants from the National Health and Nutrition Examination Survey (NHANES). Participants were divided into two groups based on their median caffeine intake: low and high. The study investigated two types of HL: speech-frequency hearing loss (SFHL) and high-frequency hearing loss (HFHL). Binary logistic regression analyzed the correlation between caffeine intake and HL, and a restricted cubic spline (RCS) model assessed potential non-linear associations. Subgroup analyses were also conducted.\n\nResults\nHigh caffeine intake was associated with significantly higher rates of SFHL and HFHL compared to low intake (SFHL: 15.4% vs. 10%, HFHL: 30.5% vs. 20.6%, both p &lt; 0.001). Unadjusted logistic regression showed a higher likelihood of SFHL (OR[95%CI] = 1.65[1.41–1.92]) and HFHL (OR[95%CI] = 1.69[1.50–1.90]) in high caffeine consumers. After adjusting for confounders, high caffeine intake remained significantly associated with SFHL (OR[95%CI] = 1.35[1.09–1.66]) but not HFHL (OR[95%CI] = 1.14[0.96–1.35]). The RCS model indicated a linear increase in the risk of SFHL and HFHL with higher caffeine intake (non-linear p = 0.229 for SFHL, p = 0.894 for HFHL). Subgroup analysis revealed that increased caffeine intake was linked to higher SFHL and HFHL risks in participants under 65 years but not in those 65 years and older (SFHL: p for interaction = 0.002; HFHL: p for interaction &lt;0.001).\n\nConclusion\nOur study indicates a strong correlation between dietary caffeine intake and the risk of HL in American adults, particularly those under 65. High caffeine intake was linked to an increased risk of SFHL, but not HFHL, after adjusting for relevant variables.","container-title":"Frontiers in Neurology","DOI":"10.3389/fneur.2024.1436238","ISSN":"1664-2295","journalAbbreviation":"Front Neurol","language":"en-US","page":"1436238","PMID":"39114534","PMCID":"PMC11303149","source":"PubMed Central","title":"Association between caffeine intake from foods and beverages in the diet and hearing loss in united states adults","volume":"15","author":[{"family":"Xia","given":"Fei"},{"family":"Ren","given":"Yuanyuan"}],"issued":{"date-parts":[["2024",7,24]]}}},{"id":2150,"uris":["http://zotero.org/users/11851938/items/A3ZSGDRF"],"itemData":{"id":2150,"type":"article-journal","abstract":"This study aimed to explore the association between ultra-processed foods and age-related hearing loss. Cross-sectional analyses based on data from a nationally representative sample of 1075 adults aged over 50 in the US was performed. The odds ...","container-title":"BMC Geriatrics","DOI":"10.1186/s12877-024-04935-0","language":"en","note":"TLDR: An association between Ultra-processed foods intake and the incidence of high-frequency hearing loss, which was more significant in non-Hispanic whites was discovered.","page":"450","PMID":"38783172","source":"pmc.ncbi.nlm.nih.gov","title":"The association between ultra-processed food intake and age-related hearing loss: a cross-sectional study","title-short":"The association between ultra-processed food intake and age-related hearing loss","volume":"24","author":[{"family":"Fu","given":"Yanpeng"},{"family":"Chen","given":"Wenyu"},{"family":"Liu","given":"Yuehui"}],"issued":{"date-parts":[["2024",5,23]]}}},{"id":16490,"uris":["http://zotero.org/users/11851938/items/SHEHHWJ4"],"itemData":{"id":16490,"type":"article-journal","abstract":"Objectives\nTo evaluate the association between the frequency of adding salt to food and the risk of incident hearing loss.\n\nDesign\nA prospective cohort study.\n\nSetting and participants\n492,168 UK Biobank participants aged 40–69 years who were free of hearing loss at baseline (2006–2010) and followed through 2023.\n\nMeasurements\nFrequency of salt addition to foods was self-reported and categorized as “Never/Rarely,” “Sometimes,” “Usually,” or “Always.” Incident hearing loss was identified using ICD-10 codes H90 and H91. Cox proportional hazards models were applied to estimate hazard ratios (HRs) and 95% confidence intervals (CIs), adjusting for demographic, lifestyle, and medical confounders. Causal mediation analyses were conducted to investigate potential intermediating roles of systemic inflammation and vascular dysfunction.\n\nResults\nOver a mean follow-up of 11 years, 19,188 participants developed hearing loss. The incidence rate increased from 3.37 to 4.33 per 1,000 person-years across ascending salt use categories. Compared with the “Never/Rarely” group, the adjusted HR for the “Always” group was 1.23 (95% CI, 1.16–1.32), with a significant dose-response relationship (p for trend &lt;0.001). Subgroup analyses showed stronger associations among younger participants, men, and individuals without diabetes or hypertension. Mediation analysis indicated that systemic inflammatory markers, particularly glycoprotein acetyls and CRP, significantly mediated part of the association, while blood pressure and arterial stiffness did not demonstrate a significant mediating effect.\n\nConclusions\nFrequent addition of salt to food was associated with an increased risk of incident hearing loss in a dose-dependent manner. These findings suggest that salt intake may be a modifiable risk factor for hearing loss and implicate systemic inflammation as a potential biological pathway.","container-title":"The Journal of Nutrition, Health &amp; Aging","DOI":"10.1016/j.jnha.2025.100663","ISSN":"1279-7707","issue":"10","journalAbbreviation":"J Nutr Health Aging","page":"100663","PMID":"40865390","PMCID":"PMC12409307","source":"PubMed Central","title":"Association between frequency of adding salt to foods and risk of hearing loss: A population-based cohort study using UK biobank data","title-short":"Association between frequency of adding salt to foods and risk of hearing loss","volume":"29","author":[{"family":"Han","given":"Youngji"},{"family":"Lee","given":"Kyu-Yup"},{"family":"Seo","given":"Incheol"},{"family":"Jung","given":"Da Jung"}],"issued":{"date-parts":[["2025",8,26]]}}}],"schema":"https://github.com/citation-style-language/schema/raw/master/csl-citation.json"}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4"/>
        </w:rPr>
        <w:t>(7–11)</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w:t>
      </w:r>
    </w:p>
    <w:p w14:paraId="4E17E13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Serum uric acid</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a0vUx2d8","properties":{"formattedCitation":"(12)","plainCitation":"(12)","noteIndex":0},"citationItems":[{"id":17178,"uris":["http://zotero.org/users/11851938/items/LNZX3KJF"],"itemData":{"id":17178,"type":"article-journal","container-title":"JAMA","DOI":"10.1001/jama.1964.03070130048019","ISSN":"0098-7484","issue":"13","journalAbbreviation":"JAMA","language":"en","source":"DOI.org (Crossref)","title":"Blood uric acid values as related to sex and age","URL":"http://jama.jamanetwork.com/article.aspx?doi=10.1001/jama.1964.03070130048019","volume":"189","author":[{"family":"Gephardt","given":"Maurice C."},{"family":"Hanlon","given":"Thomas J."},{"family":"Matson","given":"Charles F."}],"accessed":{"date-parts":[["2026",1,28]]},"issued":{"date-parts":[["1964",9,28]]}}}],"schema":"https://github.com/citation-style-language/schema/raw/master/csl-citation.json"}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lang w:eastAsia="zh-CN"/>
        </w:rPr>
        <w:t>(12)</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xml:space="preserve"> and lipid parameters</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{"citationID":"bkP6cwBk","properties":{"formattedCitation":"(13,14)","plainCitation":"(13,14)","noteIndex":0},"citationItems":[{"id":17181,"uris":["http://zotero.org/users/11851938/items/V2DAVNFY"],"itemData":{"id":17181,"type":"article-journal","abstract":"Understanding sex disparities in modifiable risk factors across the lifespan is essential for crafting individualized intervention strategies. We aim to investigate age-related sex disparity in cardiometabolic phenotypes in a large nationwide Chinese cohort. A total of 254,670 adults aged 40 years or older were selected from a population-based cohort in China. Substantial sex disparities in the prevalence of metabolic diseases were observed across different age strata, particularly for dyslipidemia and its components. Generalized additive models were employed to characterize phenotype features, elucidating how gender differences evolve with advancing age. Half of the 16 phenotypes consistently exhibited no sex differences, while four (high-density lipoprotein [HDL] cholesterol, apolipoprotein A1, diastolic blood pressure, and fasting insulin) displayed significant sex differences across all age groups. Triglycerides, apolipoprotein B, non-HDL cholesterol, and total cholesterol demonstrated significant age-dependent sex disparities. Notably, premenopausal females exhibited significant age-related differences in lipid levels around the age of 40–50 years, contrasting with the relatively stable associations observed in males and postmenopausal females. Menopause played an important but not sole role in age-related sex differences in blood lipids. Sleep duration also had an age- and sex-dependent impact on lipids. Lipidomic analysis and K-means clustering further revealed that 58.6% of the 263 measured lipids varied with sex and age, with sphingomyelins, cholesteryl esters, and triacylglycerols being the most profoundly influenced lipid species by the combined effects of age, sex, and their interaction. These findings underscore the importance of age consideration when addressing gender disparities in metabolic diseases and advocate for personalized, age-specific prevention and management.","container-title":"Life Metabolism","DOI":"10.1093/lifemeta/loae032","ISSN":"2755-0230","issue":"5","journalAbbreviation":"Life Metab","language":"en-US","page":"loae032","PMID":"39872143","PMCID":"PMC11749084","source":"PubMed Central","title":"Exploring age and gender disparities in cardiometabolic phenotypes and lipidomic signatures among Chinese adults: A nationwide cohort study","title-short":"Exploring age and gender disparities in cardiometabolic phenotypes and lipidomic signatures among Chinese adults","volume":"3","author":[{"family":"Jia","given":"Xiaojing"},{"family":"Lin","given":"Hong"},{"family":"Zheng","given":"Ruizhi"},{"family":"Wang","given":"Shuangyuan"},{"family":"Ding","given":"Yilan"},{"family":"Hu","given":"Chunyan"},{"family":"Li","given":"Mian"},{"family":"Xu","given":"Yu"},{"family":"Xu","given":"Min"},{"family":"Wang","given":"Guixia"},{"family":"Chen","given":"Lulu"},{"family":"Zeng","given":"Tianshu"},{"family":"Hu","given":"Ruying"},{"family":"Ye","given":"Zhen"},{"family":"Shi","given":"Lixin"},{"family":"Su","given":"Qing"},{"family":"Chen","given":"Yuhong"},{"family":"Yu","given":"Xuefeng"},{"family":"Yan","given":"Li"},{"family":"Wang","given":"Tiange"},{"family":"Zhao","given":"Zhiyun"},{"family":"Qin","given":"Guijun"},{"family":"Wan","given":"Qin"},{"family":"Chen","given":"Gang"},{"family":"Dai","given":"Meng"},{"family":"Zhang","given":"Di"},{"family":"Qiu","given":"Bihan"},{"family":"Zhu","given":"Xiaoyan"},{"family":"Zheng","given":"Jie"},{"family":"Tang","given":"Xulei"},{"family":"Gao","given":"Zhengnan"},{"family":"Shen","given":"Feixia"},{"family":"Gu","given":"Xuejiang"},{"family":"Luo","given":"Zuojie"},{"family":"Qin","given":"Yingfen"},{"family":"Chen","given":"Li"},{"family":"Hou","given":"Xinguo"},{"family":"Huo","given":"Yanan"},{"family":"Li","given":"Qiang"},{"family":"Zhang","given":"Yinfei"},{"family":"Liu","given":"Chao"},{"family":"Wang","given":"Youmin"},{"family":"Wu","given":"Shengli"},{"family":"Yang","given":"Tao"},{"family":"Deng","given":"Huacong"},{"family":"Zhao","given":"Jiajun"},{"family":"Mu","given":"Yiming"},{"family":"Lai","given":"Shenghan"},{"family":"Li","given":"Donghui"},{"family":"Hu","given":"Weiguo"},{"family":"Ning","given":"Guang"},{"family":"Wang","given":"Weiqing"},{"family":"Bi","given":"Yufang"},{"family":"Lu","given":"Jieli"}],"issued":{"date-parts":[["2024",8,2]]}}},{"id":17186,"uris":["http://zotero.org/users/11851938/items/Q56AYV57"],"itemData":{"id":17186,"type":"article-journal","abstract":"Background: Cardiovascular and cerebrovascular diseases have become leading causes of death in China as the economy develop and lifestyles change. This study aimed to estimate the relationship of the age, gender, and glucose metabolism with the serum lipid and lipoprotein levels of middle-aged and elderly Chinese men and women in Shandong Province.\nMethods: We conducted a cross-sectional study in Shandong Province that included 10,028 adults aged ≥40 years. Fasting serum total, low-density lipoprotein (LDL), high-density lipoprotein (HDL) cholesterol and triglycerides were measured by standard methods.\nResults: The estimates of total, LDL, and HDL cholesterol and triglycerides were as follows: 5.35, 3.18, 1.51, and 1.34 mmol/L in the middle-aged and elderly Chinese adult population; 5.14, 3.08, 1.42, and 1.33 mmol/L in male subjects; 5.46, 3.24, 1.56, and 1.34 mmol/L in females; 5.27, 3.11, 1.54, and 1.24 mmol/L in the normal glucose tolerance population, 5.49, 3.27, 1.50, and 1.41 mmol/L in the population with pre-diabetes, and 5.39, 3.23, 1.43, and 1.58 mmol/L in the population with diabetes, respectively. Moreover, 36.92 and 19.10% of the adults had borderline-high and high total cholesterol. The population estimates for borderline-high, high LDL and low HDL cholesterol levels were 25.24, 13.39, and 5.64%, respectively. Meanwhile, borderline high and high triglyceride levels accounted for 16.7 and 17.47% of the population, respectively.\nConclusions: Serum total and LDL cholesterol levels were high in the ≥40 years old population of Shandong Province. Age, gender, glucose metabolism status, body mass index (BMI) and glycosylated hemoglobin (HbA1c) can affect serum lipid and lipoprotein levels.","container-title":"Lipids in Health and Disease","DOI":"10.1186/s12944-019-1000-0","ISSN":"1476-511X","issue":"1","journalAbbreviation":"Lipids Health Dis","language":"en","page":"58","source":"DOI.org (Crossref)","title":"Serum lipid and lipoprotein levels of middle-aged and elderly Chinese men and women in shandong province","volume":"18","author":[{"family":"Wang","given":"Meijian"},{"family":"Hou","given":"Xinguo"},{"family":"Hu","given":"Wenchao"},{"family":"Chen","given":"Li"},{"family":"Chen","given":"Shihong"}],"issued":{"date-parts":[["2019",12]]}}}],"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lang w:eastAsia="zh-CN"/>
        </w:rPr>
        <w:t>(13,14)</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 xml:space="preserve"> were additionally adjusted for, as prior studies have demonstrated pronounced age- and sex-related differences in these biomarkers</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These variables may reflect underlying metabolic status and could potentially confound the associations between age, sex, and hearing thresholds</w:t>
      </w: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ZOTERO_ITEM CSL_CITATION {"citationID":"RSB5Mucm","properties":{"formattedCitation":"(15,16)","plainCitation":"(15,16)","noteIndex":0},"citationItems":[{"id":9289,"uris":["http://zotero.org/users/11851938/items/A4YHZHM3"],"itemData":{"id":9289,"type":"article-journal","abstract":"Background and Objectives: Hyperuricemia is associated with a variety of comorbidities. The objective of this study was to investigate the association between hyperuricemia and hearing impairment in Korean adults. Materials and Methods: Audiometric and laboratory test data from the 2019 to 2020 Korean National Health and Nutrition Examination Survey (KNHANES) were used for analysis. Hearing impairment was defined as a pure-tone average (0.5, 1, 2, 4 kHz) threshold level ≥ 41 decibels. The definition of hyperuricemia was different for males and females: &gt;7 mg/dL for males vs. &gt;6 mg/dL for females. Results: A total of 4857 (weight n = 17,990,725) subjects were analyzed. The mean age was 56.8 years old. The weighted prevalence was 12.1% for hyperuricemia and 2.5% for gout. The prevalence of hearing impairment was 13.4%. In the univariable analysis, hyperuricemia was significantly associated with hearing impairment. However, the diagnosis of gout was not associated with hearing impairment. In the multivariable analysis, hyperuricemia (odds ratios (OR): 1.41, 95% confidence interval [CI]: 1.03-1.92, p = 0.030) was associated with hearing impairment along with age (OR: 1.12, 95% CI: 1.10-1.14, p &lt; 0.001), female sex (OR: 0.43, 95% CI: 0.34-0.64, p &lt; 0.001), education (OR: 0.43, 95% CI: 0.30-0.63, p = 0.001), and occupational noise exposure (OR: 1.67, 95% CI: 1.25-2.22, p = 0.001). In the subgroup analysis, hyperuricemia was associated with hearing impairment in females (OR: 1.59, 95% CI: 1.02-2.48, p = 0.041) and the elderly aged 60 years or more (OR: 1.45, 95% CI: 1.05-1.99, p = 0.023). Conclusions: Hyperuricemia was independently associated with hearing impairment, especially in females and the elderly aged 60 years or more.","container-title":"Medicina (Kaunas, Lithuania)","DOI":"10.3390/medicina59071273","ISSN":"1648-9144","issue":"7","journalAbbreviation":"Medicina (Kaunas)","language":"eng","note":"TLDR: Investigating the association between hyperuricemia and hearing impairment in Korean adults found it was independently associated with hearing impairment, especially in females and the elderly aged 60 years or more.","page":"1273","PMID":"37512084","PMCID":"PMC10385961","source":"PubMed","title":"Association between Hyperuricemia and Hearing Impairment: Results from the Korean National Health and Nutrition Examination Survey","title-short":"Association between Hyperuricemia and Hearing Impairment","volume":"59","author":[{"family":"Jeong","given":"Hyemin"},{"family":"Chang","given":"Young-Soo"},{"family":"Jeon","given":"Chan-Hong"}],"issued":{"date-parts":[["2023",7,9]]}}},{"id":16443,"uris":["http://zotero.org/users/11851938/items/8Z8DQ5MK"],"itemData":{"id":16443,"type":"article-journal","abstract":"Background\nHearing loss was a common, chronically disabling condition in the general population and had been associated with several inflammatory diseases. Metabolic syndrome, which was associated with insulin resistance and visceral obesity, was considered a chronic inflammatory disease. To date, few attempts had been made to establish a direct relationship between hearing loss and metabolic syndrome. The aim of the present study was to investigate the relationship between metabolic syndrome and hearing loss by analyzing the data in the reports of the National Health and Nutrition Examination Survey 1999–2004.\n\nMethods\nThis study included 2100 participants aged ≤ 65 years who enrolled in the National Health and Nutrition Examination Survey (1999–2004). We examined the relationship between the presence of different features of metabolic syndrome in the participants and their pure-tone air-conduction hearing thresholds, including low-frequency and high-frequency thresholds.\n\nResults\nAfter adjusting for potential confounders, such as age, medical conditions, and smoking status, the participants with more components of metabolic syndrome were found to have higher hearing thresholds than those with fewer components of metabolic syndrome (p &lt; 0.05 for a trend). The low-frequency hearing threshold was associated with individual components of metabolic syndrome, such as abdominal obesity, high blood pressure, elevated triglycerides, and a low level of high-density lipoprotein cholesterol (HDL-C) (p &lt; 0.05 for all parameters).\n\nConclusions\nThe results indicated that the presence of a greater number of components of metabolic syndrome was significantly associated with the hearing threshold in the US adult population. Among the components of metabolic syndrome, the most apparent association was observed between low HDL and hearing loss.","container-title":"PLoS ONE","DOI":"10.1371/journal.pone.0134388","ISSN":"1932-6203","issue":"8","journalAbbreviation":"PLoS One","language":"en-US","page":"e0134388","PMID":"26247614","PMCID":"PMC4527724","source":"PubMed Central","title":"Components of metabolic syndrome as risk factors for hearing threshold shifts","volume":"10","author":[{"family":"Sun","given":"Yu-Shan"},{"family":"Fang","given":"Wen-Hui"},{"family":"Kao","given":"Tung-Wei"},{"family":"Yang","given":"Hui-Fang"},{"family":"Peng","given":"Tao-Chun"},{"family":"Wu","given":"Li-Wei"},{"family":"Chang","given":"Yaw-Wen"},{"family":"Chou","given":"Chang-Yi"},{"family":"Chen","given":"Wei-Liang"}],"issued":{"date-parts":[["2015",8,6]]}}}],"schema":"https://github.com/citation-style-language/schema/raw/master/csl-citation.json"}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lang w:eastAsia="zh-CN"/>
        </w:rPr>
        <w:t>(15,16)</w:t>
      </w:r>
      <w:r>
        <w:rPr>
          <w:rFonts w:hint="default" w:ascii="Times New Roman" w:hAnsi="Times New Roman" w:cs="Times New Roman"/>
          <w:sz w:val="21"/>
          <w:szCs w:val="21"/>
          <w:lang w:val="en-US" w:eastAsia="zh-CN"/>
        </w:rPr>
        <w:fldChar w:fldCharType="end"/>
      </w:r>
      <w:r>
        <w:rPr>
          <w:rFonts w:hint="eastAsia" w:ascii="Times New Roman" w:hAnsi="Times New Roman" w:cs="Times New Roman"/>
          <w:sz w:val="21"/>
          <w:szCs w:val="21"/>
          <w:lang w:val="en-US" w:eastAsia="zh-CN"/>
        </w:rPr>
        <w:t>.</w:t>
      </w:r>
    </w:p>
    <w:p w14:paraId="137C83E0">
      <w:pP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Reference：</w:t>
      </w:r>
    </w:p>
    <w:p w14:paraId="556E4C83">
      <w:pPr>
        <w:pStyle w:val="5"/>
        <w:bidi w:val="0"/>
        <w:rPr>
          <w:rFonts w:hint="default" w:ascii="Times New Roman" w:hAnsi="Times New Roman" w:cs="Times New Roman"/>
          <w:sz w:val="21"/>
          <w:szCs w:val="24"/>
        </w:rPr>
      </w:pPr>
      <w:r>
        <w:rPr>
          <w:rFonts w:hint="default" w:ascii="Times New Roman" w:hAnsi="Times New Roman" w:cs="Times New Roman"/>
          <w:sz w:val="21"/>
          <w:szCs w:val="21"/>
          <w:lang w:val="en-US" w:eastAsia="zh-CN"/>
        </w:rPr>
        <w:fldChar w:fldCharType="begin"/>
      </w:r>
      <w:r>
        <w:rPr>
          <w:rFonts w:hint="eastAsia" w:ascii="Times New Roman" w:hAnsi="Times New Roman" w:cs="Times New Roman"/>
          <w:sz w:val="21"/>
          <w:szCs w:val="21"/>
          <w:lang w:val="en-US" w:eastAsia="zh-CN"/>
        </w:rPr>
        <w:instrText xml:space="preserve"> ADDIN ZOTERO_BIBL {"uncited":[],"omitted":[],"custom":[]} CSL_BIBLIOGRAPHY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4"/>
        </w:rPr>
        <w:t>1.</w:t>
      </w:r>
      <w:r>
        <w:rPr>
          <w:rFonts w:hint="default" w:ascii="Times New Roman" w:hAnsi="Times New Roman" w:cs="Times New Roman"/>
          <w:sz w:val="21"/>
          <w:szCs w:val="24"/>
        </w:rPr>
        <w:tab/>
      </w:r>
      <w:r>
        <w:rPr>
          <w:rFonts w:hint="default" w:ascii="Times New Roman" w:hAnsi="Times New Roman" w:cs="Times New Roman"/>
          <w:sz w:val="21"/>
          <w:szCs w:val="24"/>
        </w:rPr>
        <w:t xml:space="preserve">Li X, Lyu J, Guo Y, Bian Z, Yu C, Zhou H, et al. [regional differences in adults’ tea drinking pattern: Findings from China kadoorie biobank study in 10 areas in china]. Zhonghua Liu Xing Bing Xue Za Zhi. 2015 Nov;36(11):1195–9. </w:t>
      </w:r>
    </w:p>
    <w:p w14:paraId="41FC74EB">
      <w:pPr>
        <w:pStyle w:val="5"/>
        <w:bidi w:val="0"/>
        <w:rPr>
          <w:rFonts w:hint="default" w:ascii="Times New Roman" w:hAnsi="Times New Roman" w:cs="Times New Roman"/>
          <w:sz w:val="21"/>
          <w:szCs w:val="24"/>
        </w:rPr>
      </w:pPr>
      <w:r>
        <w:rPr>
          <w:rFonts w:hint="default" w:ascii="Times New Roman" w:hAnsi="Times New Roman" w:cs="Times New Roman"/>
          <w:sz w:val="21"/>
          <w:szCs w:val="24"/>
        </w:rPr>
        <w:t>2.</w:t>
      </w:r>
      <w:r>
        <w:rPr>
          <w:rFonts w:hint="default" w:ascii="Times New Roman" w:hAnsi="Times New Roman" w:cs="Times New Roman"/>
          <w:sz w:val="21"/>
          <w:szCs w:val="24"/>
        </w:rPr>
        <w:tab/>
      </w:r>
      <w:r>
        <w:rPr>
          <w:rFonts w:hint="default" w:ascii="Times New Roman" w:hAnsi="Times New Roman" w:cs="Times New Roman"/>
          <w:sz w:val="21"/>
          <w:szCs w:val="24"/>
        </w:rPr>
        <w:t xml:space="preserve">Wu ZY, Gao WJ, Cao J, Lyu CQ, Yu SF, Wang T, et al. [a descriptive analysis of tea consumption in adult twins in China]. Zhonghua Liu Xing Bing Xue Za Zhi. 2022 Aug 10;43(8):1241–8. </w:t>
      </w:r>
    </w:p>
    <w:p w14:paraId="2C4878C4">
      <w:pPr>
        <w:pStyle w:val="5"/>
        <w:bidi w:val="0"/>
        <w:rPr>
          <w:rFonts w:hint="default" w:ascii="Times New Roman" w:hAnsi="Times New Roman" w:cs="Times New Roman"/>
          <w:sz w:val="21"/>
          <w:szCs w:val="24"/>
        </w:rPr>
      </w:pPr>
      <w:r>
        <w:rPr>
          <w:rFonts w:hint="default" w:ascii="Times New Roman" w:hAnsi="Times New Roman" w:cs="Times New Roman"/>
          <w:sz w:val="21"/>
          <w:szCs w:val="24"/>
        </w:rPr>
        <w:t>3.</w:t>
      </w:r>
      <w:r>
        <w:rPr>
          <w:rFonts w:hint="default" w:ascii="Times New Roman" w:hAnsi="Times New Roman" w:cs="Times New Roman"/>
          <w:sz w:val="21"/>
          <w:szCs w:val="24"/>
        </w:rPr>
        <w:tab/>
      </w:r>
      <w:r>
        <w:rPr>
          <w:rFonts w:hint="default" w:ascii="Times New Roman" w:hAnsi="Times New Roman" w:cs="Times New Roman"/>
          <w:sz w:val="21"/>
          <w:szCs w:val="24"/>
        </w:rPr>
        <w:t xml:space="preserve">Zhou S, Zhang J, Shen X, Yang L, He J, Zhang F, et al. Determinants of beverage consumption in young adults: A multicenter cross-sectional study across seven major geographic regions of China. Foods. 2025 Oct 29;14(21):3687. </w:t>
      </w:r>
    </w:p>
    <w:p w14:paraId="66B7E5F9">
      <w:pPr>
        <w:pStyle w:val="5"/>
        <w:bidi w:val="0"/>
        <w:rPr>
          <w:rFonts w:hint="default" w:ascii="Times New Roman" w:hAnsi="Times New Roman" w:cs="Times New Roman"/>
          <w:sz w:val="21"/>
          <w:szCs w:val="24"/>
        </w:rPr>
      </w:pPr>
      <w:r>
        <w:rPr>
          <w:rFonts w:hint="default" w:ascii="Times New Roman" w:hAnsi="Times New Roman" w:cs="Times New Roman"/>
          <w:sz w:val="21"/>
          <w:szCs w:val="24"/>
        </w:rPr>
        <w:t>4.</w:t>
      </w:r>
      <w:r>
        <w:rPr>
          <w:rFonts w:hint="default" w:ascii="Times New Roman" w:hAnsi="Times New Roman" w:cs="Times New Roman"/>
          <w:sz w:val="21"/>
          <w:szCs w:val="24"/>
        </w:rPr>
        <w:tab/>
      </w:r>
      <w:r>
        <w:rPr>
          <w:rFonts w:hint="default" w:ascii="Times New Roman" w:hAnsi="Times New Roman" w:cs="Times New Roman"/>
          <w:sz w:val="21"/>
          <w:szCs w:val="24"/>
        </w:rPr>
        <w:t xml:space="preserve">Yu W, Lan YB, Lyu J, Sun DJY, Pei P, Du HD, et al. [epidemiological characteristics of preserved vegetable intake in adults in 10 areas of China]. Zhonghua Liu Xing Bing Xue Za Zhi. 2024 Jan 10;45(1):19–25. </w:t>
      </w:r>
    </w:p>
    <w:p w14:paraId="1E3A05C3">
      <w:pPr>
        <w:pStyle w:val="5"/>
        <w:bidi w:val="0"/>
        <w:rPr>
          <w:rFonts w:hint="default" w:ascii="Times New Roman" w:hAnsi="Times New Roman" w:cs="Times New Roman"/>
          <w:sz w:val="21"/>
          <w:szCs w:val="24"/>
        </w:rPr>
      </w:pPr>
      <w:r>
        <w:rPr>
          <w:rFonts w:hint="default" w:ascii="Times New Roman" w:hAnsi="Times New Roman" w:cs="Times New Roman"/>
          <w:sz w:val="21"/>
          <w:szCs w:val="24"/>
        </w:rPr>
        <w:t>5.</w:t>
      </w:r>
      <w:r>
        <w:rPr>
          <w:rFonts w:hint="default" w:ascii="Times New Roman" w:hAnsi="Times New Roman" w:cs="Times New Roman"/>
          <w:sz w:val="21"/>
          <w:szCs w:val="24"/>
        </w:rPr>
        <w:tab/>
      </w:r>
      <w:r>
        <w:rPr>
          <w:rFonts w:hint="default" w:ascii="Times New Roman" w:hAnsi="Times New Roman" w:cs="Times New Roman"/>
          <w:sz w:val="21"/>
          <w:szCs w:val="24"/>
        </w:rPr>
        <w:t xml:space="preserve">Yu D, He Y, Fang H, Xu X, Wang X, Yu W, et al. [salt intake among Chinese adults in 2010-2012]. Zhonghua Yu Fang Yi Xue Za Zhi. 2016 Mar;50(3):217–20. </w:t>
      </w:r>
    </w:p>
    <w:p w14:paraId="5FE564B5">
      <w:pPr>
        <w:pStyle w:val="5"/>
        <w:bidi w:val="0"/>
        <w:rPr>
          <w:rFonts w:hint="default" w:ascii="Times New Roman" w:hAnsi="Times New Roman" w:cs="Times New Roman"/>
          <w:sz w:val="21"/>
          <w:szCs w:val="24"/>
        </w:rPr>
      </w:pPr>
      <w:r>
        <w:rPr>
          <w:rFonts w:hint="default" w:ascii="Times New Roman" w:hAnsi="Times New Roman" w:cs="Times New Roman"/>
          <w:sz w:val="21"/>
          <w:szCs w:val="24"/>
        </w:rPr>
        <w:t>6.</w:t>
      </w:r>
      <w:r>
        <w:rPr>
          <w:rFonts w:hint="default" w:ascii="Times New Roman" w:hAnsi="Times New Roman" w:cs="Times New Roman"/>
          <w:sz w:val="21"/>
          <w:szCs w:val="24"/>
        </w:rPr>
        <w:tab/>
      </w:r>
      <w:r>
        <w:rPr>
          <w:rFonts w:hint="default" w:ascii="Times New Roman" w:hAnsi="Times New Roman" w:cs="Times New Roman"/>
          <w:sz w:val="21"/>
          <w:szCs w:val="24"/>
        </w:rPr>
        <w:t xml:space="preserve">Zhang JG, Wang ZH, Du WW, Su C, Jiang HR, Huang FF, et al. [dietary sodium intake of adult residents in 15 provinces of China in 2015]. Zhonghua Yu Fang Yi Xue Za Zhi. 2019 May 6;53(5):455–8. </w:t>
      </w:r>
    </w:p>
    <w:p w14:paraId="42CF7B3C">
      <w:pPr>
        <w:pStyle w:val="5"/>
        <w:bidi w:val="0"/>
        <w:rPr>
          <w:rFonts w:hint="default" w:ascii="Times New Roman" w:hAnsi="Times New Roman" w:cs="Times New Roman"/>
          <w:sz w:val="21"/>
          <w:szCs w:val="24"/>
        </w:rPr>
      </w:pPr>
      <w:r>
        <w:rPr>
          <w:rFonts w:hint="default" w:ascii="Times New Roman" w:hAnsi="Times New Roman" w:cs="Times New Roman"/>
          <w:sz w:val="21"/>
          <w:szCs w:val="24"/>
        </w:rPr>
        <w:t>7.</w:t>
      </w:r>
      <w:r>
        <w:rPr>
          <w:rFonts w:hint="default" w:ascii="Times New Roman" w:hAnsi="Times New Roman" w:cs="Times New Roman"/>
          <w:sz w:val="21"/>
          <w:szCs w:val="24"/>
        </w:rPr>
        <w:tab/>
      </w:r>
      <w:r>
        <w:rPr>
          <w:rFonts w:hint="default" w:ascii="Times New Roman" w:hAnsi="Times New Roman" w:cs="Times New Roman"/>
          <w:sz w:val="21"/>
          <w:szCs w:val="24"/>
        </w:rPr>
        <w:t xml:space="preserve">Li YH, Jiang PS, Su YW, Liu YM. [role of green tea polyphenols in noise-induced hearing loss]. Zhonghua Lao Dong Wei Sheng Zhi Ye Bing Za Zhi. 2017 Aug 20;35(8):561–5. </w:t>
      </w:r>
    </w:p>
    <w:p w14:paraId="53B49FE2">
      <w:pPr>
        <w:pStyle w:val="5"/>
        <w:bidi w:val="0"/>
        <w:rPr>
          <w:rFonts w:hint="default" w:ascii="Times New Roman" w:hAnsi="Times New Roman" w:cs="Times New Roman"/>
          <w:sz w:val="21"/>
          <w:szCs w:val="24"/>
        </w:rPr>
      </w:pPr>
      <w:r>
        <w:rPr>
          <w:rFonts w:hint="default" w:ascii="Times New Roman" w:hAnsi="Times New Roman" w:cs="Times New Roman"/>
          <w:sz w:val="21"/>
          <w:szCs w:val="24"/>
        </w:rPr>
        <w:t>8.</w:t>
      </w:r>
      <w:r>
        <w:rPr>
          <w:rFonts w:hint="default" w:ascii="Times New Roman" w:hAnsi="Times New Roman" w:cs="Times New Roman"/>
          <w:sz w:val="21"/>
          <w:szCs w:val="24"/>
        </w:rPr>
        <w:tab/>
      </w:r>
      <w:r>
        <w:rPr>
          <w:rFonts w:hint="default" w:ascii="Times New Roman" w:hAnsi="Times New Roman" w:cs="Times New Roman"/>
          <w:sz w:val="21"/>
          <w:szCs w:val="24"/>
        </w:rPr>
        <w:t xml:space="preserve">Hwang JH, Chan YC, Hsu CJ, Liu TC, Chen JC. Effects of tea drinking on auditory functions in aged subjects. J Nutr Health Aging. 2012 Mar;16(3):252–6. </w:t>
      </w:r>
    </w:p>
    <w:p w14:paraId="78199091">
      <w:pPr>
        <w:pStyle w:val="5"/>
        <w:bidi w:val="0"/>
        <w:rPr>
          <w:rFonts w:hint="default" w:ascii="Times New Roman" w:hAnsi="Times New Roman" w:cs="Times New Roman"/>
          <w:sz w:val="21"/>
          <w:szCs w:val="24"/>
        </w:rPr>
      </w:pPr>
      <w:r>
        <w:rPr>
          <w:rFonts w:hint="default" w:ascii="Times New Roman" w:hAnsi="Times New Roman" w:cs="Times New Roman"/>
          <w:sz w:val="21"/>
          <w:szCs w:val="24"/>
        </w:rPr>
        <w:t>9.</w:t>
      </w:r>
      <w:r>
        <w:rPr>
          <w:rFonts w:hint="default" w:ascii="Times New Roman" w:hAnsi="Times New Roman" w:cs="Times New Roman"/>
          <w:sz w:val="21"/>
          <w:szCs w:val="24"/>
        </w:rPr>
        <w:tab/>
      </w:r>
      <w:r>
        <w:rPr>
          <w:rFonts w:hint="default" w:ascii="Times New Roman" w:hAnsi="Times New Roman" w:cs="Times New Roman"/>
          <w:sz w:val="21"/>
          <w:szCs w:val="24"/>
        </w:rPr>
        <w:t xml:space="preserve">Xia F, Ren Y. Association between caffeine intake from foods and beverages in the diet and hearing loss in united states adults. Front Neurol. 2024 Jul 24;15:1436238. </w:t>
      </w:r>
    </w:p>
    <w:p w14:paraId="057A19F6">
      <w:pPr>
        <w:pStyle w:val="5"/>
        <w:bidi w:val="0"/>
        <w:rPr>
          <w:rFonts w:hint="default" w:ascii="Times New Roman" w:hAnsi="Times New Roman" w:cs="Times New Roman"/>
          <w:sz w:val="21"/>
          <w:szCs w:val="24"/>
        </w:rPr>
      </w:pPr>
      <w:r>
        <w:rPr>
          <w:rFonts w:hint="default" w:ascii="Times New Roman" w:hAnsi="Times New Roman" w:cs="Times New Roman"/>
          <w:sz w:val="21"/>
          <w:szCs w:val="24"/>
        </w:rPr>
        <w:t>10.</w:t>
      </w:r>
      <w:r>
        <w:rPr>
          <w:rFonts w:hint="default" w:ascii="Times New Roman" w:hAnsi="Times New Roman" w:cs="Times New Roman"/>
          <w:sz w:val="21"/>
          <w:szCs w:val="24"/>
        </w:rPr>
        <w:tab/>
      </w:r>
      <w:r>
        <w:rPr>
          <w:rFonts w:hint="default" w:ascii="Times New Roman" w:hAnsi="Times New Roman" w:cs="Times New Roman"/>
          <w:sz w:val="21"/>
          <w:szCs w:val="24"/>
        </w:rPr>
        <w:t xml:space="preserve">Fu Y, Chen W, Liu Y. The association between ultra-processed food intake and age-related hearing loss: a cross-sectional study. BMC Geriatrics. 2024 May 23;24:450. </w:t>
      </w:r>
    </w:p>
    <w:p w14:paraId="6C5752C3">
      <w:pPr>
        <w:pStyle w:val="5"/>
        <w:bidi w:val="0"/>
        <w:rPr>
          <w:rFonts w:hint="default" w:ascii="Times New Roman" w:hAnsi="Times New Roman" w:cs="Times New Roman"/>
          <w:sz w:val="21"/>
          <w:szCs w:val="24"/>
        </w:rPr>
      </w:pPr>
      <w:r>
        <w:rPr>
          <w:rFonts w:hint="default" w:ascii="Times New Roman" w:hAnsi="Times New Roman" w:cs="Times New Roman"/>
          <w:sz w:val="21"/>
          <w:szCs w:val="24"/>
        </w:rPr>
        <w:t>11.</w:t>
      </w:r>
      <w:r>
        <w:rPr>
          <w:rFonts w:hint="default" w:ascii="Times New Roman" w:hAnsi="Times New Roman" w:cs="Times New Roman"/>
          <w:sz w:val="21"/>
          <w:szCs w:val="24"/>
        </w:rPr>
        <w:tab/>
      </w:r>
      <w:r>
        <w:rPr>
          <w:rFonts w:hint="default" w:ascii="Times New Roman" w:hAnsi="Times New Roman" w:cs="Times New Roman"/>
          <w:sz w:val="21"/>
          <w:szCs w:val="24"/>
        </w:rPr>
        <w:t xml:space="preserve">Han Y, Lee KY, Seo I, Jung DJ. Association between frequency of adding salt to foods and risk of hearing loss: A population-based cohort study using UK biobank data. J Nutr Health Aging. 2025 Aug 26;29(10):100663. </w:t>
      </w:r>
    </w:p>
    <w:p w14:paraId="7ED66C9F">
      <w:pPr>
        <w:pStyle w:val="5"/>
        <w:bidi w:val="0"/>
        <w:rPr>
          <w:rFonts w:hint="default" w:ascii="Times New Roman" w:hAnsi="Times New Roman" w:cs="Times New Roman"/>
          <w:sz w:val="21"/>
          <w:szCs w:val="24"/>
        </w:rPr>
      </w:pPr>
      <w:r>
        <w:rPr>
          <w:rFonts w:hint="default" w:ascii="Times New Roman" w:hAnsi="Times New Roman" w:cs="Times New Roman"/>
          <w:sz w:val="21"/>
          <w:szCs w:val="24"/>
        </w:rPr>
        <w:t>12.</w:t>
      </w:r>
      <w:r>
        <w:rPr>
          <w:rFonts w:hint="default" w:ascii="Times New Roman" w:hAnsi="Times New Roman" w:cs="Times New Roman"/>
          <w:sz w:val="21"/>
          <w:szCs w:val="24"/>
        </w:rPr>
        <w:tab/>
      </w:r>
      <w:r>
        <w:rPr>
          <w:rFonts w:hint="default" w:ascii="Times New Roman" w:hAnsi="Times New Roman" w:cs="Times New Roman"/>
          <w:sz w:val="21"/>
          <w:szCs w:val="24"/>
        </w:rPr>
        <w:t>Gephardt MC, Hanlon TJ, Matson CF. Blood uric acid values as related to sex and age. JAMA [Internet]. 1964 Sep 28 [cited 2026 Jan 28];189(13). Available from: http://jama.jamanetwork.com/article.aspx?doi=10.1001/jama.1964.03070130048019</w:t>
      </w:r>
    </w:p>
    <w:p w14:paraId="66399172">
      <w:pPr>
        <w:pStyle w:val="5"/>
        <w:bidi w:val="0"/>
        <w:rPr>
          <w:rFonts w:hint="default" w:ascii="Times New Roman" w:hAnsi="Times New Roman" w:cs="Times New Roman"/>
          <w:sz w:val="21"/>
          <w:szCs w:val="24"/>
        </w:rPr>
      </w:pPr>
      <w:r>
        <w:rPr>
          <w:rFonts w:hint="default" w:ascii="Times New Roman" w:hAnsi="Times New Roman" w:cs="Times New Roman"/>
          <w:sz w:val="21"/>
          <w:szCs w:val="24"/>
        </w:rPr>
        <w:t>13.</w:t>
      </w:r>
      <w:r>
        <w:rPr>
          <w:rFonts w:hint="default" w:ascii="Times New Roman" w:hAnsi="Times New Roman" w:cs="Times New Roman"/>
          <w:sz w:val="21"/>
          <w:szCs w:val="24"/>
        </w:rPr>
        <w:tab/>
      </w:r>
      <w:r>
        <w:rPr>
          <w:rFonts w:hint="default" w:ascii="Times New Roman" w:hAnsi="Times New Roman" w:cs="Times New Roman"/>
          <w:sz w:val="21"/>
          <w:szCs w:val="24"/>
        </w:rPr>
        <w:t xml:space="preserve">Jia X, Lin H, Zheng R, Wang S, Ding Y, Hu C, et al. Exploring age and gender disparities in cardiometabolic phenotypes and lipidomic signatures among Chinese adults: A nationwide cohort study. Life Metab. 2024 Aug 2;3(5):loae032. </w:t>
      </w:r>
    </w:p>
    <w:p w14:paraId="2D243BE4">
      <w:pPr>
        <w:pStyle w:val="5"/>
        <w:bidi w:val="0"/>
        <w:rPr>
          <w:rFonts w:hint="default" w:ascii="Times New Roman" w:hAnsi="Times New Roman" w:cs="Times New Roman"/>
          <w:sz w:val="21"/>
          <w:szCs w:val="24"/>
        </w:rPr>
      </w:pPr>
      <w:r>
        <w:rPr>
          <w:rFonts w:hint="default" w:ascii="Times New Roman" w:hAnsi="Times New Roman" w:cs="Times New Roman"/>
          <w:sz w:val="21"/>
          <w:szCs w:val="24"/>
        </w:rPr>
        <w:t>14.</w:t>
      </w:r>
      <w:r>
        <w:rPr>
          <w:rFonts w:hint="default" w:ascii="Times New Roman" w:hAnsi="Times New Roman" w:cs="Times New Roman"/>
          <w:sz w:val="21"/>
          <w:szCs w:val="24"/>
        </w:rPr>
        <w:tab/>
      </w:r>
      <w:r>
        <w:rPr>
          <w:rFonts w:hint="default" w:ascii="Times New Roman" w:hAnsi="Times New Roman" w:cs="Times New Roman"/>
          <w:sz w:val="21"/>
          <w:szCs w:val="24"/>
        </w:rPr>
        <w:t xml:space="preserve">Wang M, Hou X, Hu W, Chen L, Chen S. Serum lipid and lipoprotein levels of middle-aged and elderly Chinese men and women in shandong province. Lipids Health Dis. 2019 Dec;18(1):58. </w:t>
      </w:r>
    </w:p>
    <w:p w14:paraId="01E72D9E">
      <w:pPr>
        <w:pStyle w:val="5"/>
        <w:bidi w:val="0"/>
        <w:rPr>
          <w:rFonts w:hint="default" w:ascii="Times New Roman" w:hAnsi="Times New Roman" w:cs="Times New Roman"/>
          <w:sz w:val="21"/>
          <w:szCs w:val="24"/>
        </w:rPr>
      </w:pPr>
      <w:r>
        <w:rPr>
          <w:rFonts w:hint="default" w:ascii="Times New Roman" w:hAnsi="Times New Roman" w:cs="Times New Roman"/>
          <w:sz w:val="21"/>
          <w:szCs w:val="24"/>
        </w:rPr>
        <w:t>15.</w:t>
      </w:r>
      <w:r>
        <w:rPr>
          <w:rFonts w:hint="default" w:ascii="Times New Roman" w:hAnsi="Times New Roman" w:cs="Times New Roman"/>
          <w:sz w:val="21"/>
          <w:szCs w:val="24"/>
        </w:rPr>
        <w:tab/>
      </w:r>
      <w:r>
        <w:rPr>
          <w:rFonts w:hint="default" w:ascii="Times New Roman" w:hAnsi="Times New Roman" w:cs="Times New Roman"/>
          <w:sz w:val="21"/>
          <w:szCs w:val="24"/>
        </w:rPr>
        <w:t xml:space="preserve">Jeong H, Chang YS, Jeon CH. Association between Hyperuricemia and Hearing Impairment: Results from the Korean National Health and Nutrition Examination Survey. Medicina (Kaunas). 2023 Jul 9;59(7):1273. </w:t>
      </w:r>
    </w:p>
    <w:p w14:paraId="32A2524A">
      <w:pPr>
        <w:pStyle w:val="5"/>
        <w:bidi w:val="0"/>
        <w:rPr>
          <w:rFonts w:hint="default" w:ascii="Times New Roman" w:hAnsi="Times New Roman" w:cs="Times New Roman"/>
          <w:sz w:val="21"/>
          <w:szCs w:val="24"/>
        </w:rPr>
      </w:pPr>
      <w:r>
        <w:rPr>
          <w:rFonts w:hint="default" w:ascii="Times New Roman" w:hAnsi="Times New Roman" w:cs="Times New Roman"/>
          <w:sz w:val="21"/>
          <w:szCs w:val="24"/>
        </w:rPr>
        <w:t>16.</w:t>
      </w:r>
      <w:r>
        <w:rPr>
          <w:rFonts w:hint="default" w:ascii="Times New Roman" w:hAnsi="Times New Roman" w:cs="Times New Roman"/>
          <w:sz w:val="21"/>
          <w:szCs w:val="24"/>
        </w:rPr>
        <w:tab/>
      </w:r>
      <w:r>
        <w:rPr>
          <w:rFonts w:hint="default" w:ascii="Times New Roman" w:hAnsi="Times New Roman" w:cs="Times New Roman"/>
          <w:sz w:val="21"/>
          <w:szCs w:val="24"/>
        </w:rPr>
        <w:t xml:space="preserve">Sun YS, Fang WH, Kao TW, Yang HF, Peng TC, Wu LW, et al. Components of metabolic syndrome as risk factors for hearing threshold shifts. PLoS One. 2015 Aug 6;10(8):e0134388. </w:t>
      </w:r>
    </w:p>
    <w:p w14:paraId="264FD651">
      <w:pP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BC1108"/>
    <w:rsid w:val="12C93FBC"/>
    <w:rsid w:val="28097B16"/>
    <w:rsid w:val="3A52465F"/>
    <w:rsid w:val="6EB26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Bibliography"/>
    <w:basedOn w:val="1"/>
    <w:uiPriority w:val="0"/>
    <w:pPr>
      <w:tabs>
        <w:tab w:val="left" w:pos="264"/>
      </w:tabs>
      <w:spacing w:after="240"/>
      <w:ind w:left="264" w:hanging="264"/>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645</Words>
  <Characters>3366</Characters>
  <Lines>0</Lines>
  <Paragraphs>0</Paragraphs>
  <TotalTime>144</TotalTime>
  <ScaleCrop>false</ScaleCrop>
  <LinksUpToDate>false</LinksUpToDate>
  <CharactersWithSpaces>4515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2026-01-28T00:55:00Z</dcterms:created>
  <dc:creator>李春浩</dc:creator>
  <cp:lastModifiedBy>李春浩</cp:lastModifiedBy>
  <dcterms:modified xsi:type="dcterms:W3CDTF">2026-02-04T09:30:15Z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F00F1E9670FF4A8792C63F2427F0D0AD_11</vt:lpwstr>
  </property>
  <property fmtid="{D5CDD505-2E9C-101B-9397-08002B2CF9AE}" pid="4" name="KSOTemplateDocerSaveRecord">
    <vt:lpwstr>eyJoZGlkIjoiYmYxMWFiYTJjMDc2YjU3YzI5YTNjZjMxZTFlZjhlMDUiLCJ1c2VySWQiOiIzNDcyMDA3NzYifQ==</vt:lpwstr>
  </property>
  <property fmtid="{D5CDD505-2E9C-101B-9397-08002B2CF9AE}" pid="5" name="ZOTERO_PREF_1">
    <vt:lpwstr>&lt;data data-version="3" zotero-version="7.0.32"&gt;&lt;session id="4ttH2byw"/&gt;&lt;style id="http://www.zotero.org/styles/nlm-citation-sequence" locale="en-GB" hasBibliography="1" bibliographyStyleHasBeenSet="1"/&gt;&lt;prefs&gt;&lt;pref name="fieldType" value="Field"/&gt;&lt;/prefs&gt;</vt:lpwstr>
  </property>
  <property fmtid="{D5CDD505-2E9C-101B-9397-08002B2CF9AE}" pid="6" name="ZOTERO_PREF_2">
    <vt:lpwstr>&lt;/data&gt;</vt:lpwstr>
  </property>
</Properties>
</file>