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4A781">
      <w:pPr>
        <w:spacing w:line="480" w:lineRule="auto"/>
        <w:jc w:val="center"/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Supplementary Table 1: 30 indicators of health-related deficits to construct Frailty Index </w:t>
      </w:r>
    </w:p>
    <w:tbl>
      <w:tblPr>
        <w:tblStyle w:val="2"/>
        <w:tblW w:w="139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9275"/>
        <w:gridCol w:w="3388"/>
      </w:tblGrid>
      <w:tr w14:paraId="53934536">
        <w:trPr>
          <w:trHeight w:val="34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6730">
            <w:pP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ort</w:t>
            </w: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0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Items</w:t>
            </w:r>
          </w:p>
        </w:tc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6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Cut-off value</w:t>
            </w:r>
          </w:p>
        </w:tc>
      </w:tr>
      <w:tr w14:paraId="22B19633">
        <w:trPr>
          <w:trHeight w:val="336" w:hRule="atLeast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AEF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hronic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u w:val="none"/>
                <w:shd w:val="clear"/>
                <w:lang w:val="en-US" w:bidi="ar"/>
              </w:rPr>
              <w:t>illness</w:t>
            </w: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D3A6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Hypertension by a doctor?</w:t>
            </w:r>
          </w:p>
        </w:tc>
        <w:tc>
          <w:tcPr>
            <w:tcW w:w="3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 = 1, No = 0</w:t>
            </w:r>
          </w:p>
        </w:tc>
      </w:tr>
      <w:tr w14:paraId="18B3F580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846A2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198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Dyslipidemia (elevation of low density lipoprotein,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triglycerides (TGs),and total cholesterol, or a low high density lipoprotein level) by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5ED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3646A7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0F2B4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FAE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Diabetes or high blood sugar by 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B9F9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E20DA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D14BB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E6FA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Cancer or malignant tumor (excluding minor skin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cancers) by 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AE0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99DBF2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39512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C70B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Chronic lung diseases, such as chronic bronchitis ,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emphysema ( excluding tumors, or cancer) by 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AD1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51C468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E9A18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ED30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Liver disease (except fatty liver, tumors, and cancer)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by a doctor? 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7AC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43134D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9B8A2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A634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Heart attack, coronary heart disease, angina, con gestive heart failure, or other heart problems by 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D89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99284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2FC20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74A7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Stroke by 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1C4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25AB29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DCB53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CD59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Kidney disease (except for tumor or cancer) by a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C251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85C3DD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2828C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0FF3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Have you been diagnosed with Stomach or other digestive diseases (except for tu mor or cancer) by a doctor? 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B2F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84AC6B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314B0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5ABD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Emotional, nervous, or psychiatric problems by a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DB78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5D9C65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F710F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FBA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Arthritis or rheumatism by 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BAF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1B65F">
        <w:trPr>
          <w:trHeight w:val="351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3952F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3E8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Have you been diagnosed with Asthma by a doctor?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C813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DA6607">
        <w:trPr>
          <w:trHeight w:val="336" w:hRule="atLeast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A9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Disability</w:t>
            </w: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5BCC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Physical disabilities?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84B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2AE7C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C3A19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7E7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Brain damage/intellectual disability?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0AE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C793EC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156A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BB76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Vision problem?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262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FAC4C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13AAD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0F91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Hearing problem?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1129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E5020">
        <w:trPr>
          <w:trHeight w:val="351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EEF7E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EFAE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Speech impediment?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B01EE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DB543F">
        <w:trPr>
          <w:trHeight w:val="336" w:hRule="atLeast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EAFC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Functional limitation</w:t>
            </w:r>
            <w:r>
              <w:rPr>
                <w:rStyle w:val="5"/>
                <w:rFonts w:ascii="Times New Roman" w:hAnsi="Times New Roman"/>
                <w:lang w:val="en-US" w:eastAsia="zh-CN" w:bidi="ar"/>
              </w:rPr>
              <w:t xml:space="preserve"> </w:t>
            </w: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AB05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any difficulties with doing household chores?</w:t>
            </w:r>
          </w:p>
        </w:tc>
        <w:tc>
          <w:tcPr>
            <w:tcW w:w="3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E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No, I don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 have any difficulty = 0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 have difficulty but can still do it or need help = 0.5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 can not do it = 1</w:t>
            </w:r>
          </w:p>
        </w:tc>
      </w:tr>
      <w:tr w14:paraId="4975A64D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647B7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7E70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any difficulties with preparing hot meals?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669D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69CA85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B80F2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A5DF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any difficulties with shopping for groceries?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9FB3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DFCC0A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39174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1B04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any difficulties with managing your money?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8F77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18DCD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0877C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C8A0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any difficulties with taking medications?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D05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F40065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33D69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C322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any difficulty with running or jogging about 1 Km?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708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389EF1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CEF6E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7283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difficulty with getting up from a chair after sitting for a long period?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C570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EC4040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5BF63F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22AD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difficulty with climbing several flights of stairs without resting?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EEF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7098C8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548DC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44E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difficulty with stooping, kneeling, or crouching?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B94B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FF4E02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3AE1C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0C80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difficulty with reaching or extending your arms above shoulder level?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159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D60125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50094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2D1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difficulty with lifting or carrying weights over 10 jin, like a heavy bag of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groceries?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DEE8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4CCF5">
        <w:trPr>
          <w:trHeight w:val="336" w:hRule="atLeast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133E55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CB4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 you have difficulty with picking up a small coin from a table?</w:t>
            </w:r>
          </w:p>
        </w:tc>
        <w:tc>
          <w:tcPr>
            <w:tcW w:w="3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DD84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29CC3A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lang w:val="en-US"/>
        </w:rPr>
      </w:pP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>FI is calculated as (total deficits / 30 items) × 100; The score ranges of FI is 0–100, respectively.</w:t>
      </w:r>
    </w:p>
    <w:p w14:paraId="369598E4">
      <w:r>
        <w:br w:type="page"/>
      </w:r>
    </w:p>
    <w:p w14:paraId="41B4915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 xml:space="preserve"> Table 2. D</w:t>
      </w:r>
      <w:r>
        <w:rPr>
          <w:rFonts w:hint="default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/>
        </w:rPr>
        <w:t>ifference</w:t>
      </w:r>
      <w:r>
        <w:rPr>
          <w:rFonts w:hint="eastAsia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 w:eastAsia="zh-CN"/>
        </w:rPr>
        <w:t xml:space="preserve"> of </w:t>
      </w: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2A2B2E"/>
          <w:sz w:val="24"/>
          <w:shd w:val="clear" w:color="auto" w:fill="FFFFFF"/>
          <w:lang w:val="en-US" w:eastAsia="zh-CN"/>
        </w:rPr>
        <w:t>95% CI</w:t>
      </w:r>
      <w:r>
        <w:rPr>
          <w:rFonts w:hint="default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/>
        </w:rPr>
        <w:t xml:space="preserve"> between Bootstrap 10000 and Bootstrap 5000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7"/>
        <w:gridCol w:w="1423"/>
        <w:gridCol w:w="1103"/>
        <w:gridCol w:w="1843"/>
        <w:gridCol w:w="2793"/>
        <w:gridCol w:w="2759"/>
      </w:tblGrid>
      <w:tr w14:paraId="5412742B">
        <w:trPr>
          <w:trHeight w:val="422" w:hRule="atLeast"/>
          <w:jc w:val="center"/>
        </w:trPr>
        <w:tc>
          <w:tcPr>
            <w:tcW w:w="1498" w:type="pct"/>
            <w:tcBorders>
              <w:bottom w:val="single" w:color="auto" w:sz="4" w:space="0"/>
            </w:tcBorders>
            <w:vAlign w:val="center"/>
          </w:tcPr>
          <w:p w14:paraId="2A47CA2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Model pathways</w:t>
            </w:r>
          </w:p>
        </w:tc>
        <w:tc>
          <w:tcPr>
            <w:tcW w:w="502" w:type="pct"/>
            <w:tcBorders>
              <w:bottom w:val="single" w:color="auto" w:sz="4" w:space="0"/>
            </w:tcBorders>
            <w:vAlign w:val="center"/>
          </w:tcPr>
          <w:p w14:paraId="2AEBD339">
            <w:pPr>
              <w:spacing w:line="240" w:lineRule="auto"/>
              <w:jc w:val="center"/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  <w:lang w:val="en-US"/>
              </w:rPr>
              <w:t>B</w:t>
            </w:r>
          </w:p>
        </w:tc>
        <w:tc>
          <w:tcPr>
            <w:tcW w:w="389" w:type="pct"/>
            <w:tcBorders>
              <w:bottom w:val="single" w:color="auto" w:sz="4" w:space="0"/>
            </w:tcBorders>
            <w:vAlign w:val="center"/>
          </w:tcPr>
          <w:p w14:paraId="4821128F">
            <w:pPr>
              <w:spacing w:line="240" w:lineRule="auto"/>
              <w:jc w:val="center"/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SE</w:t>
            </w:r>
          </w:p>
        </w:tc>
        <w:tc>
          <w:tcPr>
            <w:tcW w:w="650" w:type="pct"/>
            <w:tcBorders>
              <w:bottom w:val="single" w:color="auto" w:sz="4" w:space="0"/>
            </w:tcBorders>
            <w:vAlign w:val="center"/>
          </w:tcPr>
          <w:p w14:paraId="7C2C062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Mediating effect</w:t>
            </w:r>
          </w:p>
        </w:tc>
        <w:tc>
          <w:tcPr>
            <w:tcW w:w="985" w:type="pct"/>
            <w:tcBorders>
              <w:bottom w:val="single" w:color="auto" w:sz="4" w:space="0"/>
            </w:tcBorders>
            <w:vAlign w:val="center"/>
          </w:tcPr>
          <w:p w14:paraId="1F8C2D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CI</w:t>
            </w:r>
          </w:p>
          <w:p w14:paraId="0689AA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eastAsia="zh-CN"/>
              </w:rPr>
              <w:t>（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Bootstrap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2A2B2E"/>
                <w:kern w:val="2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5000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973" w:type="pct"/>
            <w:tcBorders>
              <w:bottom w:val="single" w:color="auto" w:sz="4" w:space="0"/>
            </w:tcBorders>
            <w:vAlign w:val="center"/>
          </w:tcPr>
          <w:p w14:paraId="1DF303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CI</w:t>
            </w:r>
          </w:p>
          <w:p w14:paraId="673108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eastAsia="zh-CN"/>
              </w:rPr>
              <w:t>（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kern w:val="2"/>
                <w:sz w:val="24"/>
                <w:szCs w:val="24"/>
                <w:shd w:val="clear" w:fill="FFFFFF"/>
                <w:lang w:val="en-US" w:eastAsia="zh-CN" w:bidi="ar"/>
              </w:rPr>
              <w:t>Bootstrap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2A2B2E"/>
                <w:kern w:val="2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10000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eastAsia="zh-CN"/>
              </w:rPr>
              <w:t>）</w:t>
            </w:r>
          </w:p>
        </w:tc>
      </w:tr>
      <w:tr w14:paraId="607DA99E">
        <w:trPr>
          <w:trHeight w:val="648" w:hRule="atLeast"/>
          <w:jc w:val="center"/>
        </w:trPr>
        <w:tc>
          <w:tcPr>
            <w:tcW w:w="1498" w:type="pct"/>
            <w:tcBorders>
              <w:top w:val="single" w:color="auto" w:sz="4" w:space="0"/>
            </w:tcBorders>
            <w:vAlign w:val="top"/>
          </w:tcPr>
          <w:p w14:paraId="49DE486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Total effect sleep duration → depressive symptoms</w:t>
            </w:r>
          </w:p>
        </w:tc>
        <w:tc>
          <w:tcPr>
            <w:tcW w:w="1423" w:type="dxa"/>
            <w:tcBorders>
              <w:top w:val="single" w:color="auto" w:sz="4" w:space="0"/>
            </w:tcBorders>
            <w:vAlign w:val="center"/>
          </w:tcPr>
          <w:p w14:paraId="20C7A66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-0.8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66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03" w:type="dxa"/>
            <w:tcBorders>
              <w:top w:val="single" w:color="auto" w:sz="4" w:space="0"/>
            </w:tcBorders>
            <w:vAlign w:val="center"/>
          </w:tcPr>
          <w:p w14:paraId="35AAEAB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0.044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2D31E79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100%</w:t>
            </w:r>
          </w:p>
        </w:tc>
        <w:tc>
          <w:tcPr>
            <w:tcW w:w="2793" w:type="dxa"/>
            <w:tcBorders>
              <w:top w:val="single" w:color="auto" w:sz="4" w:space="0"/>
            </w:tcBorders>
            <w:vAlign w:val="center"/>
          </w:tcPr>
          <w:p w14:paraId="3D86B65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953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779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73" w:type="pct"/>
            <w:tcBorders>
              <w:top w:val="single" w:color="auto" w:sz="4" w:space="0"/>
            </w:tcBorders>
            <w:vAlign w:val="center"/>
          </w:tcPr>
          <w:p w14:paraId="5C633159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953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779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10A766D5">
        <w:trPr>
          <w:trHeight w:val="648" w:hRule="atLeast"/>
          <w:jc w:val="center"/>
        </w:trPr>
        <w:tc>
          <w:tcPr>
            <w:tcW w:w="1498" w:type="pct"/>
            <w:vAlign w:val="top"/>
          </w:tcPr>
          <w:p w14:paraId="2F0A23EF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Direct effect sleep duration → depressive symptoms</w:t>
            </w:r>
          </w:p>
        </w:tc>
        <w:tc>
          <w:tcPr>
            <w:tcW w:w="1423" w:type="dxa"/>
            <w:vAlign w:val="center"/>
          </w:tcPr>
          <w:p w14:paraId="0D25C6B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-0.5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48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03" w:type="dxa"/>
            <w:vAlign w:val="center"/>
          </w:tcPr>
          <w:p w14:paraId="58F6FB6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0.041</w:t>
            </w:r>
          </w:p>
        </w:tc>
        <w:tc>
          <w:tcPr>
            <w:tcW w:w="1843" w:type="dxa"/>
            <w:vAlign w:val="center"/>
          </w:tcPr>
          <w:p w14:paraId="102471D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63.3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2793" w:type="dxa"/>
            <w:vAlign w:val="center"/>
          </w:tcPr>
          <w:p w14:paraId="51A11B05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628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468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73" w:type="pct"/>
            <w:vAlign w:val="center"/>
          </w:tcPr>
          <w:p w14:paraId="6C276ECF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628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468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6B61247F">
        <w:trPr>
          <w:trHeight w:val="648" w:hRule="atLeast"/>
          <w:jc w:val="center"/>
        </w:trPr>
        <w:tc>
          <w:tcPr>
            <w:tcW w:w="1498" w:type="pct"/>
            <w:vAlign w:val="top"/>
          </w:tcPr>
          <w:p w14:paraId="48F2D198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Total indirect effect sleep duration → depressive symptoms</w:t>
            </w:r>
          </w:p>
        </w:tc>
        <w:tc>
          <w:tcPr>
            <w:tcW w:w="1423" w:type="dxa"/>
            <w:vAlign w:val="center"/>
          </w:tcPr>
          <w:p w14:paraId="62B8185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318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03" w:type="dxa"/>
            <w:vAlign w:val="center"/>
          </w:tcPr>
          <w:p w14:paraId="5A8A72F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4086CAD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36.7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2793" w:type="dxa"/>
            <w:vAlign w:val="center"/>
          </w:tcPr>
          <w:p w14:paraId="2970D71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67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72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73" w:type="pct"/>
            <w:vAlign w:val="center"/>
          </w:tcPr>
          <w:p w14:paraId="09D8EDE1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(-0.3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64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, -0.2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74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7E1B254C">
        <w:trPr>
          <w:trHeight w:val="648" w:hRule="atLeast"/>
          <w:jc w:val="center"/>
        </w:trPr>
        <w:tc>
          <w:tcPr>
            <w:tcW w:w="1498" w:type="pct"/>
            <w:vAlign w:val="top"/>
          </w:tcPr>
          <w:p w14:paraId="11B0F0B2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Path 1: Sleep duration → SRH → depressive symptoms</w:t>
            </w:r>
          </w:p>
        </w:tc>
        <w:tc>
          <w:tcPr>
            <w:tcW w:w="1423" w:type="dxa"/>
            <w:vAlign w:val="center"/>
          </w:tcPr>
          <w:p w14:paraId="1C86906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-0.1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03" w:type="dxa"/>
            <w:vAlign w:val="center"/>
          </w:tcPr>
          <w:p w14:paraId="7FA0952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0.01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14:paraId="41BCBD4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14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.2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2793" w:type="dxa"/>
            <w:vAlign w:val="center"/>
          </w:tcPr>
          <w:p w14:paraId="64248F7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(-0.1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48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98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73" w:type="pct"/>
            <w:vAlign w:val="center"/>
          </w:tcPr>
          <w:p w14:paraId="3FDE2690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(-0.1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49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, -0.0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99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4C84C687">
        <w:trPr>
          <w:trHeight w:val="648" w:hRule="atLeast"/>
          <w:jc w:val="center"/>
        </w:trPr>
        <w:tc>
          <w:tcPr>
            <w:tcW w:w="1498" w:type="pct"/>
            <w:vAlign w:val="top"/>
          </w:tcPr>
          <w:p w14:paraId="3B7C1AF7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bookmarkStart w:id="0" w:name="OLE_LINK21"/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Path 2: S</w:t>
            </w:r>
            <w:bookmarkEnd w:id="0"/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leep duration → frailty → depressive symptoms</w:t>
            </w:r>
          </w:p>
        </w:tc>
        <w:tc>
          <w:tcPr>
            <w:tcW w:w="1423" w:type="dxa"/>
            <w:vAlign w:val="center"/>
          </w:tcPr>
          <w:p w14:paraId="64385B5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108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03" w:type="dxa"/>
            <w:vAlign w:val="center"/>
          </w:tcPr>
          <w:p w14:paraId="7D078B2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0.014</w:t>
            </w:r>
          </w:p>
        </w:tc>
        <w:tc>
          <w:tcPr>
            <w:tcW w:w="1843" w:type="dxa"/>
            <w:vAlign w:val="center"/>
          </w:tcPr>
          <w:p w14:paraId="50E9157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12.5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2793" w:type="dxa"/>
            <w:vAlign w:val="center"/>
          </w:tcPr>
          <w:p w14:paraId="358E1D8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(-0.1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37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73" w:type="pct"/>
            <w:vAlign w:val="center"/>
          </w:tcPr>
          <w:p w14:paraId="431C4A18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(-0.1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37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, -0.0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81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594687EE">
        <w:trPr>
          <w:trHeight w:val="658" w:hRule="atLeast"/>
          <w:jc w:val="center"/>
        </w:trPr>
        <w:tc>
          <w:tcPr>
            <w:tcW w:w="1498" w:type="pct"/>
            <w:vAlign w:val="top"/>
          </w:tcPr>
          <w:p w14:paraId="1C81549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Path 3: Sleep duration → SRH → frailty → depressive symptoms</w:t>
            </w:r>
          </w:p>
        </w:tc>
        <w:tc>
          <w:tcPr>
            <w:tcW w:w="1423" w:type="dxa"/>
            <w:vAlign w:val="center"/>
          </w:tcPr>
          <w:p w14:paraId="072B304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103" w:type="dxa"/>
            <w:vAlign w:val="center"/>
          </w:tcPr>
          <w:p w14:paraId="776B218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9</w:t>
            </w:r>
          </w:p>
        </w:tc>
        <w:tc>
          <w:tcPr>
            <w:tcW w:w="1843" w:type="dxa"/>
            <w:vAlign w:val="center"/>
          </w:tcPr>
          <w:p w14:paraId="4893D5B6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10.2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2793" w:type="dxa"/>
            <w:vAlign w:val="center"/>
          </w:tcPr>
          <w:p w14:paraId="33BA9AF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106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72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73" w:type="pct"/>
            <w:vAlign w:val="center"/>
          </w:tcPr>
          <w:p w14:paraId="53418BA4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105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, -0.0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72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shd w:val="clear" w:color="auto" w:fill="FFFFFF"/>
              </w:rPr>
              <w:t>)</w:t>
            </w:r>
          </w:p>
        </w:tc>
      </w:tr>
    </w:tbl>
    <w:p w14:paraId="7791545C">
      <w:pPr>
        <w:rPr>
          <w:rFonts w:hint="default" w:ascii="Times New Roman" w:hAnsi="Times New Roman" w:eastAsia="宋体" w:cs="Times New Roman"/>
          <w:i/>
          <w:iCs/>
          <w:color w:val="2A2B2E"/>
          <w:sz w:val="22"/>
          <w:szCs w:val="22"/>
          <w:shd w:val="clear" w:color="auto" w:fill="FFFFFF"/>
          <w:lang w:val="en-US"/>
        </w:rPr>
      </w:pP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CI: Confidence interval; B: Unstandardised coefficient; SE: Standard error; SRH: Self-Rated Health</w:t>
      </w:r>
      <w:r>
        <w:rPr>
          <w:rFonts w:hint="default" w:ascii="Times New Roman Italic" w:hAnsi="Times New Roman Italic" w:eastAsia="宋体" w:cs="Times New Roman Italic"/>
          <w:i/>
          <w:iCs/>
          <w:color w:val="2A2B2E"/>
          <w:kern w:val="2"/>
          <w:sz w:val="24"/>
          <w:szCs w:val="24"/>
          <w:highlight w:val="none"/>
          <w:shd w:val="clear" w:fill="FFFFFF"/>
          <w:lang w:val="en-US" w:eastAsia="zh-CN" w:bidi="ar"/>
        </w:rPr>
        <w:t>;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Sleep duration: The unit of measurement is hours;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 xml:space="preserve">FI is calculated as (total deficits / 30 items) × 100;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highlight w:val="none"/>
          <w:shd w:val="clear" w:fill="FFFFFF"/>
          <w:lang w:val="en-US" w:eastAsia="zh-CN" w:bidi="ar"/>
        </w:rPr>
        <w:t>The score ranges of the CESD-10, SRH, and FI are 0–30, 1–5, and 0–100, respectively.</w:t>
      </w:r>
    </w:p>
    <w:p w14:paraId="30CA11D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 w14:paraId="7D1A3A3E">
      <w:r>
        <w:br w:type="page"/>
      </w:r>
    </w:p>
    <w:p w14:paraId="4324AF9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</w:rPr>
        <w:t>Supplementary Table 3. Results of regression analysis</w:t>
      </w:r>
      <w:r>
        <w:rPr>
          <w:rFonts w:hint="eastAsia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 w:eastAsia="zh-CN"/>
        </w:rPr>
        <w:t xml:space="preserve"> of two simple mediation models and the chain mediation model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7"/>
        <w:gridCol w:w="2247"/>
        <w:gridCol w:w="1132"/>
        <w:gridCol w:w="1081"/>
        <w:gridCol w:w="1345"/>
        <w:gridCol w:w="1475"/>
        <w:gridCol w:w="1444"/>
        <w:gridCol w:w="2247"/>
      </w:tblGrid>
      <w:tr w14:paraId="717FFC5A">
        <w:trPr>
          <w:trHeight w:val="325" w:hRule="atLeast"/>
          <w:jc w:val="center"/>
        </w:trPr>
        <w:tc>
          <w:tcPr>
            <w:tcW w:w="1127" w:type="pct"/>
            <w:tcBorders>
              <w:bottom w:val="single" w:color="auto" w:sz="4" w:space="0"/>
            </w:tcBorders>
            <w:vAlign w:val="top"/>
          </w:tcPr>
          <w:p w14:paraId="322E84D8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Criterion</w:t>
            </w:r>
          </w:p>
        </w:tc>
        <w:tc>
          <w:tcPr>
            <w:tcW w:w="792" w:type="pct"/>
            <w:tcBorders>
              <w:bottom w:val="single" w:color="auto" w:sz="4" w:space="0"/>
            </w:tcBorders>
            <w:vAlign w:val="top"/>
          </w:tcPr>
          <w:p w14:paraId="19EE6D85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Predictors</w:t>
            </w:r>
          </w:p>
        </w:tc>
        <w:tc>
          <w:tcPr>
            <w:tcW w:w="399" w:type="pct"/>
            <w:tcBorders>
              <w:bottom w:val="single" w:color="auto" w:sz="4" w:space="0"/>
            </w:tcBorders>
            <w:vAlign w:val="top"/>
          </w:tcPr>
          <w:p w14:paraId="732EF6D1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R</w:t>
            </w:r>
          </w:p>
        </w:tc>
        <w:tc>
          <w:tcPr>
            <w:tcW w:w="381" w:type="pct"/>
            <w:tcBorders>
              <w:bottom w:val="single" w:color="auto" w:sz="4" w:space="0"/>
            </w:tcBorders>
            <w:vAlign w:val="top"/>
          </w:tcPr>
          <w:p w14:paraId="633F21BD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R</w:t>
            </w: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474" w:type="pct"/>
            <w:tcBorders>
              <w:bottom w:val="single" w:color="auto" w:sz="4" w:space="0"/>
            </w:tcBorders>
            <w:vAlign w:val="top"/>
          </w:tcPr>
          <w:p w14:paraId="587A392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F</w:t>
            </w:r>
          </w:p>
        </w:tc>
        <w:tc>
          <w:tcPr>
            <w:tcW w:w="520" w:type="pct"/>
            <w:tcBorders>
              <w:bottom w:val="single" w:color="auto" w:sz="4" w:space="0"/>
            </w:tcBorders>
            <w:vAlign w:val="top"/>
          </w:tcPr>
          <w:p w14:paraId="3402E84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B</w:t>
            </w:r>
          </w:p>
        </w:tc>
        <w:tc>
          <w:tcPr>
            <w:tcW w:w="509" w:type="pct"/>
            <w:tcBorders>
              <w:bottom w:val="single" w:color="auto" w:sz="4" w:space="0"/>
            </w:tcBorders>
            <w:vAlign w:val="top"/>
          </w:tcPr>
          <w:p w14:paraId="6A19290B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t</w:t>
            </w:r>
          </w:p>
        </w:tc>
        <w:tc>
          <w:tcPr>
            <w:tcW w:w="792" w:type="pct"/>
            <w:tcBorders>
              <w:bottom w:val="single" w:color="auto" w:sz="4" w:space="0"/>
            </w:tcBorders>
            <w:vAlign w:val="top"/>
          </w:tcPr>
          <w:p w14:paraId="1ABC5D42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95%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CI</w:t>
            </w:r>
          </w:p>
        </w:tc>
      </w:tr>
      <w:tr w14:paraId="6E47F971">
        <w:trPr>
          <w:trHeight w:val="315" w:hRule="atLeast"/>
          <w:jc w:val="center"/>
        </w:trPr>
        <w:tc>
          <w:tcPr>
            <w:tcW w:w="1127" w:type="pct"/>
            <w:vAlign w:val="top"/>
          </w:tcPr>
          <w:p w14:paraId="34884BEB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Depressive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symptoms</w:t>
            </w:r>
          </w:p>
        </w:tc>
        <w:tc>
          <w:tcPr>
            <w:tcW w:w="792" w:type="pct"/>
            <w:vAlign w:val="top"/>
          </w:tcPr>
          <w:p w14:paraId="1540B7B1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Sleep duration</w:t>
            </w:r>
          </w:p>
        </w:tc>
        <w:tc>
          <w:tcPr>
            <w:tcW w:w="399" w:type="pct"/>
            <w:vAlign w:val="top"/>
          </w:tcPr>
          <w:p w14:paraId="5633FBA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507</w:t>
            </w:r>
          </w:p>
        </w:tc>
        <w:tc>
          <w:tcPr>
            <w:tcW w:w="381" w:type="pct"/>
            <w:vAlign w:val="top"/>
          </w:tcPr>
          <w:p w14:paraId="3C26089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257</w:t>
            </w:r>
          </w:p>
        </w:tc>
        <w:tc>
          <w:tcPr>
            <w:tcW w:w="474" w:type="pct"/>
            <w:vAlign w:val="top"/>
          </w:tcPr>
          <w:p w14:paraId="4563E265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176.420</w:t>
            </w:r>
          </w:p>
        </w:tc>
        <w:tc>
          <w:tcPr>
            <w:tcW w:w="520" w:type="pct"/>
            <w:vAlign w:val="top"/>
          </w:tcPr>
          <w:p w14:paraId="5DCEF369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656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509" w:type="pct"/>
            <w:vAlign w:val="top"/>
          </w:tcPr>
          <w:p w14:paraId="3A53814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15.540</w:t>
            </w:r>
          </w:p>
        </w:tc>
        <w:tc>
          <w:tcPr>
            <w:tcW w:w="792" w:type="pct"/>
            <w:vAlign w:val="top"/>
          </w:tcPr>
          <w:p w14:paraId="7B196CE7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738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, 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573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0E31C743">
        <w:trPr>
          <w:trHeight w:val="283" w:hRule="atLeast"/>
          <w:jc w:val="center"/>
        </w:trPr>
        <w:tc>
          <w:tcPr>
            <w:tcW w:w="1127" w:type="pct"/>
            <w:vAlign w:val="top"/>
          </w:tcPr>
          <w:p w14:paraId="25B684E0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2" w:type="pct"/>
            <w:vAlign w:val="top"/>
          </w:tcPr>
          <w:p w14:paraId="1430F57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SRH</w:t>
            </w:r>
          </w:p>
        </w:tc>
        <w:tc>
          <w:tcPr>
            <w:tcW w:w="399" w:type="pct"/>
            <w:vAlign w:val="top"/>
          </w:tcPr>
          <w:p w14:paraId="50366E7A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381" w:type="pct"/>
            <w:vAlign w:val="top"/>
          </w:tcPr>
          <w:p w14:paraId="573259EF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474" w:type="pct"/>
            <w:vAlign w:val="top"/>
          </w:tcPr>
          <w:p w14:paraId="7E550B7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520" w:type="pct"/>
            <w:vAlign w:val="top"/>
          </w:tcPr>
          <w:p w14:paraId="189522F7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243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509" w:type="pct"/>
            <w:vAlign w:val="top"/>
          </w:tcPr>
          <w:p w14:paraId="0D36BC8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7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064</w:t>
            </w:r>
          </w:p>
        </w:tc>
        <w:tc>
          <w:tcPr>
            <w:tcW w:w="792" w:type="pct"/>
            <w:vAlign w:val="top"/>
          </w:tcPr>
          <w:p w14:paraId="71DB2319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(-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405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, -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80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3B7A8DFE">
        <w:trPr>
          <w:trHeight w:val="90" w:hRule="atLeast"/>
          <w:jc w:val="center"/>
        </w:trPr>
        <w:tc>
          <w:tcPr>
            <w:tcW w:w="1127" w:type="pct"/>
            <w:vAlign w:val="top"/>
          </w:tcPr>
          <w:p w14:paraId="1361F687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Depressive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symptoms</w:t>
            </w:r>
          </w:p>
        </w:tc>
        <w:tc>
          <w:tcPr>
            <w:tcW w:w="792" w:type="pct"/>
            <w:vAlign w:val="top"/>
          </w:tcPr>
          <w:p w14:paraId="24A00EA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Sleep duration</w:t>
            </w:r>
          </w:p>
        </w:tc>
        <w:tc>
          <w:tcPr>
            <w:tcW w:w="399" w:type="pct"/>
            <w:vAlign w:val="top"/>
          </w:tcPr>
          <w:p w14:paraId="1DD032FB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0.53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381" w:type="pct"/>
            <w:vAlign w:val="top"/>
          </w:tcPr>
          <w:p w14:paraId="71DA1995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0.28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474" w:type="pct"/>
            <w:vAlign w:val="top"/>
          </w:tcPr>
          <w:p w14:paraId="5568052B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204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758</w:t>
            </w:r>
          </w:p>
        </w:tc>
        <w:tc>
          <w:tcPr>
            <w:tcW w:w="520" w:type="pct"/>
            <w:vAlign w:val="top"/>
          </w:tcPr>
          <w:p w14:paraId="53F15DC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-0.60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509" w:type="pct"/>
            <w:vAlign w:val="top"/>
          </w:tcPr>
          <w:p w14:paraId="6020C703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-14.5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48</w:t>
            </w:r>
          </w:p>
        </w:tc>
        <w:tc>
          <w:tcPr>
            <w:tcW w:w="792" w:type="pct"/>
            <w:vAlign w:val="top"/>
          </w:tcPr>
          <w:p w14:paraId="0EBC6DB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685, -0.522)</w:t>
            </w:r>
          </w:p>
        </w:tc>
      </w:tr>
      <w:tr w14:paraId="744AAF69">
        <w:trPr>
          <w:trHeight w:val="284" w:hRule="atLeast"/>
          <w:jc w:val="center"/>
        </w:trPr>
        <w:tc>
          <w:tcPr>
            <w:tcW w:w="1127" w:type="pct"/>
            <w:vAlign w:val="top"/>
          </w:tcPr>
          <w:p w14:paraId="150E5DB7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2" w:type="pct"/>
            <w:vAlign w:val="top"/>
          </w:tcPr>
          <w:p w14:paraId="3FB6C633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Frailty</w:t>
            </w:r>
          </w:p>
        </w:tc>
        <w:tc>
          <w:tcPr>
            <w:tcW w:w="399" w:type="pct"/>
            <w:vAlign w:val="top"/>
          </w:tcPr>
          <w:p w14:paraId="641F0E3D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81" w:type="pct"/>
            <w:vAlign w:val="top"/>
          </w:tcPr>
          <w:p w14:paraId="7BF0FB87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74" w:type="pct"/>
            <w:vAlign w:val="top"/>
          </w:tcPr>
          <w:p w14:paraId="4933A05A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20" w:type="pct"/>
            <w:vAlign w:val="top"/>
          </w:tcPr>
          <w:p w14:paraId="29A67A54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0.726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509" w:type="pct"/>
            <w:vAlign w:val="top"/>
          </w:tcPr>
          <w:p w14:paraId="299909F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31.197</w:t>
            </w:r>
          </w:p>
        </w:tc>
        <w:tc>
          <w:tcPr>
            <w:tcW w:w="792" w:type="pct"/>
            <w:vAlign w:val="top"/>
          </w:tcPr>
          <w:p w14:paraId="6ACBDDC1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0.203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0.230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1278A16B">
        <w:trPr>
          <w:trHeight w:val="307" w:hRule="atLeast"/>
          <w:jc w:val="center"/>
        </w:trPr>
        <w:tc>
          <w:tcPr>
            <w:tcW w:w="1127" w:type="pct"/>
            <w:vAlign w:val="top"/>
          </w:tcPr>
          <w:p w14:paraId="75EA71DC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Depressive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symptoms</w:t>
            </w:r>
          </w:p>
        </w:tc>
        <w:tc>
          <w:tcPr>
            <w:tcW w:w="792" w:type="pct"/>
            <w:vAlign w:val="top"/>
          </w:tcPr>
          <w:p w14:paraId="18259BC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Sleep duration</w:t>
            </w:r>
          </w:p>
        </w:tc>
        <w:tc>
          <w:tcPr>
            <w:tcW w:w="1132" w:type="dxa"/>
            <w:vAlign w:val="top"/>
          </w:tcPr>
          <w:p w14:paraId="54EBB2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0.56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  <w:tc>
          <w:tcPr>
            <w:tcW w:w="1081" w:type="dxa"/>
            <w:vAlign w:val="top"/>
          </w:tcPr>
          <w:p w14:paraId="2ADD85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0.31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4</w:t>
            </w:r>
          </w:p>
        </w:tc>
        <w:tc>
          <w:tcPr>
            <w:tcW w:w="1345" w:type="dxa"/>
            <w:vAlign w:val="top"/>
          </w:tcPr>
          <w:p w14:paraId="5469A2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212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062</w:t>
            </w:r>
          </w:p>
        </w:tc>
        <w:tc>
          <w:tcPr>
            <w:tcW w:w="1475" w:type="dxa"/>
            <w:vAlign w:val="top"/>
          </w:tcPr>
          <w:p w14:paraId="34C04E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-0.5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48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444" w:type="dxa"/>
            <w:vAlign w:val="top"/>
          </w:tcPr>
          <w:p w14:paraId="4F1C78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-13.4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05</w:t>
            </w:r>
          </w:p>
        </w:tc>
        <w:tc>
          <w:tcPr>
            <w:tcW w:w="2247" w:type="dxa"/>
            <w:vAlign w:val="top"/>
          </w:tcPr>
          <w:p w14:paraId="7A118C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(-0.6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28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, -0.4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68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0CDA11C4">
        <w:trPr>
          <w:trHeight w:val="336" w:hRule="atLeast"/>
          <w:jc w:val="center"/>
        </w:trPr>
        <w:tc>
          <w:tcPr>
            <w:tcW w:w="1127" w:type="pct"/>
            <w:vAlign w:val="top"/>
          </w:tcPr>
          <w:p w14:paraId="1CDBA8C1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2" w:type="pct"/>
            <w:vAlign w:val="top"/>
          </w:tcPr>
          <w:p w14:paraId="6630C8CE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SRH</w:t>
            </w:r>
          </w:p>
        </w:tc>
        <w:tc>
          <w:tcPr>
            <w:tcW w:w="1132" w:type="dxa"/>
            <w:vAlign w:val="top"/>
          </w:tcPr>
          <w:p w14:paraId="269095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081" w:type="dxa"/>
            <w:vAlign w:val="top"/>
          </w:tcPr>
          <w:p w14:paraId="6FEE03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345" w:type="dxa"/>
            <w:vAlign w:val="top"/>
          </w:tcPr>
          <w:p w14:paraId="003EBA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475" w:type="dxa"/>
            <w:vAlign w:val="top"/>
          </w:tcPr>
          <w:p w14:paraId="4F4A96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-1.3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444" w:type="dxa"/>
            <w:vAlign w:val="top"/>
          </w:tcPr>
          <w:p w14:paraId="2B06AF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-14.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273</w:t>
            </w:r>
          </w:p>
        </w:tc>
        <w:tc>
          <w:tcPr>
            <w:tcW w:w="2247" w:type="dxa"/>
            <w:vAlign w:val="top"/>
          </w:tcPr>
          <w:p w14:paraId="375293E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(-1.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488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, -1.1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29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1E7E1152">
        <w:trPr>
          <w:trHeight w:val="325" w:hRule="atLeast"/>
          <w:jc w:val="center"/>
        </w:trPr>
        <w:tc>
          <w:tcPr>
            <w:tcW w:w="1127" w:type="pct"/>
            <w:vAlign w:val="top"/>
          </w:tcPr>
          <w:p w14:paraId="5D018E0C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92" w:type="pct"/>
            <w:vAlign w:val="top"/>
          </w:tcPr>
          <w:p w14:paraId="42021AD0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Frailty</w:t>
            </w:r>
          </w:p>
        </w:tc>
        <w:tc>
          <w:tcPr>
            <w:tcW w:w="1132" w:type="dxa"/>
            <w:vAlign w:val="top"/>
          </w:tcPr>
          <w:p w14:paraId="0266909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081" w:type="dxa"/>
            <w:vAlign w:val="top"/>
          </w:tcPr>
          <w:p w14:paraId="6518129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345" w:type="dxa"/>
            <w:vAlign w:val="top"/>
          </w:tcPr>
          <w:p w14:paraId="3777B5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475" w:type="dxa"/>
            <w:vAlign w:val="top"/>
          </w:tcPr>
          <w:p w14:paraId="51D771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161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444" w:type="dxa"/>
            <w:vAlign w:val="top"/>
          </w:tcPr>
          <w:p w14:paraId="7A579C7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20.5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58</w:t>
            </w:r>
          </w:p>
        </w:tc>
        <w:tc>
          <w:tcPr>
            <w:tcW w:w="2247" w:type="dxa"/>
            <w:vAlign w:val="top"/>
          </w:tcPr>
          <w:p w14:paraId="340941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146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, 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176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</w:tbl>
    <w:p w14:paraId="58F11C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vertAlign w:val="superscript"/>
          <w:lang w:val="en-US" w:eastAsia="zh-CN" w:bidi="ar"/>
        </w:rPr>
        <w:t xml:space="preserve">*** 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P&lt;0.001; CI</w:t>
      </w: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: 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Confidence interval</w:t>
      </w: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B: Unstandardised coefficient; SRH: Self-Rated Health; Sleep duration: The unit of measurement is hours;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>FI is calculated as (total deficits / 30 items) × 100; The score ranges of the CESD-10, SRH, and FI are 0–30, 1–5, and 0–100, respectively.</w:t>
      </w:r>
    </w:p>
    <w:p w14:paraId="18A87C6C">
      <w:pP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</w:pPr>
    </w:p>
    <w:p w14:paraId="3C876694">
      <w:pPr>
        <w:spacing w:line="480" w:lineRule="auto"/>
        <w:jc w:val="left"/>
        <w:rPr>
          <w:rFonts w:ascii="Times New Roman" w:hAnsi="Times New Roman" w:eastAsia="宋体" w:cs="Times New Roman"/>
          <w:color w:val="2A2B2E"/>
          <w:sz w:val="24"/>
          <w:highlight w:val="none"/>
          <w:shd w:val="clear" w:color="auto" w:fill="FFFFFF"/>
        </w:rPr>
      </w:pPr>
    </w:p>
    <w:p w14:paraId="64684802">
      <w:r>
        <w:br w:type="page"/>
      </w:r>
    </w:p>
    <w:p w14:paraId="4C6204B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 xml:space="preserve">Supplementary </w:t>
      </w:r>
      <w:r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>T</w:t>
      </w:r>
      <w:r>
        <w:rPr>
          <w:rFonts w:hint="eastAsia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>able 4. Results of mediating effect analysis of two simple mediation models and the chain mediation model</w:t>
      </w:r>
    </w:p>
    <w:tbl>
      <w:tblPr>
        <w:tblStyle w:val="3"/>
        <w:tblW w:w="4996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  <w:gridCol w:w="4786"/>
        <w:gridCol w:w="1145"/>
        <w:gridCol w:w="1015"/>
        <w:gridCol w:w="1488"/>
        <w:gridCol w:w="2174"/>
      </w:tblGrid>
      <w:tr w14:paraId="09DB4F2B">
        <w:trPr>
          <w:trHeight w:val="481" w:hRule="atLeast"/>
          <w:jc w:val="center"/>
        </w:trPr>
        <w:tc>
          <w:tcPr>
            <w:tcW w:w="1255" w:type="pct"/>
            <w:tcBorders>
              <w:bottom w:val="single" w:color="auto" w:sz="4" w:space="0"/>
            </w:tcBorders>
            <w:vAlign w:val="center"/>
          </w:tcPr>
          <w:p w14:paraId="29893AE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Model identifier</w:t>
            </w:r>
          </w:p>
        </w:tc>
        <w:tc>
          <w:tcPr>
            <w:tcW w:w="1689" w:type="pct"/>
            <w:tcBorders>
              <w:bottom w:val="single" w:color="auto" w:sz="4" w:space="0"/>
            </w:tcBorders>
            <w:vAlign w:val="center"/>
          </w:tcPr>
          <w:p w14:paraId="48C3E5D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Model pathways</w:t>
            </w:r>
          </w:p>
        </w:tc>
        <w:tc>
          <w:tcPr>
            <w:tcW w:w="404" w:type="pct"/>
            <w:tcBorders>
              <w:bottom w:val="single" w:color="auto" w:sz="4" w:space="0"/>
            </w:tcBorders>
            <w:vAlign w:val="center"/>
          </w:tcPr>
          <w:p w14:paraId="0ACF1F1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  <w:lang w:val="en-US"/>
              </w:rPr>
              <w:t>B</w:t>
            </w:r>
          </w:p>
        </w:tc>
        <w:tc>
          <w:tcPr>
            <w:tcW w:w="358" w:type="pct"/>
            <w:tcBorders>
              <w:bottom w:val="single" w:color="auto" w:sz="4" w:space="0"/>
            </w:tcBorders>
            <w:vAlign w:val="center"/>
          </w:tcPr>
          <w:p w14:paraId="3EE5DFC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SE</w:t>
            </w:r>
          </w:p>
        </w:tc>
        <w:tc>
          <w:tcPr>
            <w:tcW w:w="525" w:type="pct"/>
            <w:tcBorders>
              <w:bottom w:val="single" w:color="auto" w:sz="4" w:space="0"/>
            </w:tcBorders>
          </w:tcPr>
          <w:p w14:paraId="49A030C8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Mediating effect</w:t>
            </w:r>
          </w:p>
        </w:tc>
        <w:tc>
          <w:tcPr>
            <w:tcW w:w="767" w:type="pct"/>
            <w:tcBorders>
              <w:bottom w:val="single" w:color="auto" w:sz="4" w:space="0"/>
            </w:tcBorders>
          </w:tcPr>
          <w:p w14:paraId="497AB4A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 Bold" w:hAnsi="Times New Roman Bold" w:eastAsia="T" w:cs="Times New Roman Bold"/>
                <w:b/>
                <w:bCs w:val="0"/>
                <w:i/>
                <w:iCs w:val="0"/>
                <w:color w:val="2A2B2E"/>
                <w:sz w:val="22"/>
                <w:szCs w:val="22"/>
                <w:shd w:val="clear" w:color="auto" w:fill="FFFFFF"/>
              </w:rPr>
              <w:t>95%</w:t>
            </w:r>
            <w:r>
              <w:rPr>
                <w:rFonts w:hint="default" w:ascii="Times New Roman Bold" w:hAnsi="Times New Roman Bold" w:eastAsia="T" w:cs="Times New Roman Bold"/>
                <w:b/>
                <w:bCs w:val="0"/>
                <w:i/>
                <w:iCs w:val="0"/>
                <w:color w:val="2A2B2E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 Bold" w:hAnsi="Times New Roman Bold" w:eastAsia="T" w:cs="Times New Roman Bold"/>
                <w:b/>
                <w:bCs w:val="0"/>
                <w:i/>
                <w:iCs w:val="0"/>
                <w:color w:val="2A2B2E"/>
                <w:sz w:val="22"/>
                <w:szCs w:val="22"/>
                <w:shd w:val="clear" w:color="auto" w:fill="FFFFFF"/>
              </w:rPr>
              <w:t>CI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kern w:val="2"/>
                <w:sz w:val="24"/>
                <w:szCs w:val="24"/>
                <w:shd w:val="clear" w:fill="FFFFFF"/>
                <w:lang w:val="en-US" w:eastAsia="zh-CN" w:bidi="ar"/>
              </w:rPr>
              <w:t xml:space="preserve">(Bootstrap,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5000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)</w:t>
            </w:r>
          </w:p>
        </w:tc>
      </w:tr>
      <w:tr w14:paraId="392D6323">
        <w:trPr>
          <w:trHeight w:val="648" w:hRule="atLeast"/>
          <w:jc w:val="center"/>
        </w:trPr>
        <w:tc>
          <w:tcPr>
            <w:tcW w:w="1255" w:type="pct"/>
            <w:tcBorders>
              <w:top w:val="single" w:color="auto" w:sz="4" w:space="0"/>
            </w:tcBorders>
          </w:tcPr>
          <w:p w14:paraId="3598AA16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 xml:space="preserve">Total effect </w:t>
            </w:r>
          </w:p>
        </w:tc>
        <w:tc>
          <w:tcPr>
            <w:tcW w:w="1689" w:type="pct"/>
            <w:tcBorders>
              <w:top w:val="single" w:color="auto" w:sz="4" w:space="0"/>
            </w:tcBorders>
          </w:tcPr>
          <w:p w14:paraId="39F13448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leep duration → depressive symptoms</w:t>
            </w:r>
          </w:p>
        </w:tc>
        <w:tc>
          <w:tcPr>
            <w:tcW w:w="1145" w:type="dxa"/>
            <w:tcBorders>
              <w:top w:val="single" w:color="auto" w:sz="4" w:space="0"/>
            </w:tcBorders>
            <w:vAlign w:val="top"/>
          </w:tcPr>
          <w:p w14:paraId="629BADB4">
            <w:pPr>
              <w:spacing w:line="48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-0.8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66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015" w:type="dxa"/>
            <w:tcBorders>
              <w:top w:val="single" w:color="auto" w:sz="4" w:space="0"/>
            </w:tcBorders>
            <w:vAlign w:val="top"/>
          </w:tcPr>
          <w:p w14:paraId="2157E600">
            <w:pPr>
              <w:spacing w:line="48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0.044</w:t>
            </w:r>
          </w:p>
        </w:tc>
        <w:tc>
          <w:tcPr>
            <w:tcW w:w="1488" w:type="dxa"/>
            <w:tcBorders>
              <w:top w:val="single" w:color="auto" w:sz="4" w:space="0"/>
            </w:tcBorders>
            <w:vAlign w:val="top"/>
          </w:tcPr>
          <w:p w14:paraId="11CAA5BD">
            <w:pPr>
              <w:spacing w:line="48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100%</w:t>
            </w:r>
          </w:p>
        </w:tc>
        <w:tc>
          <w:tcPr>
            <w:tcW w:w="2174" w:type="dxa"/>
            <w:tcBorders>
              <w:top w:val="single" w:color="auto" w:sz="4" w:space="0"/>
            </w:tcBorders>
            <w:vAlign w:val="top"/>
          </w:tcPr>
          <w:p w14:paraId="6C2C06DA">
            <w:pPr>
              <w:spacing w:line="48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953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779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3C02EDC6">
        <w:trPr>
          <w:trHeight w:val="648" w:hRule="atLeast"/>
          <w:jc w:val="center"/>
        </w:trPr>
        <w:tc>
          <w:tcPr>
            <w:tcW w:w="1255" w:type="pct"/>
          </w:tcPr>
          <w:p w14:paraId="4037055C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Simple mediation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model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(Mediator: SRH)</w:t>
            </w:r>
          </w:p>
          <w:p w14:paraId="4EFA50D4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89" w:type="pct"/>
          </w:tcPr>
          <w:p w14:paraId="038F9BAF">
            <w:pPr>
              <w:spacing w:line="240" w:lineRule="auto"/>
              <w:jc w:val="left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Path: Sleep duration → SRH → depressive symptoms</w:t>
            </w:r>
          </w:p>
        </w:tc>
        <w:tc>
          <w:tcPr>
            <w:tcW w:w="404" w:type="pct"/>
            <w:vAlign w:val="center"/>
          </w:tcPr>
          <w:p w14:paraId="11D7079A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211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358" w:type="pct"/>
            <w:vAlign w:val="center"/>
          </w:tcPr>
          <w:p w14:paraId="0641B9D5">
            <w:pPr>
              <w:spacing w:line="240" w:lineRule="auto"/>
              <w:jc w:val="both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0.01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8</w:t>
            </w:r>
          </w:p>
        </w:tc>
        <w:tc>
          <w:tcPr>
            <w:tcW w:w="525" w:type="pct"/>
            <w:vAlign w:val="center"/>
          </w:tcPr>
          <w:p w14:paraId="161EEFD1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.4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767" w:type="pct"/>
            <w:vAlign w:val="center"/>
          </w:tcPr>
          <w:p w14:paraId="6205A7F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(-0.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46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, -0.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77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705FD3F4">
        <w:trPr>
          <w:trHeight w:val="648" w:hRule="atLeast"/>
          <w:jc w:val="center"/>
        </w:trPr>
        <w:tc>
          <w:tcPr>
            <w:tcW w:w="1255" w:type="pct"/>
          </w:tcPr>
          <w:p w14:paraId="487484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Simple mediation</w:t>
            </w:r>
            <w:r>
              <w:rPr>
                <w:rFonts w:hint="eastAsia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 xml:space="preserve"> model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 xml:space="preserve"> (Mediator: Frailty)</w:t>
            </w:r>
          </w:p>
        </w:tc>
        <w:tc>
          <w:tcPr>
            <w:tcW w:w="1689" w:type="pct"/>
          </w:tcPr>
          <w:p w14:paraId="359EF3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Path: Sleep duration → Frailty → depressive symptoms</w:t>
            </w:r>
          </w:p>
        </w:tc>
        <w:tc>
          <w:tcPr>
            <w:tcW w:w="404" w:type="pct"/>
            <w:vAlign w:val="center"/>
          </w:tcPr>
          <w:p w14:paraId="7931B0A9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-0.262</w:t>
            </w:r>
            <w:r>
              <w:rPr>
                <w:rFonts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358" w:type="pct"/>
            <w:vAlign w:val="center"/>
          </w:tcPr>
          <w:p w14:paraId="771BAD4D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0.022</w:t>
            </w:r>
          </w:p>
        </w:tc>
        <w:tc>
          <w:tcPr>
            <w:tcW w:w="525" w:type="pct"/>
            <w:vAlign w:val="center"/>
          </w:tcPr>
          <w:p w14:paraId="436BA68F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30.3%</w:t>
            </w:r>
          </w:p>
        </w:tc>
        <w:tc>
          <w:tcPr>
            <w:tcW w:w="767" w:type="pct"/>
            <w:vAlign w:val="center"/>
          </w:tcPr>
          <w:p w14:paraId="64B6B093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(-0.307, -0.220)</w:t>
            </w:r>
          </w:p>
        </w:tc>
      </w:tr>
      <w:tr w14:paraId="7F40873D">
        <w:trPr>
          <w:trHeight w:val="648" w:hRule="atLeast"/>
          <w:jc w:val="center"/>
        </w:trPr>
        <w:tc>
          <w:tcPr>
            <w:tcW w:w="1255" w:type="pct"/>
            <w:vAlign w:val="top"/>
          </w:tcPr>
          <w:p w14:paraId="77BEE3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Chain mediation</w:t>
            </w:r>
            <w:r>
              <w:rPr>
                <w:rFonts w:hint="eastAsia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 xml:space="preserve"> model</w:t>
            </w:r>
          </w:p>
        </w:tc>
        <w:tc>
          <w:tcPr>
            <w:tcW w:w="1689" w:type="pct"/>
            <w:vAlign w:val="top"/>
          </w:tcPr>
          <w:p w14:paraId="4013A1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Path: Sleep duration → SRH → frailty → depressive symptoms</w:t>
            </w:r>
          </w:p>
        </w:tc>
        <w:tc>
          <w:tcPr>
            <w:tcW w:w="1145" w:type="dxa"/>
            <w:vAlign w:val="top"/>
          </w:tcPr>
          <w:p w14:paraId="15006F45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318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015" w:type="dxa"/>
            <w:vAlign w:val="top"/>
          </w:tcPr>
          <w:p w14:paraId="47D23015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0.02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4</w:t>
            </w:r>
          </w:p>
        </w:tc>
        <w:tc>
          <w:tcPr>
            <w:tcW w:w="1488" w:type="dxa"/>
            <w:vAlign w:val="top"/>
          </w:tcPr>
          <w:p w14:paraId="3D62CB9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36.7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%</w:t>
            </w:r>
          </w:p>
        </w:tc>
        <w:tc>
          <w:tcPr>
            <w:tcW w:w="2174" w:type="dxa"/>
            <w:vAlign w:val="top"/>
          </w:tcPr>
          <w:p w14:paraId="14997E4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(-0.3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67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, -0.2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  <w:lang w:val="en-US"/>
              </w:rPr>
              <w:t>72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</w:tbl>
    <w:p w14:paraId="34FEE33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The 95% CI does not include 0</w:t>
      </w: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; CI: Confidence interval; 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B: Unstandardised coefficient;</w:t>
      </w: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SE: Standard error; SRH: Self-Rated Health; Sleep duration: The unit of measurement is hours;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>FI is calculated as (total deficits / 30 items) × 100; The score ranges of the CESD-10, SRH, and FI are 0–30, 1–5, and 0–100, respectively.</w:t>
      </w:r>
    </w:p>
    <w:p w14:paraId="7E00B910">
      <w:pP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br w:type="page"/>
      </w:r>
    </w:p>
    <w:p w14:paraId="44CEDAD8">
      <w:pPr>
        <w:spacing w:line="480" w:lineRule="auto"/>
        <w:jc w:val="center"/>
        <w:rPr>
          <w:rFonts w:hint="default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 w:eastAsia="zh-CN"/>
        </w:rPr>
      </w:pPr>
      <w:r>
        <w:rPr>
          <w:rFonts w:hint="eastAsia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 xml:space="preserve">Supplementary </w:t>
      </w:r>
      <w:r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>T</w:t>
      </w:r>
      <w:r>
        <w:rPr>
          <w:rFonts w:hint="eastAsia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>able 5.</w:t>
      </w:r>
      <w:r>
        <w:rPr>
          <w:rFonts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</w:rPr>
        <w:t xml:space="preserve"> The effects of sleep duration on depressive symptoms with SRH and frailty as mediators</w:t>
      </w:r>
      <w:r>
        <w:rPr>
          <w:rFonts w:hint="eastAsia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 w:eastAsia="zh-CN"/>
        </w:rPr>
        <w:t xml:space="preserve">(Multiple imputation was performed on the missing covariates, </w:t>
      </w:r>
      <w:bookmarkStart w:id="1" w:name="_GoBack"/>
      <w:r>
        <w:rPr>
          <w:rFonts w:hint="default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 w:eastAsia="zh-CN"/>
        </w:rPr>
        <w:t>N=8312</w:t>
      </w:r>
      <w:bookmarkEnd w:id="1"/>
      <w:r>
        <w:rPr>
          <w:rFonts w:hint="default" w:ascii="Times New Roman Bold" w:hAnsi="Times New Roman Bold" w:eastAsia="宋体" w:cs="Times New Roman Bold"/>
          <w:b/>
          <w:bCs/>
          <w:color w:val="2A2B2E"/>
          <w:sz w:val="24"/>
          <w:shd w:val="clear" w:color="auto" w:fill="FFFFFF"/>
          <w:lang w:val="en-US" w:eastAsia="zh-CN"/>
        </w:rPr>
        <w:t>)</w:t>
      </w:r>
    </w:p>
    <w:tbl>
      <w:tblPr>
        <w:tblStyle w:val="3"/>
        <w:tblW w:w="1193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3"/>
        <w:gridCol w:w="1007"/>
        <w:gridCol w:w="892"/>
        <w:gridCol w:w="1308"/>
        <w:gridCol w:w="1910"/>
      </w:tblGrid>
      <w:tr w14:paraId="4FD8A0AB">
        <w:trPr>
          <w:trHeight w:val="692" w:hRule="atLeast"/>
          <w:jc w:val="center"/>
        </w:trPr>
        <w:tc>
          <w:tcPr>
            <w:tcW w:w="6813" w:type="dxa"/>
            <w:tcBorders>
              <w:bottom w:val="single" w:color="auto" w:sz="4" w:space="0"/>
            </w:tcBorders>
          </w:tcPr>
          <w:p w14:paraId="01F3B7E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  <w:t>Model pathways</w:t>
            </w:r>
          </w:p>
        </w:tc>
        <w:tc>
          <w:tcPr>
            <w:tcW w:w="1007" w:type="dxa"/>
            <w:tcBorders>
              <w:bottom w:val="single" w:color="auto" w:sz="4" w:space="0"/>
            </w:tcBorders>
          </w:tcPr>
          <w:p w14:paraId="1ACB256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4"/>
                <w:shd w:val="clear" w:color="auto" w:fill="FFFFFF"/>
              </w:rPr>
              <w:t>B</w:t>
            </w:r>
          </w:p>
        </w:tc>
        <w:tc>
          <w:tcPr>
            <w:tcW w:w="892" w:type="dxa"/>
            <w:tcBorders>
              <w:bottom w:val="single" w:color="auto" w:sz="4" w:space="0"/>
            </w:tcBorders>
          </w:tcPr>
          <w:p w14:paraId="0EE56CE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  <w:t>SE</w:t>
            </w:r>
          </w:p>
        </w:tc>
        <w:tc>
          <w:tcPr>
            <w:tcW w:w="1308" w:type="dxa"/>
            <w:tcBorders>
              <w:bottom w:val="single" w:color="auto" w:sz="4" w:space="0"/>
            </w:tcBorders>
          </w:tcPr>
          <w:p w14:paraId="5B23F64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  <w:t>Mediating effect</w:t>
            </w:r>
          </w:p>
        </w:tc>
        <w:tc>
          <w:tcPr>
            <w:tcW w:w="1910" w:type="dxa"/>
            <w:tcBorders>
              <w:bottom w:val="single" w:color="auto" w:sz="4" w:space="0"/>
            </w:tcBorders>
          </w:tcPr>
          <w:p w14:paraId="2ACFB31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2A2B2E"/>
                <w:sz w:val="24"/>
                <w:shd w:val="clear" w:color="auto" w:fill="FFFFFF"/>
              </w:rPr>
              <w:t>95%CI</w:t>
            </w:r>
          </w:p>
        </w:tc>
      </w:tr>
      <w:tr w14:paraId="5C651E84">
        <w:trPr>
          <w:trHeight w:val="648" w:hRule="atLeast"/>
          <w:jc w:val="center"/>
        </w:trPr>
        <w:tc>
          <w:tcPr>
            <w:tcW w:w="6813" w:type="dxa"/>
            <w:tcBorders>
              <w:top w:val="single" w:color="auto" w:sz="4" w:space="0"/>
            </w:tcBorders>
          </w:tcPr>
          <w:p w14:paraId="25C66CC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Total effect sleep duration → depressive symptoms</w:t>
            </w:r>
          </w:p>
        </w:tc>
        <w:tc>
          <w:tcPr>
            <w:tcW w:w="1007" w:type="dxa"/>
            <w:tcBorders>
              <w:top w:val="single" w:color="auto" w:sz="4" w:space="0"/>
            </w:tcBorders>
          </w:tcPr>
          <w:p w14:paraId="33BDF60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613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  <w:tcBorders>
              <w:top w:val="single" w:color="auto" w:sz="4" w:space="0"/>
            </w:tcBorders>
          </w:tcPr>
          <w:p w14:paraId="39846F6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1308" w:type="dxa"/>
            <w:tcBorders>
              <w:top w:val="single" w:color="auto" w:sz="4" w:space="0"/>
            </w:tcBorders>
            <w:vAlign w:val="top"/>
          </w:tcPr>
          <w:p w14:paraId="4C8B4C5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100%</w:t>
            </w:r>
          </w:p>
        </w:tc>
        <w:tc>
          <w:tcPr>
            <w:tcW w:w="1910" w:type="dxa"/>
            <w:tcBorders>
              <w:top w:val="single" w:color="auto" w:sz="4" w:space="0"/>
            </w:tcBorders>
          </w:tcPr>
          <w:p w14:paraId="74CF4FA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(-0.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671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, 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556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)</w:t>
            </w:r>
          </w:p>
        </w:tc>
      </w:tr>
      <w:tr w14:paraId="76DF0BE5">
        <w:trPr>
          <w:trHeight w:val="648" w:hRule="atLeast"/>
          <w:jc w:val="center"/>
        </w:trPr>
        <w:tc>
          <w:tcPr>
            <w:tcW w:w="6813" w:type="dxa"/>
          </w:tcPr>
          <w:p w14:paraId="096B8FB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Direct effect sleep duration → depressive symptoms</w:t>
            </w:r>
          </w:p>
        </w:tc>
        <w:tc>
          <w:tcPr>
            <w:tcW w:w="1007" w:type="dxa"/>
          </w:tcPr>
          <w:p w14:paraId="1A85C7E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423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627132C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1308" w:type="dxa"/>
            <w:vAlign w:val="top"/>
          </w:tcPr>
          <w:p w14:paraId="4942BF6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69.00%</w:t>
            </w:r>
          </w:p>
        </w:tc>
        <w:tc>
          <w:tcPr>
            <w:tcW w:w="1910" w:type="dxa"/>
          </w:tcPr>
          <w:p w14:paraId="2649C51E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(-0.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478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, 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368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)</w:t>
            </w:r>
          </w:p>
        </w:tc>
      </w:tr>
      <w:tr w14:paraId="1757C808">
        <w:trPr>
          <w:trHeight w:val="648" w:hRule="atLeast"/>
          <w:jc w:val="center"/>
        </w:trPr>
        <w:tc>
          <w:tcPr>
            <w:tcW w:w="6813" w:type="dxa"/>
          </w:tcPr>
          <w:p w14:paraId="065D6A9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Total indirect effect sleep duration → depressive symptoms</w:t>
            </w:r>
          </w:p>
        </w:tc>
        <w:tc>
          <w:tcPr>
            <w:tcW w:w="1007" w:type="dxa"/>
          </w:tcPr>
          <w:p w14:paraId="37CBBCB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190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70A80C9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1308" w:type="dxa"/>
            <w:vAlign w:val="top"/>
          </w:tcPr>
          <w:p w14:paraId="1158587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31.00%</w:t>
            </w:r>
          </w:p>
        </w:tc>
        <w:tc>
          <w:tcPr>
            <w:tcW w:w="1910" w:type="dxa"/>
          </w:tcPr>
          <w:p w14:paraId="6DABA7F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(-0.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216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, 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165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)</w:t>
            </w:r>
          </w:p>
        </w:tc>
      </w:tr>
      <w:tr w14:paraId="6CB54FBD">
        <w:trPr>
          <w:trHeight w:val="648" w:hRule="atLeast"/>
          <w:jc w:val="center"/>
        </w:trPr>
        <w:tc>
          <w:tcPr>
            <w:tcW w:w="6813" w:type="dxa"/>
          </w:tcPr>
          <w:p w14:paraId="14784FF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Path 1: Sleep duration → SRH → depressive symptoms</w:t>
            </w:r>
          </w:p>
        </w:tc>
        <w:tc>
          <w:tcPr>
            <w:tcW w:w="1007" w:type="dxa"/>
          </w:tcPr>
          <w:p w14:paraId="5E792EF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055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789C57E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06</w:t>
            </w:r>
          </w:p>
        </w:tc>
        <w:tc>
          <w:tcPr>
            <w:tcW w:w="1308" w:type="dxa"/>
            <w:vAlign w:val="top"/>
          </w:tcPr>
          <w:p w14:paraId="63DB4C67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8.97%</w:t>
            </w:r>
          </w:p>
        </w:tc>
        <w:tc>
          <w:tcPr>
            <w:tcW w:w="1910" w:type="dxa"/>
          </w:tcPr>
          <w:p w14:paraId="1DAEB1A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(-0.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068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, -0.0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43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)</w:t>
            </w:r>
          </w:p>
        </w:tc>
      </w:tr>
      <w:tr w14:paraId="7FB0772B">
        <w:trPr>
          <w:trHeight w:val="648" w:hRule="atLeast"/>
          <w:jc w:val="center"/>
        </w:trPr>
        <w:tc>
          <w:tcPr>
            <w:tcW w:w="6813" w:type="dxa"/>
          </w:tcPr>
          <w:p w14:paraId="31157A5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Path 2: Sleep duration → frailty → depressive symptoms</w:t>
            </w:r>
          </w:p>
        </w:tc>
        <w:tc>
          <w:tcPr>
            <w:tcW w:w="1007" w:type="dxa"/>
          </w:tcPr>
          <w:p w14:paraId="696BCF8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076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65C66543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09</w:t>
            </w:r>
          </w:p>
        </w:tc>
        <w:tc>
          <w:tcPr>
            <w:tcW w:w="1308" w:type="dxa"/>
            <w:vAlign w:val="top"/>
          </w:tcPr>
          <w:p w14:paraId="03B7D79B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12.40%</w:t>
            </w:r>
          </w:p>
        </w:tc>
        <w:tc>
          <w:tcPr>
            <w:tcW w:w="1910" w:type="dxa"/>
          </w:tcPr>
          <w:p w14:paraId="387576B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(-0.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093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, -0.0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58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)</w:t>
            </w:r>
          </w:p>
        </w:tc>
      </w:tr>
      <w:tr w14:paraId="2293F6E7">
        <w:trPr>
          <w:trHeight w:val="658" w:hRule="atLeast"/>
          <w:jc w:val="center"/>
        </w:trPr>
        <w:tc>
          <w:tcPr>
            <w:tcW w:w="6813" w:type="dxa"/>
          </w:tcPr>
          <w:p w14:paraId="57B6474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Path 3: Sleep duration → SRH → frailty → depressive symptoms</w:t>
            </w:r>
          </w:p>
        </w:tc>
        <w:tc>
          <w:tcPr>
            <w:tcW w:w="1007" w:type="dxa"/>
          </w:tcPr>
          <w:p w14:paraId="362EF432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-0.0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60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5C3F0DF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0.00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308" w:type="dxa"/>
            <w:vAlign w:val="top"/>
          </w:tcPr>
          <w:p w14:paraId="2D11793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9.79%</w:t>
            </w:r>
          </w:p>
        </w:tc>
        <w:tc>
          <w:tcPr>
            <w:tcW w:w="1910" w:type="dxa"/>
          </w:tcPr>
          <w:p w14:paraId="74EFB8D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(-0.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070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, -0.0</w:t>
            </w:r>
            <w:r>
              <w:rPr>
                <w:rFonts w:hint="eastAsia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  <w:lang w:val="en-US" w:eastAsia="zh-CN"/>
              </w:rPr>
              <w:t>50</w:t>
            </w:r>
            <w:r>
              <w:rPr>
                <w:rFonts w:hint="default" w:ascii="Times New Roman Regular" w:hAnsi="Times New Roman Regular" w:eastAsia="宋体" w:cs="Times New Roman Regular"/>
                <w:color w:val="2A2B2E"/>
                <w:sz w:val="24"/>
                <w:shd w:val="clear" w:color="auto" w:fill="FFFFFF"/>
              </w:rPr>
              <w:t>)</w:t>
            </w:r>
          </w:p>
        </w:tc>
      </w:tr>
    </w:tbl>
    <w:p w14:paraId="188D31CF">
      <w:pPr>
        <w:spacing w:line="480" w:lineRule="auto"/>
        <w:jc w:val="left"/>
      </w:pPr>
      <w:r>
        <w:rPr>
          <w:rFonts w:ascii="Times New Roman Regular" w:hAnsi="Times New Roman Regular" w:eastAsia="宋体" w:cs="Times New Roman Regular"/>
          <w:color w:val="2A2B2E"/>
          <w:sz w:val="24"/>
          <w:shd w:val="clear" w:color="auto" w:fill="FFFFFF"/>
          <w:vertAlign w:val="superscript"/>
        </w:rPr>
        <w:t>a</w:t>
      </w:r>
      <w:r>
        <w:rPr>
          <w:rFonts w:hint="default" w:ascii="Times New Roman Regular" w:hAnsi="Times New Roman Regular" w:eastAsia="宋体" w:cs="Times New Roman Regular"/>
          <w:color w:val="2A2B2E"/>
          <w:sz w:val="24"/>
          <w:shd w:val="clear" w:color="auto" w:fill="FFFFFF"/>
          <w:vertAlign w:val="baseline"/>
          <w:lang w:val="en-US"/>
        </w:rPr>
        <w:t xml:space="preserve"> </w:t>
      </w:r>
      <w:r>
        <w:rPr>
          <w:rFonts w:hint="default" w:ascii="Times New Roman Regular" w:hAnsi="Times New Roman Regular" w:eastAsia="T" w:cs="Times New Roman Regular"/>
          <w:i/>
          <w:iCs w:val="0"/>
          <w:color w:val="2A2B2E"/>
          <w:sz w:val="24"/>
          <w:shd w:val="clear" w:color="auto" w:fill="FFFFFF"/>
        </w:rPr>
        <w:t>The 95% CI does not include 0;</w:t>
      </w:r>
      <w:r>
        <w:rPr>
          <w:rFonts w:hint="default" w:ascii="Times New Roman Regular" w:hAnsi="Times New Roman Regular" w:eastAsia="宋体" w:cs="Times New Roman Regular"/>
          <w:color w:val="2A2B2E"/>
          <w:sz w:val="24"/>
          <w:shd w:val="clear" w:color="auto" w:fill="FFFFFF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bCs w:val="0"/>
          <w:i/>
          <w:iCs/>
          <w:color w:val="2A2B2E"/>
          <w:sz w:val="24"/>
          <w:shd w:val="clear" w:color="auto" w:fill="FFFFFF"/>
        </w:rPr>
        <w:t>CI: Confidence interval; B: Unstandardised coefficient;</w:t>
      </w:r>
      <w:r>
        <w:rPr>
          <w:rFonts w:hint="default" w:ascii="Times New Roman Regular" w:hAnsi="Times New Roman Regular" w:eastAsia="宋体" w:cs="Times New Roman Regular"/>
          <w:b w:val="0"/>
          <w:bCs w:val="0"/>
          <w:i/>
          <w:iCs/>
          <w:color w:val="2A2B2E"/>
          <w:sz w:val="24"/>
          <w:shd w:val="clear" w:color="auto" w:fill="FFFFFF"/>
          <w:lang w:val="en-US"/>
        </w:rPr>
        <w:t xml:space="preserve"> SE: Standard error; </w:t>
      </w:r>
      <w:r>
        <w:rPr>
          <w:rFonts w:hint="default" w:ascii="Times New Roman Regular" w:hAnsi="Times New Roman Regular" w:eastAsia="宋体" w:cs="Times New Roman Regular"/>
          <w:b w:val="0"/>
          <w:bCs w:val="0"/>
          <w:i/>
          <w:iCs/>
          <w:color w:val="2A2B2E"/>
          <w:sz w:val="24"/>
          <w:shd w:val="clear" w:color="auto" w:fill="FFFFFF"/>
        </w:rPr>
        <w:t>SRH: Self-Rated Health</w:t>
      </w:r>
      <w:r>
        <w:rPr>
          <w:rFonts w:hint="default" w:ascii="Times New Roman Regular" w:hAnsi="Times New Roman Regular" w:eastAsia="宋体" w:cs="Times New Roman Regular"/>
          <w:b w:val="0"/>
          <w:bCs w:val="0"/>
          <w:i/>
          <w:iCs/>
          <w:color w:val="2A2B2E"/>
          <w:sz w:val="24"/>
          <w:shd w:val="clear" w:color="auto" w:fill="FFFFFF"/>
          <w:lang w:val="en-US"/>
        </w:rPr>
        <w:t xml:space="preserve">; Sleep duration: The unit of measurement is hours;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sz w:val="24"/>
          <w:highlight w:val="none"/>
          <w:shd w:val="clear" w:fill="FFFFFF"/>
          <w:lang w:bidi="ar"/>
        </w:rPr>
        <w:t>FI is calculated as (total deficits / 30 items) × 100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sz w:val="24"/>
          <w:highlight w:val="none"/>
          <w:shd w:val="clear" w:fill="FFFFFF"/>
          <w:lang w:val="en-US" w:bidi="ar"/>
        </w:rPr>
        <w:t xml:space="preserve">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highlight w:val="none"/>
          <w:shd w:val="clear" w:fill="FFFFFF"/>
          <w:lang w:val="en-US" w:eastAsia="zh-CN" w:bidi="ar"/>
        </w:rPr>
        <w:t>The score ranges of the CESD-10, SRH, and FI are 0–30, 1–5, and 0–100, respectively.</w:t>
      </w:r>
      <w:r>
        <w:br w:type="page"/>
      </w:r>
    </w:p>
    <w:p w14:paraId="17B7F9F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>6</w:t>
      </w:r>
      <w:r>
        <w:rPr>
          <w:rFonts w:hint="default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 xml:space="preserve">. Results of regression analysis in chain mediation model </w:t>
      </w:r>
      <w:r>
        <w:rPr>
          <w:rFonts w:hint="eastAsia" w:ascii="Times New Roman Bold" w:hAnsi="Times New Roman Bold" w:eastAsia="宋体" w:cs="Times New Roman Bold"/>
          <w:b/>
          <w:bCs/>
          <w:kern w:val="2"/>
          <w:sz w:val="24"/>
          <w:szCs w:val="24"/>
          <w:lang w:val="en-US" w:eastAsia="zh-CN" w:bidi="ar"/>
        </w:rPr>
        <w:t>2-5</w:t>
      </w:r>
    </w:p>
    <w:tbl>
      <w:tblPr>
        <w:tblStyle w:val="3"/>
        <w:tblW w:w="5124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1335"/>
        <w:gridCol w:w="1681"/>
        <w:gridCol w:w="1172"/>
        <w:gridCol w:w="1053"/>
        <w:gridCol w:w="1280"/>
        <w:gridCol w:w="1600"/>
        <w:gridCol w:w="1320"/>
        <w:gridCol w:w="2219"/>
      </w:tblGrid>
      <w:tr w14:paraId="1D111058">
        <w:trPr>
          <w:trHeight w:val="402" w:hRule="atLeast"/>
          <w:jc w:val="center"/>
        </w:trPr>
        <w:tc>
          <w:tcPr>
            <w:tcW w:w="986" w:type="pct"/>
            <w:tcBorders>
              <w:bottom w:val="single" w:color="auto" w:sz="4" w:space="0"/>
            </w:tcBorders>
          </w:tcPr>
          <w:p w14:paraId="2C62E9D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/>
              </w:rPr>
              <w:t>M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odel</w:t>
            </w:r>
          </w:p>
        </w:tc>
        <w:tc>
          <w:tcPr>
            <w:tcW w:w="459" w:type="pct"/>
            <w:tcBorders>
              <w:bottom w:val="single" w:color="auto" w:sz="4" w:space="0"/>
            </w:tcBorders>
          </w:tcPr>
          <w:p w14:paraId="027676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Criterion</w:t>
            </w:r>
          </w:p>
        </w:tc>
        <w:tc>
          <w:tcPr>
            <w:tcW w:w="578" w:type="pct"/>
            <w:tcBorders>
              <w:bottom w:val="single" w:color="auto" w:sz="4" w:space="0"/>
            </w:tcBorders>
          </w:tcPr>
          <w:p w14:paraId="21D412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Predictors</w:t>
            </w:r>
          </w:p>
        </w:tc>
        <w:tc>
          <w:tcPr>
            <w:tcW w:w="403" w:type="pct"/>
            <w:tcBorders>
              <w:bottom w:val="single" w:color="auto" w:sz="4" w:space="0"/>
            </w:tcBorders>
          </w:tcPr>
          <w:p w14:paraId="55C5FA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R</w:t>
            </w:r>
          </w:p>
        </w:tc>
        <w:tc>
          <w:tcPr>
            <w:tcW w:w="362" w:type="pct"/>
            <w:tcBorders>
              <w:bottom w:val="single" w:color="auto" w:sz="4" w:space="0"/>
            </w:tcBorders>
          </w:tcPr>
          <w:p w14:paraId="647D227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440" w:type="pct"/>
            <w:tcBorders>
              <w:bottom w:val="single" w:color="auto" w:sz="4" w:space="0"/>
            </w:tcBorders>
          </w:tcPr>
          <w:p w14:paraId="258368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F</w:t>
            </w:r>
          </w:p>
        </w:tc>
        <w:tc>
          <w:tcPr>
            <w:tcW w:w="550" w:type="pct"/>
            <w:tcBorders>
              <w:bottom w:val="single" w:color="auto" w:sz="4" w:space="0"/>
            </w:tcBorders>
          </w:tcPr>
          <w:p w14:paraId="0F9CA33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B</w:t>
            </w:r>
          </w:p>
        </w:tc>
        <w:tc>
          <w:tcPr>
            <w:tcW w:w="454" w:type="pct"/>
            <w:tcBorders>
              <w:bottom w:val="single" w:color="auto" w:sz="4" w:space="0"/>
            </w:tcBorders>
          </w:tcPr>
          <w:p w14:paraId="2D9528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t</w:t>
            </w:r>
          </w:p>
        </w:tc>
        <w:tc>
          <w:tcPr>
            <w:tcW w:w="763" w:type="pct"/>
            <w:tcBorders>
              <w:bottom w:val="single" w:color="auto" w:sz="4" w:space="0"/>
            </w:tcBorders>
          </w:tcPr>
          <w:p w14:paraId="2DCA34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95%CI</w:t>
            </w:r>
          </w:p>
        </w:tc>
      </w:tr>
      <w:tr w14:paraId="12427A1C">
        <w:trPr>
          <w:trHeight w:val="427" w:hRule="atLeast"/>
          <w:jc w:val="center"/>
        </w:trPr>
        <w:tc>
          <w:tcPr>
            <w:tcW w:w="986" w:type="pct"/>
            <w:vMerge w:val="restart"/>
            <w:tcBorders>
              <w:top w:val="single" w:color="auto" w:sz="4" w:space="0"/>
            </w:tcBorders>
          </w:tcPr>
          <w:p w14:paraId="3F10CA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Model 2: </w:t>
            </w:r>
          </w:p>
          <w:p w14:paraId="751FF1B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sleep duration ≤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 xml:space="preserve"> hours</w:t>
            </w:r>
          </w:p>
          <w:p w14:paraId="14D9D1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2"/>
                <w:szCs w:val="22"/>
                <w:lang w:val="en-US" w:eastAsia="zh-CN"/>
              </w:rPr>
              <w:t>N=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2"/>
                <w:szCs w:val="22"/>
                <w:lang w:val="en-US" w:eastAsia="zh-CN"/>
              </w:rPr>
              <w:t>2919</w:t>
            </w:r>
          </w:p>
        </w:tc>
        <w:tc>
          <w:tcPr>
            <w:tcW w:w="459" w:type="pct"/>
            <w:tcBorders>
              <w:top w:val="single" w:color="auto" w:sz="4" w:space="0"/>
              <w:bottom w:val="nil"/>
            </w:tcBorders>
          </w:tcPr>
          <w:p w14:paraId="374B356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SRH</w:t>
            </w:r>
          </w:p>
        </w:tc>
        <w:tc>
          <w:tcPr>
            <w:tcW w:w="578" w:type="pct"/>
            <w:tcBorders>
              <w:top w:val="single" w:color="auto" w:sz="4" w:space="0"/>
              <w:bottom w:val="nil"/>
            </w:tcBorders>
            <w:vAlign w:val="center"/>
          </w:tcPr>
          <w:p w14:paraId="0A0F65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tcBorders>
              <w:top w:val="single" w:color="auto" w:sz="4" w:space="0"/>
              <w:bottom w:val="nil"/>
            </w:tcBorders>
          </w:tcPr>
          <w:p w14:paraId="4B2CF2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0.220</w:t>
            </w:r>
          </w:p>
        </w:tc>
        <w:tc>
          <w:tcPr>
            <w:tcW w:w="362" w:type="pct"/>
            <w:tcBorders>
              <w:top w:val="single" w:color="auto" w:sz="4" w:space="0"/>
              <w:bottom w:val="nil"/>
            </w:tcBorders>
          </w:tcPr>
          <w:p w14:paraId="18CAA4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0.048</w:t>
            </w:r>
          </w:p>
        </w:tc>
        <w:tc>
          <w:tcPr>
            <w:tcW w:w="440" w:type="pct"/>
            <w:tcBorders>
              <w:top w:val="single" w:color="auto" w:sz="4" w:space="0"/>
              <w:bottom w:val="nil"/>
            </w:tcBorders>
          </w:tcPr>
          <w:p w14:paraId="445CA7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16.446</w:t>
            </w:r>
          </w:p>
        </w:tc>
        <w:tc>
          <w:tcPr>
            <w:tcW w:w="550" w:type="pct"/>
            <w:tcBorders>
              <w:top w:val="single" w:color="auto" w:sz="4" w:space="0"/>
              <w:bottom w:val="nil"/>
            </w:tcBorders>
          </w:tcPr>
          <w:p w14:paraId="56A522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0.136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454" w:type="pct"/>
            <w:tcBorders>
              <w:top w:val="single" w:color="auto" w:sz="4" w:space="0"/>
              <w:bottom w:val="nil"/>
            </w:tcBorders>
          </w:tcPr>
          <w:p w14:paraId="5EADEB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9.206</w:t>
            </w:r>
          </w:p>
        </w:tc>
        <w:tc>
          <w:tcPr>
            <w:tcW w:w="763" w:type="pct"/>
            <w:tcBorders>
              <w:top w:val="single" w:color="auto" w:sz="4" w:space="0"/>
              <w:bottom w:val="nil"/>
            </w:tcBorders>
          </w:tcPr>
          <w:p w14:paraId="753D33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(0.107, 0.165)</w:t>
            </w:r>
          </w:p>
        </w:tc>
      </w:tr>
      <w:tr w14:paraId="32054282">
        <w:trPr>
          <w:trHeight w:val="641" w:hRule="atLeast"/>
          <w:jc w:val="center"/>
        </w:trPr>
        <w:tc>
          <w:tcPr>
            <w:tcW w:w="986" w:type="pct"/>
            <w:vMerge w:val="continue"/>
            <w:vAlign w:val="top"/>
          </w:tcPr>
          <w:p w14:paraId="3DD11E8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tcBorders>
              <w:top w:val="nil"/>
            </w:tcBorders>
            <w:vAlign w:val="top"/>
          </w:tcPr>
          <w:p w14:paraId="05DD4D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Depressive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symptoms</w:t>
            </w:r>
          </w:p>
        </w:tc>
        <w:tc>
          <w:tcPr>
            <w:tcW w:w="578" w:type="pct"/>
            <w:tcBorders>
              <w:top w:val="nil"/>
            </w:tcBorders>
            <w:vAlign w:val="center"/>
          </w:tcPr>
          <w:p w14:paraId="5C523D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highlight w:val="none"/>
                <w:shd w:val="clear" w:fill="FFFFFF"/>
                <w:lang w:val="en-US" w:eastAsia="zh-CN" w:bidi="ar"/>
              </w:rPr>
              <w:t>Sleep duration</w:t>
            </w:r>
          </w:p>
        </w:tc>
        <w:tc>
          <w:tcPr>
            <w:tcW w:w="403" w:type="pct"/>
            <w:tcBorders>
              <w:top w:val="nil"/>
            </w:tcBorders>
            <w:vAlign w:val="top"/>
          </w:tcPr>
          <w:p w14:paraId="2BF988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417</w:t>
            </w:r>
          </w:p>
        </w:tc>
        <w:tc>
          <w:tcPr>
            <w:tcW w:w="362" w:type="pct"/>
            <w:tcBorders>
              <w:top w:val="nil"/>
            </w:tcBorders>
            <w:vAlign w:val="top"/>
          </w:tcPr>
          <w:p w14:paraId="6D1ED0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174</w:t>
            </w:r>
          </w:p>
        </w:tc>
        <w:tc>
          <w:tcPr>
            <w:tcW w:w="440" w:type="pct"/>
            <w:tcBorders>
              <w:top w:val="nil"/>
            </w:tcBorders>
            <w:vAlign w:val="top"/>
          </w:tcPr>
          <w:p w14:paraId="6C20360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68.051</w:t>
            </w:r>
          </w:p>
        </w:tc>
        <w:tc>
          <w:tcPr>
            <w:tcW w:w="550" w:type="pct"/>
            <w:tcBorders>
              <w:top w:val="nil"/>
            </w:tcBorders>
            <w:vAlign w:val="top"/>
          </w:tcPr>
          <w:p w14:paraId="0D8E44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-1.514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454" w:type="pct"/>
            <w:tcBorders>
              <w:top w:val="nil"/>
            </w:tcBorders>
            <w:vAlign w:val="top"/>
          </w:tcPr>
          <w:p w14:paraId="36E5A94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-15.736</w:t>
            </w:r>
          </w:p>
        </w:tc>
        <w:tc>
          <w:tcPr>
            <w:tcW w:w="763" w:type="pct"/>
            <w:tcBorders>
              <w:top w:val="nil"/>
            </w:tcBorders>
            <w:vAlign w:val="top"/>
          </w:tcPr>
          <w:p w14:paraId="4ADD95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-1.702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-1.325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)</w:t>
            </w:r>
          </w:p>
        </w:tc>
      </w:tr>
      <w:tr w14:paraId="64A6FEDA">
        <w:trPr>
          <w:trHeight w:val="377" w:hRule="atLeast"/>
          <w:jc w:val="center"/>
        </w:trPr>
        <w:tc>
          <w:tcPr>
            <w:tcW w:w="986" w:type="pct"/>
            <w:vMerge w:val="continue"/>
          </w:tcPr>
          <w:p w14:paraId="3F9980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59" w:type="pct"/>
          </w:tcPr>
          <w:p w14:paraId="7F7D924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 xml:space="preserve">Frailty </w:t>
            </w:r>
          </w:p>
        </w:tc>
        <w:tc>
          <w:tcPr>
            <w:tcW w:w="578" w:type="pct"/>
            <w:vAlign w:val="center"/>
          </w:tcPr>
          <w:p w14:paraId="4724FC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Sleep duration</w:t>
            </w:r>
          </w:p>
        </w:tc>
        <w:tc>
          <w:tcPr>
            <w:tcW w:w="403" w:type="pct"/>
          </w:tcPr>
          <w:p w14:paraId="422BF6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583</w:t>
            </w:r>
          </w:p>
        </w:tc>
        <w:tc>
          <w:tcPr>
            <w:tcW w:w="362" w:type="pct"/>
          </w:tcPr>
          <w:p w14:paraId="7C13AD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340</w:t>
            </w:r>
          </w:p>
        </w:tc>
        <w:tc>
          <w:tcPr>
            <w:tcW w:w="440" w:type="pct"/>
          </w:tcPr>
          <w:p w14:paraId="1E5BC0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149.806</w:t>
            </w:r>
          </w:p>
        </w:tc>
        <w:tc>
          <w:tcPr>
            <w:tcW w:w="550" w:type="pct"/>
          </w:tcPr>
          <w:p w14:paraId="49C76A5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257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454" w:type="pct"/>
          </w:tcPr>
          <w:p w14:paraId="59D4C9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-7.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906</w:t>
            </w:r>
          </w:p>
        </w:tc>
        <w:tc>
          <w:tcPr>
            <w:tcW w:w="763" w:type="pct"/>
          </w:tcPr>
          <w:p w14:paraId="056757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(-1.569, -0.945)</w:t>
            </w:r>
          </w:p>
        </w:tc>
      </w:tr>
      <w:tr w14:paraId="6B20D7E4">
        <w:trPr>
          <w:trHeight w:val="303" w:hRule="atLeast"/>
          <w:jc w:val="center"/>
        </w:trPr>
        <w:tc>
          <w:tcPr>
            <w:tcW w:w="986" w:type="pct"/>
            <w:vMerge w:val="continue"/>
          </w:tcPr>
          <w:p w14:paraId="1B0900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59" w:type="pct"/>
          </w:tcPr>
          <w:p w14:paraId="4B58A5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7AF31B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SRH</w:t>
            </w:r>
          </w:p>
        </w:tc>
        <w:tc>
          <w:tcPr>
            <w:tcW w:w="403" w:type="pct"/>
          </w:tcPr>
          <w:p w14:paraId="4734E4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362" w:type="pct"/>
          </w:tcPr>
          <w:p w14:paraId="4FCE20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440" w:type="pct"/>
          </w:tcPr>
          <w:p w14:paraId="6184AC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550" w:type="pct"/>
          </w:tcPr>
          <w:p w14:paraId="26E704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-5.993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454" w:type="pct"/>
          </w:tcPr>
          <w:p w14:paraId="613718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-30.434</w:t>
            </w:r>
          </w:p>
        </w:tc>
        <w:tc>
          <w:tcPr>
            <w:tcW w:w="763" w:type="pct"/>
          </w:tcPr>
          <w:p w14:paraId="3FEAB9F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(-6.379, -5.606)</w:t>
            </w:r>
          </w:p>
        </w:tc>
      </w:tr>
      <w:tr w14:paraId="580D397C">
        <w:trPr>
          <w:trHeight w:val="614" w:hRule="atLeast"/>
          <w:jc w:val="center"/>
        </w:trPr>
        <w:tc>
          <w:tcPr>
            <w:tcW w:w="986" w:type="pct"/>
            <w:vMerge w:val="continue"/>
          </w:tcPr>
          <w:p w14:paraId="2D5602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59" w:type="pct"/>
          </w:tcPr>
          <w:p w14:paraId="413EC8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Depressive symptoms</w:t>
            </w:r>
          </w:p>
        </w:tc>
        <w:tc>
          <w:tcPr>
            <w:tcW w:w="578" w:type="pct"/>
            <w:vAlign w:val="center"/>
          </w:tcPr>
          <w:p w14:paraId="181B4C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Sleep duration</w:t>
            </w:r>
          </w:p>
        </w:tc>
        <w:tc>
          <w:tcPr>
            <w:tcW w:w="403" w:type="pct"/>
          </w:tcPr>
          <w:p w14:paraId="5AD4B0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0.575</w:t>
            </w:r>
          </w:p>
        </w:tc>
        <w:tc>
          <w:tcPr>
            <w:tcW w:w="362" w:type="pct"/>
          </w:tcPr>
          <w:p w14:paraId="1D01B5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0.330</w:t>
            </w:r>
          </w:p>
        </w:tc>
        <w:tc>
          <w:tcPr>
            <w:tcW w:w="440" w:type="pct"/>
          </w:tcPr>
          <w:p w14:paraId="4A66FE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130.404</w:t>
            </w:r>
          </w:p>
        </w:tc>
        <w:tc>
          <w:tcPr>
            <w:tcW w:w="550" w:type="pct"/>
          </w:tcPr>
          <w:p w14:paraId="59BC86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-1.004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454" w:type="pct"/>
          </w:tcPr>
          <w:p w14:paraId="0777CE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-11.305</w:t>
            </w:r>
          </w:p>
        </w:tc>
        <w:tc>
          <w:tcPr>
            <w:tcW w:w="763" w:type="pct"/>
          </w:tcPr>
          <w:p w14:paraId="21453E3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(-1.178, -0.830)</w:t>
            </w:r>
          </w:p>
        </w:tc>
      </w:tr>
      <w:tr w14:paraId="3E3A321E">
        <w:trPr>
          <w:trHeight w:val="359" w:hRule="atLeast"/>
          <w:jc w:val="center"/>
        </w:trPr>
        <w:tc>
          <w:tcPr>
            <w:tcW w:w="986" w:type="pct"/>
            <w:vMerge w:val="continue"/>
          </w:tcPr>
          <w:p w14:paraId="5A981D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59" w:type="pct"/>
          </w:tcPr>
          <w:p w14:paraId="3F53812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3D2AA1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SRH</w:t>
            </w:r>
          </w:p>
        </w:tc>
        <w:tc>
          <w:tcPr>
            <w:tcW w:w="403" w:type="pct"/>
          </w:tcPr>
          <w:p w14:paraId="459D28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362" w:type="pct"/>
          </w:tcPr>
          <w:p w14:paraId="5EBC24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440" w:type="pct"/>
          </w:tcPr>
          <w:p w14:paraId="4C2AEB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550" w:type="pct"/>
          </w:tcPr>
          <w:p w14:paraId="000E8E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-1.327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454" w:type="pct"/>
          </w:tcPr>
          <w:p w14:paraId="438DFBD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-10.620</w:t>
            </w:r>
          </w:p>
        </w:tc>
        <w:tc>
          <w:tcPr>
            <w:tcW w:w="763" w:type="pct"/>
          </w:tcPr>
          <w:p w14:paraId="099ABD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(-1.572, -1.082)</w:t>
            </w:r>
          </w:p>
        </w:tc>
      </w:tr>
      <w:tr w14:paraId="47D22DF5">
        <w:trPr>
          <w:trHeight w:val="370" w:hRule="atLeast"/>
          <w:jc w:val="center"/>
        </w:trPr>
        <w:tc>
          <w:tcPr>
            <w:tcW w:w="986" w:type="pct"/>
            <w:vMerge w:val="continue"/>
          </w:tcPr>
          <w:p w14:paraId="2D07BA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59" w:type="pct"/>
          </w:tcPr>
          <w:p w14:paraId="24C5DA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21CF556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Frailty</w:t>
            </w:r>
          </w:p>
        </w:tc>
        <w:tc>
          <w:tcPr>
            <w:tcW w:w="403" w:type="pct"/>
          </w:tcPr>
          <w:p w14:paraId="270BB2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362" w:type="pct"/>
          </w:tcPr>
          <w:p w14:paraId="1EB217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440" w:type="pct"/>
          </w:tcPr>
          <w:p w14:paraId="281A51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550" w:type="pct"/>
          </w:tcPr>
          <w:p w14:paraId="38629B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0.159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</w:tcPr>
          <w:p w14:paraId="67FFA1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15.510</w:t>
            </w:r>
          </w:p>
        </w:tc>
        <w:tc>
          <w:tcPr>
            <w:tcW w:w="763" w:type="pct"/>
          </w:tcPr>
          <w:p w14:paraId="7524362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(0.139, 0.179)</w:t>
            </w:r>
          </w:p>
        </w:tc>
      </w:tr>
      <w:tr w14:paraId="38D4B902">
        <w:trPr>
          <w:trHeight w:val="641" w:hRule="atLeast"/>
          <w:jc w:val="center"/>
        </w:trPr>
        <w:tc>
          <w:tcPr>
            <w:tcW w:w="986" w:type="pct"/>
            <w:vMerge w:val="restart"/>
            <w:vAlign w:val="top"/>
          </w:tcPr>
          <w:p w14:paraId="14EF5D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: </w:t>
            </w:r>
          </w:p>
          <w:p w14:paraId="3C379E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7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≥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sleep duration &gt; 6 hours</w:t>
            </w:r>
          </w:p>
          <w:p w14:paraId="37227B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818</w:t>
            </w:r>
          </w:p>
        </w:tc>
        <w:tc>
          <w:tcPr>
            <w:tcW w:w="459" w:type="pct"/>
            <w:vAlign w:val="top"/>
          </w:tcPr>
          <w:p w14:paraId="3693AF7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578" w:type="pct"/>
            <w:vAlign w:val="center"/>
          </w:tcPr>
          <w:p w14:paraId="0EF6776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21C8A9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159</w:t>
            </w:r>
          </w:p>
        </w:tc>
        <w:tc>
          <w:tcPr>
            <w:tcW w:w="362" w:type="pct"/>
            <w:vAlign w:val="top"/>
          </w:tcPr>
          <w:p w14:paraId="4C56FD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440" w:type="pct"/>
            <w:vAlign w:val="top"/>
          </w:tcPr>
          <w:p w14:paraId="75971A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2.334</w:t>
            </w:r>
          </w:p>
        </w:tc>
        <w:tc>
          <w:tcPr>
            <w:tcW w:w="550" w:type="pct"/>
            <w:vAlign w:val="top"/>
          </w:tcPr>
          <w:p w14:paraId="23C2E7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46</w:t>
            </w:r>
          </w:p>
        </w:tc>
        <w:tc>
          <w:tcPr>
            <w:tcW w:w="454" w:type="pct"/>
            <w:vAlign w:val="top"/>
          </w:tcPr>
          <w:p w14:paraId="2DD511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0.234</w:t>
            </w:r>
          </w:p>
        </w:tc>
        <w:tc>
          <w:tcPr>
            <w:tcW w:w="763" w:type="pct"/>
            <w:vAlign w:val="top"/>
          </w:tcPr>
          <w:p w14:paraId="71D5D8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(-0.341, 0.433)</w:t>
            </w:r>
          </w:p>
        </w:tc>
      </w:tr>
      <w:tr w14:paraId="0C7C5F1B">
        <w:trPr>
          <w:trHeight w:val="641" w:hRule="atLeast"/>
          <w:jc w:val="center"/>
        </w:trPr>
        <w:tc>
          <w:tcPr>
            <w:tcW w:w="986" w:type="pct"/>
            <w:vMerge w:val="continue"/>
            <w:vAlign w:val="top"/>
          </w:tcPr>
          <w:p w14:paraId="178D24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2D486DF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Depressive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symptoms</w:t>
            </w:r>
          </w:p>
        </w:tc>
        <w:tc>
          <w:tcPr>
            <w:tcW w:w="578" w:type="pct"/>
            <w:vAlign w:val="center"/>
          </w:tcPr>
          <w:p w14:paraId="06842F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highlight w:val="none"/>
                <w:shd w:val="clear" w:fill="FFFFFF"/>
                <w:lang w:val="en-US" w:eastAsia="zh-CN" w:bidi="ar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1A6A31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0.149</w:t>
            </w:r>
          </w:p>
        </w:tc>
        <w:tc>
          <w:tcPr>
            <w:tcW w:w="362" w:type="pct"/>
            <w:vAlign w:val="top"/>
          </w:tcPr>
          <w:p w14:paraId="18FC9CE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0.022</w:t>
            </w:r>
          </w:p>
        </w:tc>
        <w:tc>
          <w:tcPr>
            <w:tcW w:w="440" w:type="pct"/>
            <w:vAlign w:val="top"/>
          </w:tcPr>
          <w:p w14:paraId="74069D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2.035</w:t>
            </w:r>
          </w:p>
        </w:tc>
        <w:tc>
          <w:tcPr>
            <w:tcW w:w="550" w:type="pct"/>
            <w:vAlign w:val="top"/>
          </w:tcPr>
          <w:p w14:paraId="1C35E9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-0.183</w:t>
            </w:r>
          </w:p>
        </w:tc>
        <w:tc>
          <w:tcPr>
            <w:tcW w:w="454" w:type="pct"/>
            <w:vAlign w:val="top"/>
          </w:tcPr>
          <w:p w14:paraId="63DEF8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-1.305</w:t>
            </w:r>
          </w:p>
        </w:tc>
        <w:tc>
          <w:tcPr>
            <w:tcW w:w="763" w:type="pct"/>
            <w:vAlign w:val="top"/>
          </w:tcPr>
          <w:p w14:paraId="25FEAAC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(-0.459, 0.092)</w:t>
            </w:r>
          </w:p>
        </w:tc>
      </w:tr>
      <w:tr w14:paraId="4D30A142">
        <w:trPr>
          <w:trHeight w:val="641" w:hRule="atLeast"/>
          <w:jc w:val="center"/>
        </w:trPr>
        <w:tc>
          <w:tcPr>
            <w:tcW w:w="986" w:type="pct"/>
            <w:vMerge w:val="continue"/>
            <w:vAlign w:val="top"/>
          </w:tcPr>
          <w:p w14:paraId="6EE94D2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322B19D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 xml:space="preserve">Frailty </w:t>
            </w:r>
          </w:p>
        </w:tc>
        <w:tc>
          <w:tcPr>
            <w:tcW w:w="578" w:type="pct"/>
            <w:vAlign w:val="center"/>
          </w:tcPr>
          <w:p w14:paraId="0AEC4E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479733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0.536</w:t>
            </w:r>
          </w:p>
        </w:tc>
        <w:tc>
          <w:tcPr>
            <w:tcW w:w="362" w:type="pct"/>
            <w:vAlign w:val="top"/>
          </w:tcPr>
          <w:p w14:paraId="7C1303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0.287</w:t>
            </w:r>
          </w:p>
        </w:tc>
        <w:tc>
          <w:tcPr>
            <w:tcW w:w="440" w:type="pct"/>
            <w:vAlign w:val="top"/>
          </w:tcPr>
          <w:p w14:paraId="792138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32.467</w:t>
            </w:r>
          </w:p>
        </w:tc>
        <w:tc>
          <w:tcPr>
            <w:tcW w:w="550" w:type="pct"/>
            <w:vAlign w:val="top"/>
          </w:tcPr>
          <w:p w14:paraId="7413B92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vertAlign w:val="superscript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vertAlign w:val="baseline"/>
                <w:lang w:val="en-US"/>
              </w:rPr>
              <w:t>-0.384</w:t>
            </w:r>
          </w:p>
        </w:tc>
        <w:tc>
          <w:tcPr>
            <w:tcW w:w="454" w:type="pct"/>
            <w:vAlign w:val="top"/>
          </w:tcPr>
          <w:p w14:paraId="569CB8C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-0.215</w:t>
            </w:r>
          </w:p>
        </w:tc>
        <w:tc>
          <w:tcPr>
            <w:tcW w:w="763" w:type="pct"/>
            <w:vAlign w:val="top"/>
          </w:tcPr>
          <w:p w14:paraId="48DC87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(-3.886, 3.118)</w:t>
            </w:r>
          </w:p>
        </w:tc>
      </w:tr>
      <w:tr w14:paraId="2A419056">
        <w:trPr>
          <w:trHeight w:val="327" w:hRule="atLeast"/>
          <w:jc w:val="center"/>
        </w:trPr>
        <w:tc>
          <w:tcPr>
            <w:tcW w:w="986" w:type="pct"/>
            <w:vMerge w:val="continue"/>
            <w:vAlign w:val="top"/>
          </w:tcPr>
          <w:p w14:paraId="46D816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1C5059D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102D5FF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403" w:type="pct"/>
            <w:vAlign w:val="top"/>
          </w:tcPr>
          <w:p w14:paraId="5EAC6E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3D2824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542D66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2861AE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-4.942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  <w:vAlign w:val="top"/>
          </w:tcPr>
          <w:p w14:paraId="1DDF48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-15.522</w:t>
            </w:r>
          </w:p>
        </w:tc>
        <w:tc>
          <w:tcPr>
            <w:tcW w:w="763" w:type="pct"/>
            <w:vAlign w:val="top"/>
          </w:tcPr>
          <w:p w14:paraId="334671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(-5.567, -4.317)</w:t>
            </w:r>
          </w:p>
        </w:tc>
      </w:tr>
      <w:tr w14:paraId="3926FE53">
        <w:trPr>
          <w:trHeight w:val="641" w:hRule="atLeast"/>
          <w:jc w:val="center"/>
        </w:trPr>
        <w:tc>
          <w:tcPr>
            <w:tcW w:w="986" w:type="pct"/>
            <w:vMerge w:val="continue"/>
            <w:vAlign w:val="top"/>
          </w:tcPr>
          <w:p w14:paraId="5B202F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4E88735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 xml:space="preserve">Depressive symptoms  </w:t>
            </w:r>
          </w:p>
        </w:tc>
        <w:tc>
          <w:tcPr>
            <w:tcW w:w="578" w:type="pct"/>
            <w:vAlign w:val="center"/>
          </w:tcPr>
          <w:p w14:paraId="1E3E425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0DCD9DC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0.284</w:t>
            </w:r>
          </w:p>
        </w:tc>
        <w:tc>
          <w:tcPr>
            <w:tcW w:w="362" w:type="pct"/>
            <w:vAlign w:val="top"/>
          </w:tcPr>
          <w:p w14:paraId="68B6183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0.081</w:t>
            </w:r>
          </w:p>
        </w:tc>
        <w:tc>
          <w:tcPr>
            <w:tcW w:w="440" w:type="pct"/>
            <w:vAlign w:val="top"/>
          </w:tcPr>
          <w:p w14:paraId="5FFCEF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6.446</w:t>
            </w:r>
          </w:p>
        </w:tc>
        <w:tc>
          <w:tcPr>
            <w:tcW w:w="550" w:type="pct"/>
            <w:vAlign w:val="top"/>
          </w:tcPr>
          <w:p w14:paraId="267AF6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-0.172</w:t>
            </w:r>
          </w:p>
        </w:tc>
        <w:tc>
          <w:tcPr>
            <w:tcW w:w="454" w:type="pct"/>
            <w:vAlign w:val="top"/>
          </w:tcPr>
          <w:p w14:paraId="1D3CBE2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-1.264</w:t>
            </w:r>
          </w:p>
        </w:tc>
        <w:tc>
          <w:tcPr>
            <w:tcW w:w="763" w:type="pct"/>
            <w:vAlign w:val="top"/>
          </w:tcPr>
          <w:p w14:paraId="650EA22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(-0.440, 0.095)</w:t>
            </w:r>
          </w:p>
        </w:tc>
      </w:tr>
      <w:tr w14:paraId="3DA8C6E7">
        <w:trPr>
          <w:trHeight w:val="341" w:hRule="atLeast"/>
          <w:jc w:val="center"/>
        </w:trPr>
        <w:tc>
          <w:tcPr>
            <w:tcW w:w="986" w:type="pct"/>
            <w:vMerge w:val="continue"/>
            <w:vAlign w:val="top"/>
          </w:tcPr>
          <w:p w14:paraId="2856CE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02259E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5A1921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403" w:type="pct"/>
            <w:vAlign w:val="top"/>
          </w:tcPr>
          <w:p w14:paraId="527FF9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24BCF9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07698B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4D5573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-0.067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454" w:type="pct"/>
            <w:vAlign w:val="top"/>
          </w:tcPr>
          <w:p w14:paraId="569642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-2.418</w:t>
            </w:r>
          </w:p>
        </w:tc>
        <w:tc>
          <w:tcPr>
            <w:tcW w:w="763" w:type="pct"/>
            <w:vAlign w:val="top"/>
          </w:tcPr>
          <w:p w14:paraId="1B8129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(-0.121, -0.013)</w:t>
            </w:r>
          </w:p>
        </w:tc>
      </w:tr>
      <w:tr w14:paraId="2A059C46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38C900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5E06DC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745E5F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Frailty</w:t>
            </w:r>
          </w:p>
        </w:tc>
        <w:tc>
          <w:tcPr>
            <w:tcW w:w="403" w:type="pct"/>
            <w:vAlign w:val="top"/>
          </w:tcPr>
          <w:p w14:paraId="56E24B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650DC8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676A77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46BED1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0.013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  <w:vAlign w:val="top"/>
          </w:tcPr>
          <w:p w14:paraId="3C254B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4.768</w:t>
            </w:r>
          </w:p>
        </w:tc>
        <w:tc>
          <w:tcPr>
            <w:tcW w:w="763" w:type="pct"/>
            <w:vAlign w:val="top"/>
          </w:tcPr>
          <w:p w14:paraId="453A53D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(0.008, 0.018)</w:t>
            </w:r>
          </w:p>
        </w:tc>
      </w:tr>
      <w:tr w14:paraId="37A3EC5C">
        <w:trPr>
          <w:trHeight w:val="326" w:hRule="atLeast"/>
          <w:jc w:val="center"/>
        </w:trPr>
        <w:tc>
          <w:tcPr>
            <w:tcW w:w="986" w:type="pct"/>
            <w:vMerge w:val="restart"/>
            <w:vAlign w:val="top"/>
          </w:tcPr>
          <w:p w14:paraId="406E2C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Model 4: </w:t>
            </w:r>
          </w:p>
          <w:p w14:paraId="795BDC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8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≥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sleep duration &gt; 7 hours</w:t>
            </w:r>
          </w:p>
          <w:p w14:paraId="076CFA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915</w:t>
            </w:r>
          </w:p>
        </w:tc>
        <w:tc>
          <w:tcPr>
            <w:tcW w:w="459" w:type="pct"/>
            <w:vAlign w:val="top"/>
          </w:tcPr>
          <w:p w14:paraId="0264AE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578" w:type="pct"/>
            <w:vAlign w:val="center"/>
          </w:tcPr>
          <w:p w14:paraId="468EE0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51F487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0.164</w:t>
            </w:r>
          </w:p>
        </w:tc>
        <w:tc>
          <w:tcPr>
            <w:tcW w:w="362" w:type="pct"/>
            <w:vAlign w:val="top"/>
          </w:tcPr>
          <w:p w14:paraId="7B66F5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0.027</w:t>
            </w:r>
          </w:p>
        </w:tc>
        <w:tc>
          <w:tcPr>
            <w:tcW w:w="440" w:type="pct"/>
            <w:vAlign w:val="top"/>
          </w:tcPr>
          <w:p w14:paraId="0436E4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2.766</w:t>
            </w:r>
          </w:p>
        </w:tc>
        <w:tc>
          <w:tcPr>
            <w:tcW w:w="550" w:type="pct"/>
            <w:vAlign w:val="top"/>
          </w:tcPr>
          <w:p w14:paraId="1A0E0B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-0.033</w:t>
            </w:r>
          </w:p>
        </w:tc>
        <w:tc>
          <w:tcPr>
            <w:tcW w:w="454" w:type="pct"/>
            <w:vAlign w:val="top"/>
          </w:tcPr>
          <w:p w14:paraId="044ADD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-0.149</w:t>
            </w:r>
          </w:p>
        </w:tc>
        <w:tc>
          <w:tcPr>
            <w:tcW w:w="763" w:type="pct"/>
            <w:vAlign w:val="top"/>
          </w:tcPr>
          <w:p w14:paraId="21241AB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(-0.462, 0.397)</w:t>
            </w:r>
          </w:p>
        </w:tc>
      </w:tr>
      <w:tr w14:paraId="690F79FE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0105B5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458343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Depressive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symptoms</w:t>
            </w:r>
          </w:p>
        </w:tc>
        <w:tc>
          <w:tcPr>
            <w:tcW w:w="578" w:type="pct"/>
            <w:vAlign w:val="center"/>
          </w:tcPr>
          <w:p w14:paraId="5FDEE4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highlight w:val="none"/>
                <w:shd w:val="clear" w:fill="FFFFFF"/>
                <w:lang w:val="en-US" w:eastAsia="zh-CN" w:bidi="ar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20C937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0.264</w:t>
            </w:r>
          </w:p>
        </w:tc>
        <w:tc>
          <w:tcPr>
            <w:tcW w:w="362" w:type="pct"/>
            <w:vAlign w:val="top"/>
          </w:tcPr>
          <w:p w14:paraId="401F67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0.069</w:t>
            </w:r>
          </w:p>
        </w:tc>
        <w:tc>
          <w:tcPr>
            <w:tcW w:w="440" w:type="pct"/>
            <w:vAlign w:val="top"/>
          </w:tcPr>
          <w:p w14:paraId="363995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7.508</w:t>
            </w:r>
          </w:p>
        </w:tc>
        <w:tc>
          <w:tcPr>
            <w:tcW w:w="550" w:type="pct"/>
            <w:vAlign w:val="top"/>
          </w:tcPr>
          <w:p w14:paraId="650C59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0.099</w:t>
            </w:r>
          </w:p>
        </w:tc>
        <w:tc>
          <w:tcPr>
            <w:tcW w:w="454" w:type="pct"/>
            <w:vAlign w:val="top"/>
          </w:tcPr>
          <w:p w14:paraId="3D91830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0.073</w:t>
            </w:r>
          </w:p>
        </w:tc>
        <w:tc>
          <w:tcPr>
            <w:tcW w:w="763" w:type="pct"/>
            <w:vAlign w:val="top"/>
          </w:tcPr>
          <w:p w14:paraId="575701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(-2.565, 2.763)</w:t>
            </w:r>
          </w:p>
        </w:tc>
      </w:tr>
      <w:tr w14:paraId="2F30046F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5F94D2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0276EE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 xml:space="preserve">Frailty </w:t>
            </w:r>
          </w:p>
        </w:tc>
        <w:tc>
          <w:tcPr>
            <w:tcW w:w="578" w:type="pct"/>
            <w:vAlign w:val="center"/>
          </w:tcPr>
          <w:p w14:paraId="791E92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272C4A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0.528</w:t>
            </w:r>
          </w:p>
        </w:tc>
        <w:tc>
          <w:tcPr>
            <w:tcW w:w="362" w:type="pct"/>
            <w:vAlign w:val="top"/>
          </w:tcPr>
          <w:p w14:paraId="3505DB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0.279</w:t>
            </w:r>
          </w:p>
        </w:tc>
        <w:tc>
          <w:tcPr>
            <w:tcW w:w="440" w:type="pct"/>
            <w:vAlign w:val="top"/>
          </w:tcPr>
          <w:p w14:paraId="22F7D6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35.005</w:t>
            </w:r>
          </w:p>
        </w:tc>
        <w:tc>
          <w:tcPr>
            <w:tcW w:w="550" w:type="pct"/>
            <w:vAlign w:val="top"/>
          </w:tcPr>
          <w:p w14:paraId="7FFA4EC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-0.285</w:t>
            </w:r>
          </w:p>
        </w:tc>
        <w:tc>
          <w:tcPr>
            <w:tcW w:w="454" w:type="pct"/>
            <w:vAlign w:val="top"/>
          </w:tcPr>
          <w:p w14:paraId="2F22BC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-0.136</w:t>
            </w:r>
          </w:p>
        </w:tc>
        <w:tc>
          <w:tcPr>
            <w:tcW w:w="763" w:type="pct"/>
            <w:vAlign w:val="top"/>
          </w:tcPr>
          <w:p w14:paraId="50536A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(-4.407, 3.837)</w:t>
            </w:r>
          </w:p>
        </w:tc>
      </w:tr>
      <w:tr w14:paraId="3AD1CB5E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396AB1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2A9E1AF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2B450DB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403" w:type="pct"/>
            <w:vAlign w:val="top"/>
          </w:tcPr>
          <w:p w14:paraId="221175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24D1F7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14ED6D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6B6D78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-5.263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  <w:vAlign w:val="top"/>
          </w:tcPr>
          <w:p w14:paraId="3E33051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-16.497</w:t>
            </w:r>
          </w:p>
        </w:tc>
        <w:tc>
          <w:tcPr>
            <w:tcW w:w="763" w:type="pct"/>
            <w:vAlign w:val="top"/>
          </w:tcPr>
          <w:p w14:paraId="35D56FF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(-5.889, -4.637)</w:t>
            </w:r>
          </w:p>
        </w:tc>
      </w:tr>
      <w:tr w14:paraId="14360E91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574708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028FC1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 xml:space="preserve">Depressive symptoms  </w:t>
            </w:r>
          </w:p>
        </w:tc>
        <w:tc>
          <w:tcPr>
            <w:tcW w:w="578" w:type="pct"/>
            <w:vAlign w:val="center"/>
          </w:tcPr>
          <w:p w14:paraId="795434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4CCFB6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0.504</w:t>
            </w:r>
          </w:p>
        </w:tc>
        <w:tc>
          <w:tcPr>
            <w:tcW w:w="362" w:type="pct"/>
            <w:vAlign w:val="top"/>
          </w:tcPr>
          <w:p w14:paraId="0E0F61F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0.254</w:t>
            </w:r>
          </w:p>
        </w:tc>
        <w:tc>
          <w:tcPr>
            <w:tcW w:w="440" w:type="pct"/>
            <w:vAlign w:val="top"/>
          </w:tcPr>
          <w:p w14:paraId="682959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27.922</w:t>
            </w:r>
          </w:p>
        </w:tc>
        <w:tc>
          <w:tcPr>
            <w:tcW w:w="550" w:type="pct"/>
            <w:vAlign w:val="top"/>
          </w:tcPr>
          <w:p w14:paraId="08841E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0.063</w:t>
            </w:r>
          </w:p>
        </w:tc>
        <w:tc>
          <w:tcPr>
            <w:tcW w:w="454" w:type="pct"/>
            <w:vAlign w:val="top"/>
          </w:tcPr>
          <w:p w14:paraId="4EBEEE4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0.052</w:t>
            </w:r>
          </w:p>
        </w:tc>
        <w:tc>
          <w:tcPr>
            <w:tcW w:w="763" w:type="pct"/>
            <w:vAlign w:val="top"/>
          </w:tcPr>
          <w:p w14:paraId="3B4D86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(-2.324, 2.451)</w:t>
            </w:r>
          </w:p>
        </w:tc>
      </w:tr>
      <w:tr w14:paraId="286EE8F9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054CA8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59753A4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36F6AA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403" w:type="pct"/>
            <w:vAlign w:val="top"/>
          </w:tcPr>
          <w:p w14:paraId="308F2B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49FF0E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1EAAA1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5E5D82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-1.598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  <w:vAlign w:val="top"/>
          </w:tcPr>
          <w:p w14:paraId="75DFD9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-7.582</w:t>
            </w:r>
          </w:p>
        </w:tc>
        <w:tc>
          <w:tcPr>
            <w:tcW w:w="763" w:type="pct"/>
            <w:vAlign w:val="top"/>
          </w:tcPr>
          <w:p w14:paraId="48D9E4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(-2.012, -1.185)</w:t>
            </w:r>
          </w:p>
        </w:tc>
      </w:tr>
      <w:tr w14:paraId="4FB285D0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0840FD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401DED5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16A554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Frailty</w:t>
            </w:r>
          </w:p>
        </w:tc>
        <w:tc>
          <w:tcPr>
            <w:tcW w:w="403" w:type="pct"/>
            <w:vAlign w:val="top"/>
          </w:tcPr>
          <w:p w14:paraId="7EB76F7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0856C57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6FB2885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14D446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0.147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  <w:vAlign w:val="top"/>
          </w:tcPr>
          <w:p w14:paraId="3AA680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7.634</w:t>
            </w:r>
          </w:p>
        </w:tc>
        <w:tc>
          <w:tcPr>
            <w:tcW w:w="763" w:type="pct"/>
            <w:vAlign w:val="top"/>
          </w:tcPr>
          <w:p w14:paraId="08CE53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(0.109, 0.185)</w:t>
            </w:r>
          </w:p>
        </w:tc>
      </w:tr>
      <w:tr w14:paraId="5E8F45AB">
        <w:trPr>
          <w:trHeight w:val="326" w:hRule="atLeast"/>
          <w:jc w:val="center"/>
        </w:trPr>
        <w:tc>
          <w:tcPr>
            <w:tcW w:w="986" w:type="pct"/>
            <w:vMerge w:val="restart"/>
            <w:vAlign w:val="top"/>
          </w:tcPr>
          <w:p w14:paraId="51067B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: </w:t>
            </w:r>
          </w:p>
          <w:p w14:paraId="5AA548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sleep duration &gt; 8 hours</w:t>
            </w:r>
          </w:p>
          <w:p w14:paraId="0822C36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459</w:t>
            </w:r>
          </w:p>
        </w:tc>
        <w:tc>
          <w:tcPr>
            <w:tcW w:w="459" w:type="pct"/>
            <w:vAlign w:val="top"/>
          </w:tcPr>
          <w:p w14:paraId="678015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578" w:type="pct"/>
            <w:vAlign w:val="center"/>
          </w:tcPr>
          <w:p w14:paraId="242E3F9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59E213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088</w:t>
            </w:r>
          </w:p>
        </w:tc>
        <w:tc>
          <w:tcPr>
            <w:tcW w:w="362" w:type="pct"/>
            <w:vAlign w:val="top"/>
          </w:tcPr>
          <w:p w14:paraId="0E1103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0.008</w:t>
            </w:r>
          </w:p>
        </w:tc>
        <w:tc>
          <w:tcPr>
            <w:tcW w:w="440" w:type="pct"/>
            <w:vAlign w:val="top"/>
          </w:tcPr>
          <w:p w14:paraId="1DB71A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0.387</w:t>
            </w:r>
          </w:p>
        </w:tc>
        <w:tc>
          <w:tcPr>
            <w:tcW w:w="550" w:type="pct"/>
            <w:vAlign w:val="top"/>
          </w:tcPr>
          <w:p w14:paraId="0A1814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0.042</w:t>
            </w:r>
          </w:p>
        </w:tc>
        <w:tc>
          <w:tcPr>
            <w:tcW w:w="454" w:type="pct"/>
            <w:vAlign w:val="top"/>
          </w:tcPr>
          <w:p w14:paraId="23452A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0.780</w:t>
            </w:r>
          </w:p>
        </w:tc>
        <w:tc>
          <w:tcPr>
            <w:tcW w:w="763" w:type="pct"/>
            <w:vAlign w:val="top"/>
          </w:tcPr>
          <w:p w14:paraId="67475C4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(-0.064, 0.147)</w:t>
            </w:r>
          </w:p>
        </w:tc>
      </w:tr>
      <w:tr w14:paraId="4BE0301B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14D5CBA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4A1D5D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Depressive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>symptoms</w:t>
            </w:r>
          </w:p>
        </w:tc>
        <w:tc>
          <w:tcPr>
            <w:tcW w:w="578" w:type="pct"/>
            <w:vAlign w:val="center"/>
          </w:tcPr>
          <w:p w14:paraId="5C7D16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highlight w:val="none"/>
                <w:shd w:val="clear" w:fill="FFFFFF"/>
                <w:lang w:val="en-US" w:eastAsia="zh-CN" w:bidi="ar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5BA89C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0.232</w:t>
            </w:r>
          </w:p>
        </w:tc>
        <w:tc>
          <w:tcPr>
            <w:tcW w:w="362" w:type="pct"/>
            <w:vAlign w:val="top"/>
          </w:tcPr>
          <w:p w14:paraId="0D224C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0.054</w:t>
            </w:r>
          </w:p>
        </w:tc>
        <w:tc>
          <w:tcPr>
            <w:tcW w:w="440" w:type="pct"/>
            <w:vAlign w:val="top"/>
          </w:tcPr>
          <w:p w14:paraId="3439D1F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2.829</w:t>
            </w:r>
          </w:p>
        </w:tc>
        <w:tc>
          <w:tcPr>
            <w:tcW w:w="550" w:type="pct"/>
            <w:vAlign w:val="top"/>
          </w:tcPr>
          <w:p w14:paraId="55AE4F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0.194</w:t>
            </w:r>
          </w:p>
        </w:tc>
        <w:tc>
          <w:tcPr>
            <w:tcW w:w="454" w:type="pct"/>
            <w:vAlign w:val="top"/>
          </w:tcPr>
          <w:p w14:paraId="05BCFE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0.625</w:t>
            </w:r>
          </w:p>
        </w:tc>
        <w:tc>
          <w:tcPr>
            <w:tcW w:w="763" w:type="pct"/>
            <w:vAlign w:val="top"/>
          </w:tcPr>
          <w:p w14:paraId="20D57B4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(-0.417, 0.805)</w:t>
            </w:r>
          </w:p>
        </w:tc>
      </w:tr>
      <w:tr w14:paraId="4688920B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5BEBACA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67D73B2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 xml:space="preserve">Frailty </w:t>
            </w:r>
          </w:p>
        </w:tc>
        <w:tc>
          <w:tcPr>
            <w:tcW w:w="578" w:type="pct"/>
            <w:vAlign w:val="center"/>
          </w:tcPr>
          <w:p w14:paraId="20AF8E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0C2835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0.570</w:t>
            </w:r>
          </w:p>
        </w:tc>
        <w:tc>
          <w:tcPr>
            <w:tcW w:w="362" w:type="pct"/>
            <w:vAlign w:val="top"/>
          </w:tcPr>
          <w:p w14:paraId="19BE57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0.324</w:t>
            </w:r>
          </w:p>
        </w:tc>
        <w:tc>
          <w:tcPr>
            <w:tcW w:w="440" w:type="pct"/>
            <w:vAlign w:val="top"/>
          </w:tcPr>
          <w:p w14:paraId="2524582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21.515</w:t>
            </w:r>
          </w:p>
        </w:tc>
        <w:tc>
          <w:tcPr>
            <w:tcW w:w="550" w:type="pct"/>
            <w:vAlign w:val="top"/>
          </w:tcPr>
          <w:p w14:paraId="6BFBB3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1.347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454" w:type="pct"/>
            <w:vAlign w:val="top"/>
          </w:tcPr>
          <w:p w14:paraId="1DEBA4F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2.582</w:t>
            </w:r>
          </w:p>
        </w:tc>
        <w:tc>
          <w:tcPr>
            <w:tcW w:w="763" w:type="pct"/>
            <w:vAlign w:val="top"/>
          </w:tcPr>
          <w:p w14:paraId="307E6C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(0.322, 2.373)</w:t>
            </w:r>
          </w:p>
        </w:tc>
      </w:tr>
      <w:tr w14:paraId="6BDCC7EF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439CFAF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4C7B62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0755421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403" w:type="pct"/>
            <w:vAlign w:val="top"/>
          </w:tcPr>
          <w:p w14:paraId="78EABB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07A40B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1C3F765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01AF621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-6.076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  <w:vAlign w:val="top"/>
          </w:tcPr>
          <w:p w14:paraId="3F819D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-13.265</w:t>
            </w:r>
          </w:p>
        </w:tc>
        <w:tc>
          <w:tcPr>
            <w:tcW w:w="763" w:type="pct"/>
            <w:vAlign w:val="top"/>
          </w:tcPr>
          <w:p w14:paraId="042F20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-6.976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, -5.176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)</w:t>
            </w:r>
          </w:p>
        </w:tc>
      </w:tr>
      <w:tr w14:paraId="4A72BC96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007BFE5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1098EE4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  <w:t xml:space="preserve">Depressive symptoms  </w:t>
            </w:r>
          </w:p>
        </w:tc>
        <w:tc>
          <w:tcPr>
            <w:tcW w:w="578" w:type="pct"/>
            <w:vAlign w:val="center"/>
          </w:tcPr>
          <w:p w14:paraId="6871361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Sleep duration</w:t>
            </w:r>
          </w:p>
        </w:tc>
        <w:tc>
          <w:tcPr>
            <w:tcW w:w="403" w:type="pct"/>
            <w:vAlign w:val="top"/>
          </w:tcPr>
          <w:p w14:paraId="739753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0.445</w:t>
            </w:r>
          </w:p>
        </w:tc>
        <w:tc>
          <w:tcPr>
            <w:tcW w:w="362" w:type="pct"/>
            <w:vAlign w:val="top"/>
          </w:tcPr>
          <w:p w14:paraId="24E0A4E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0.198</w:t>
            </w:r>
          </w:p>
        </w:tc>
        <w:tc>
          <w:tcPr>
            <w:tcW w:w="440" w:type="pct"/>
            <w:vAlign w:val="top"/>
          </w:tcPr>
          <w:p w14:paraId="7A1B9F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10.031</w:t>
            </w:r>
          </w:p>
        </w:tc>
        <w:tc>
          <w:tcPr>
            <w:tcW w:w="550" w:type="pct"/>
            <w:vAlign w:val="top"/>
          </w:tcPr>
          <w:p w14:paraId="4B645B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0.053</w:t>
            </w:r>
          </w:p>
        </w:tc>
        <w:tc>
          <w:tcPr>
            <w:tcW w:w="454" w:type="pct"/>
            <w:vAlign w:val="top"/>
          </w:tcPr>
          <w:p w14:paraId="47C625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0.185</w:t>
            </w:r>
          </w:p>
        </w:tc>
        <w:tc>
          <w:tcPr>
            <w:tcW w:w="763" w:type="pct"/>
            <w:vAlign w:val="top"/>
          </w:tcPr>
          <w:p w14:paraId="5129C17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(-0.515, 0.622)</w:t>
            </w:r>
          </w:p>
        </w:tc>
      </w:tr>
      <w:tr w14:paraId="404F514D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26A967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2F73CD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744A1E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SRH</w:t>
            </w:r>
          </w:p>
        </w:tc>
        <w:tc>
          <w:tcPr>
            <w:tcW w:w="403" w:type="pct"/>
            <w:vAlign w:val="top"/>
          </w:tcPr>
          <w:p w14:paraId="640FC7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69AC19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6941E4A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16CC34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-0.724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454" w:type="pct"/>
            <w:vAlign w:val="top"/>
          </w:tcPr>
          <w:p w14:paraId="4AE1E8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-2.433</w:t>
            </w:r>
          </w:p>
        </w:tc>
        <w:tc>
          <w:tcPr>
            <w:tcW w:w="763" w:type="pct"/>
            <w:vAlign w:val="top"/>
          </w:tcPr>
          <w:p w14:paraId="71A24C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(-1.308, -0.139)</w:t>
            </w:r>
          </w:p>
        </w:tc>
      </w:tr>
      <w:tr w14:paraId="30BBDEA0">
        <w:trPr>
          <w:trHeight w:val="326" w:hRule="atLeast"/>
          <w:jc w:val="center"/>
        </w:trPr>
        <w:tc>
          <w:tcPr>
            <w:tcW w:w="986" w:type="pct"/>
            <w:vMerge w:val="continue"/>
            <w:vAlign w:val="top"/>
          </w:tcPr>
          <w:p w14:paraId="50D967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59" w:type="pct"/>
            <w:vAlign w:val="top"/>
          </w:tcPr>
          <w:p w14:paraId="4977CB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578" w:type="pct"/>
            <w:vAlign w:val="center"/>
          </w:tcPr>
          <w:p w14:paraId="71D60A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Frailty</w:t>
            </w:r>
          </w:p>
        </w:tc>
        <w:tc>
          <w:tcPr>
            <w:tcW w:w="403" w:type="pct"/>
            <w:vAlign w:val="top"/>
          </w:tcPr>
          <w:p w14:paraId="673FBA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362" w:type="pct"/>
            <w:vAlign w:val="top"/>
          </w:tcPr>
          <w:p w14:paraId="3F6F4A9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440" w:type="pct"/>
            <w:vAlign w:val="top"/>
          </w:tcPr>
          <w:p w14:paraId="198106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</w:rPr>
              <w:t>-</w:t>
            </w:r>
          </w:p>
        </w:tc>
        <w:tc>
          <w:tcPr>
            <w:tcW w:w="550" w:type="pct"/>
            <w:vAlign w:val="top"/>
          </w:tcPr>
          <w:p w14:paraId="7D34E4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0.157</w:t>
            </w:r>
            <w:r>
              <w:rPr>
                <w:rFonts w:hint="default" w:ascii="Times New Roman" w:hAnsi="Times New Roman" w:eastAsia="宋体" w:cs="Times New Roman"/>
                <w:color w:val="2A2B2E"/>
                <w:kern w:val="2"/>
                <w:sz w:val="22"/>
                <w:szCs w:val="22"/>
                <w:shd w:val="clear" w:fill="FFFFFF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454" w:type="pct"/>
            <w:vAlign w:val="top"/>
          </w:tcPr>
          <w:p w14:paraId="2A00B2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6.023</w:t>
            </w:r>
          </w:p>
        </w:tc>
        <w:tc>
          <w:tcPr>
            <w:tcW w:w="763" w:type="pct"/>
            <w:vAlign w:val="top"/>
          </w:tcPr>
          <w:p w14:paraId="3705A7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highlight w:val="none"/>
                <w:shd w:val="clear" w:color="auto" w:fill="FFFFFF"/>
                <w:lang w:val="en-US"/>
              </w:rPr>
              <w:t>(0.105, 0.208)</w:t>
            </w:r>
          </w:p>
        </w:tc>
      </w:tr>
    </w:tbl>
    <w:p w14:paraId="616305C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lang w:val="en-US"/>
        </w:rPr>
      </w:pPr>
      <w:r>
        <w:rPr>
          <w:rFonts w:hint="default" w:ascii="Times New Roman Regular" w:hAnsi="Times New Roman Regular" w:eastAsia="Times New Roman Regular" w:cs="Times New Roman Regular"/>
          <w:i/>
          <w:iCs w:val="0"/>
          <w:kern w:val="2"/>
          <w:sz w:val="24"/>
          <w:szCs w:val="24"/>
          <w:vertAlign w:val="superscript"/>
          <w:lang w:val="en-US" w:eastAsia="zh-CN" w:bidi="ar"/>
        </w:rPr>
        <w:t>***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Times New Roman Regular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P&lt;0.001; </w:t>
      </w:r>
      <w:r>
        <w:rPr>
          <w:rFonts w:hint="default" w:ascii="Times New Roman Regular" w:hAnsi="Times New Roman Regular" w:eastAsia="Times New Roman Regular" w:cs="Times New Roman Regular"/>
          <w:i/>
          <w:iCs w:val="0"/>
          <w:kern w:val="2"/>
          <w:sz w:val="24"/>
          <w:szCs w:val="24"/>
          <w:vertAlign w:val="superscript"/>
          <w:lang w:val="en-US" w:eastAsia="zh-CN" w:bidi="ar"/>
        </w:rPr>
        <w:t>**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Times New Roman Regular" w:cs="Times New Roman Regular"/>
          <w:i/>
          <w:iCs w:val="0"/>
          <w:kern w:val="2"/>
          <w:sz w:val="24"/>
          <w:szCs w:val="24"/>
          <w:lang w:val="en-US" w:eastAsia="zh-CN" w:bidi="ar"/>
        </w:rPr>
        <w:t>P&lt;0.0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5</w:t>
      </w:r>
      <w:r>
        <w:rPr>
          <w:rFonts w:hint="default" w:ascii="Times New Roman Regular" w:hAnsi="Times New Roman Regular" w:eastAsia="Times New Roman Regular" w:cs="Times New Roman Regular"/>
          <w:i/>
          <w:iCs w:val="0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Times New Roman Regular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CI: Confidence interval; </w:t>
      </w:r>
      <w:r>
        <w:rPr>
          <w:rFonts w:hint="default" w:ascii="Times New Roman Regular" w:hAnsi="Times New Roman Regular" w:eastAsia="Times New Roman Regular" w:cs="Times New Roman Regular"/>
          <w:i/>
          <w:sz w:val="24"/>
          <w:lang w:bidi="ar"/>
        </w:rPr>
        <w:t xml:space="preserve">B: Unstandardised coefficient; </w:t>
      </w:r>
      <w:r>
        <w:rPr>
          <w:rFonts w:hint="default" w:ascii="Times New Roman Regular" w:hAnsi="Times New Roman Regular" w:eastAsia="Times New Roman Regular" w:cs="Times New Roman Regular"/>
          <w:i/>
          <w:iCs w:val="0"/>
          <w:kern w:val="2"/>
          <w:sz w:val="24"/>
          <w:szCs w:val="24"/>
          <w:lang w:val="en-US" w:eastAsia="zh-CN" w:bidi="ar"/>
        </w:rPr>
        <w:t>SRH: Self-Rated Health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; Sleep duration: The unit of measurement is hours;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>FI is calculated as (total deficits / 30 items) × 100;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sz w:val="24"/>
          <w:shd w:val="clear" w:color="auto" w:fill="FFFFFF"/>
          <w:lang w:val="en-US"/>
        </w:rPr>
        <w:t xml:space="preserve">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 xml:space="preserve">The score ranges of the CESD-10, SRH, and FI are 0–30, 1–5, and 0–100, respectively; A higher score of SRH indicated better SRH, while higher scores of the FI reflected greater frailty severity; </w:t>
      </w:r>
    </w:p>
    <w:p w14:paraId="69F71AA0">
      <w:pPr>
        <w:spacing w:line="240" w:lineRule="auto"/>
        <w:jc w:val="both"/>
        <w:rPr>
          <w:rFonts w:hint="default" w:ascii="Times New Roman Regular" w:hAnsi="Times New Roman Regular" w:eastAsia="宋体" w:cs="Times New Roman Regular"/>
          <w:b w:val="0"/>
          <w:bCs w:val="0"/>
          <w:kern w:val="2"/>
          <w:sz w:val="24"/>
          <w:szCs w:val="24"/>
          <w:lang w:val="en-US" w:eastAsia="zh-CN" w:bidi="ar"/>
        </w:rPr>
      </w:pPr>
    </w:p>
    <w:p w14:paraId="3B0EEDC4">
      <w:pPr>
        <w:rPr>
          <w:rFonts w:hint="default" w:ascii="Times New Roman" w:hAnsi="Times New Roman" w:eastAsia="宋体" w:cs="Times New Roman"/>
          <w:i/>
          <w:iCs/>
          <w:color w:val="2A2B2E"/>
          <w:sz w:val="22"/>
          <w:szCs w:val="22"/>
          <w:shd w:val="clear" w:color="auto" w:fill="FFFFFF"/>
          <w:lang w:val="en-US"/>
        </w:rPr>
      </w:pPr>
      <w:r>
        <w:rPr>
          <w:rFonts w:hint="default" w:ascii="Times New Roman" w:hAnsi="Times New Roman" w:eastAsia="宋体" w:cs="Times New Roman"/>
          <w:i/>
          <w:iCs/>
          <w:color w:val="2A2B2E"/>
          <w:sz w:val="22"/>
          <w:szCs w:val="22"/>
          <w:shd w:val="clear" w:color="auto" w:fill="FFFFFF"/>
          <w:lang w:val="en-US"/>
        </w:rPr>
        <w:br w:type="page"/>
      </w:r>
    </w:p>
    <w:p w14:paraId="153CF9C3">
      <w:pPr>
        <w:spacing w:line="360" w:lineRule="auto"/>
        <w:jc w:val="center"/>
        <w:rPr>
          <w:rFonts w:hint="default" w:ascii="Times New Roman Bold" w:hAnsi="Times New Roman Bold" w:cs="Times New Roman Bold"/>
          <w:b/>
          <w:bCs/>
          <w:i w:val="0"/>
          <w:iCs w:val="0"/>
          <w:sz w:val="24"/>
          <w:szCs w:val="24"/>
          <w:highlight w:val="yellow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Supplementary Table </w:t>
      </w:r>
      <w:r>
        <w:rPr>
          <w:rFonts w:hint="eastAsia" w:ascii="Times New Roman Bold" w:hAnsi="Times New Roman Bold" w:cs="Times New Roman Bold"/>
          <w:b/>
          <w:bCs/>
          <w:i w:val="0"/>
          <w:iCs w:val="0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 Bold" w:hAnsi="Times New Roman Bold" w:cs="Times New Roman Bold"/>
          <w:b/>
          <w:bCs/>
          <w:i w:val="0"/>
          <w:iCs w:val="0"/>
          <w:sz w:val="24"/>
          <w:szCs w:val="24"/>
          <w:highlight w:val="none"/>
          <w:lang w:val="en-US" w:eastAsia="zh-CN"/>
        </w:rPr>
        <w:t>. The mediating effects of sleep duration on depressive symptoms with SRH and frailty in model 2 and model 5</w:t>
      </w:r>
    </w:p>
    <w:tbl>
      <w:tblPr>
        <w:tblStyle w:val="3"/>
        <w:tblW w:w="1387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1"/>
        <w:gridCol w:w="1007"/>
        <w:gridCol w:w="892"/>
        <w:gridCol w:w="1308"/>
        <w:gridCol w:w="1910"/>
        <w:gridCol w:w="1389"/>
        <w:gridCol w:w="1426"/>
        <w:gridCol w:w="2283"/>
      </w:tblGrid>
      <w:tr w14:paraId="48F87D17">
        <w:trPr>
          <w:trHeight w:val="692" w:hRule="atLeast"/>
          <w:jc w:val="center"/>
        </w:trPr>
        <w:tc>
          <w:tcPr>
            <w:tcW w:w="3661" w:type="dxa"/>
            <w:vMerge w:val="restart"/>
          </w:tcPr>
          <w:p w14:paraId="597C3A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117" w:type="dxa"/>
            <w:gridSpan w:val="4"/>
            <w:tcBorders>
              <w:bottom w:val="single" w:color="auto" w:sz="4" w:space="0"/>
            </w:tcBorders>
          </w:tcPr>
          <w:p w14:paraId="1624BB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kern w:val="2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 xml:space="preserve">Model 2: </w:t>
            </w:r>
          </w:p>
          <w:p w14:paraId="161B84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kern w:val="2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kern w:val="2"/>
                <w:sz w:val="22"/>
                <w:szCs w:val="22"/>
                <w:shd w:val="clear" w:fill="FFFFFF"/>
                <w:lang w:val="en-US" w:eastAsia="zh-CN" w:bidi="ar"/>
              </w:rPr>
              <w:t>sleep duration ≤ 6 hours</w:t>
            </w:r>
          </w:p>
          <w:p w14:paraId="6E4309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2"/>
                <w:szCs w:val="22"/>
                <w:lang w:val="en-US" w:eastAsia="zh-CN" w:bidi="ar"/>
              </w:rPr>
              <w:t>N=</w:t>
            </w:r>
            <w:r>
              <w:rPr>
                <w:rFonts w:hint="default" w:ascii="Times New Roman Bold" w:hAnsi="Times New Roman Bold" w:eastAsia="Times New Roman Bold" w:cs="Times New Roman Bold"/>
                <w:b/>
                <w:bCs/>
                <w:kern w:val="2"/>
                <w:sz w:val="22"/>
                <w:szCs w:val="22"/>
                <w:lang w:val="en-US" w:eastAsia="zh-CN" w:bidi="ar"/>
              </w:rPr>
              <w:t>2919</w:t>
            </w:r>
          </w:p>
        </w:tc>
        <w:tc>
          <w:tcPr>
            <w:tcW w:w="5098" w:type="dxa"/>
            <w:gridSpan w:val="3"/>
            <w:tcBorders>
              <w:bottom w:val="single" w:color="auto" w:sz="4" w:space="0"/>
            </w:tcBorders>
          </w:tcPr>
          <w:p w14:paraId="4E23E3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 xml:space="preserve">: </w:t>
            </w:r>
          </w:p>
          <w:p w14:paraId="48D587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sleep duration &gt; 8 hours</w:t>
            </w:r>
          </w:p>
          <w:p w14:paraId="7BA502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2"/>
                <w:szCs w:val="22"/>
                <w:highlight w:val="none"/>
                <w:lang w:val="en-US" w:eastAsia="zh-CN"/>
              </w:rPr>
              <w:t>459</w:t>
            </w:r>
          </w:p>
        </w:tc>
      </w:tr>
      <w:tr w14:paraId="10DE299E">
        <w:trPr>
          <w:trHeight w:val="692" w:hRule="atLeast"/>
          <w:jc w:val="center"/>
        </w:trPr>
        <w:tc>
          <w:tcPr>
            <w:tcW w:w="3661" w:type="dxa"/>
            <w:vMerge w:val="continue"/>
            <w:tcBorders>
              <w:bottom w:val="single" w:color="auto" w:sz="4" w:space="0"/>
            </w:tcBorders>
          </w:tcPr>
          <w:p w14:paraId="38767A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07" w:type="dxa"/>
            <w:tcBorders>
              <w:bottom w:val="single" w:color="auto" w:sz="4" w:space="0"/>
            </w:tcBorders>
          </w:tcPr>
          <w:p w14:paraId="0BEACD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  <w:lang w:val="en-US"/>
              </w:rPr>
              <w:t>B</w:t>
            </w:r>
          </w:p>
        </w:tc>
        <w:tc>
          <w:tcPr>
            <w:tcW w:w="892" w:type="dxa"/>
            <w:tcBorders>
              <w:bottom w:val="single" w:color="auto" w:sz="4" w:space="0"/>
            </w:tcBorders>
          </w:tcPr>
          <w:p w14:paraId="66D244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SE</w:t>
            </w:r>
          </w:p>
        </w:tc>
        <w:tc>
          <w:tcPr>
            <w:tcW w:w="1308" w:type="dxa"/>
            <w:tcBorders>
              <w:bottom w:val="single" w:color="auto" w:sz="4" w:space="0"/>
            </w:tcBorders>
          </w:tcPr>
          <w:p w14:paraId="67A9C4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  <w:t>Mediating effect</w:t>
            </w:r>
          </w:p>
        </w:tc>
        <w:tc>
          <w:tcPr>
            <w:tcW w:w="1910" w:type="dxa"/>
            <w:tcBorders>
              <w:bottom w:val="single" w:color="auto" w:sz="4" w:space="0"/>
            </w:tcBorders>
          </w:tcPr>
          <w:p w14:paraId="046055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95%CI</w:t>
            </w:r>
          </w:p>
        </w:tc>
        <w:tc>
          <w:tcPr>
            <w:tcW w:w="1389" w:type="dxa"/>
            <w:tcBorders>
              <w:bottom w:val="single" w:color="auto" w:sz="4" w:space="0"/>
            </w:tcBorders>
            <w:vAlign w:val="top"/>
          </w:tcPr>
          <w:p w14:paraId="212A914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  <w:lang w:val="en-US"/>
              </w:rPr>
              <w:t>B</w:t>
            </w:r>
          </w:p>
        </w:tc>
        <w:tc>
          <w:tcPr>
            <w:tcW w:w="1426" w:type="dxa"/>
            <w:tcBorders>
              <w:bottom w:val="single" w:color="auto" w:sz="4" w:space="0"/>
            </w:tcBorders>
            <w:vAlign w:val="top"/>
          </w:tcPr>
          <w:p w14:paraId="1A99EB9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SE</w:t>
            </w:r>
          </w:p>
        </w:tc>
        <w:tc>
          <w:tcPr>
            <w:tcW w:w="2283" w:type="dxa"/>
            <w:tcBorders>
              <w:bottom w:val="single" w:color="auto" w:sz="4" w:space="0"/>
            </w:tcBorders>
            <w:vAlign w:val="top"/>
          </w:tcPr>
          <w:p w14:paraId="784902C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color w:val="2A2B2E"/>
                <w:sz w:val="22"/>
                <w:szCs w:val="22"/>
                <w:shd w:val="clear" w:color="auto" w:fill="FFFFFF"/>
              </w:rPr>
              <w:t>95%CI</w:t>
            </w:r>
          </w:p>
        </w:tc>
      </w:tr>
      <w:tr w14:paraId="3C5DE0B2">
        <w:trPr>
          <w:trHeight w:val="648" w:hRule="atLeast"/>
          <w:jc w:val="center"/>
        </w:trPr>
        <w:tc>
          <w:tcPr>
            <w:tcW w:w="3661" w:type="dxa"/>
            <w:tcBorders>
              <w:top w:val="single" w:color="auto" w:sz="4" w:space="0"/>
            </w:tcBorders>
          </w:tcPr>
          <w:p w14:paraId="270EB22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Total effect sleep duration → depressive symptoms</w:t>
            </w:r>
          </w:p>
        </w:tc>
        <w:tc>
          <w:tcPr>
            <w:tcW w:w="1007" w:type="dxa"/>
            <w:tcBorders>
              <w:top w:val="single" w:color="auto" w:sz="4" w:space="0"/>
            </w:tcBorders>
          </w:tcPr>
          <w:p w14:paraId="6A20A7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-1.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514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  <w:tcBorders>
              <w:top w:val="single" w:color="auto" w:sz="4" w:space="0"/>
            </w:tcBorders>
          </w:tcPr>
          <w:p w14:paraId="151BE7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96</w:t>
            </w:r>
          </w:p>
        </w:tc>
        <w:tc>
          <w:tcPr>
            <w:tcW w:w="1308" w:type="dxa"/>
            <w:tcBorders>
              <w:top w:val="single" w:color="auto" w:sz="4" w:space="0"/>
            </w:tcBorders>
          </w:tcPr>
          <w:p w14:paraId="0AA916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100%</w:t>
            </w:r>
          </w:p>
        </w:tc>
        <w:tc>
          <w:tcPr>
            <w:tcW w:w="1910" w:type="dxa"/>
            <w:tcBorders>
              <w:top w:val="single" w:color="auto" w:sz="4" w:space="0"/>
            </w:tcBorders>
          </w:tcPr>
          <w:p w14:paraId="2212E3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(-1.702, -1.325)</w:t>
            </w:r>
          </w:p>
        </w:tc>
        <w:tc>
          <w:tcPr>
            <w:tcW w:w="1389" w:type="dxa"/>
            <w:tcBorders>
              <w:top w:val="single" w:color="auto" w:sz="4" w:space="0"/>
            </w:tcBorders>
          </w:tcPr>
          <w:p w14:paraId="60AF4DB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0.194</w:t>
            </w:r>
          </w:p>
        </w:tc>
        <w:tc>
          <w:tcPr>
            <w:tcW w:w="1426" w:type="dxa"/>
            <w:tcBorders>
              <w:top w:val="single" w:color="auto" w:sz="4" w:space="0"/>
            </w:tcBorders>
          </w:tcPr>
          <w:p w14:paraId="7A7398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0.311</w:t>
            </w:r>
          </w:p>
        </w:tc>
        <w:tc>
          <w:tcPr>
            <w:tcW w:w="2283" w:type="dxa"/>
            <w:tcBorders>
              <w:top w:val="single" w:color="auto" w:sz="4" w:space="0"/>
            </w:tcBorders>
          </w:tcPr>
          <w:p w14:paraId="595B2F3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(-0.417, 0.805)</w:t>
            </w:r>
          </w:p>
        </w:tc>
      </w:tr>
      <w:tr w14:paraId="28521670">
        <w:trPr>
          <w:trHeight w:val="648" w:hRule="atLeast"/>
          <w:jc w:val="center"/>
        </w:trPr>
        <w:tc>
          <w:tcPr>
            <w:tcW w:w="3661" w:type="dxa"/>
          </w:tcPr>
          <w:p w14:paraId="064372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Direct effect sleep duration → depressive symptoms</w:t>
            </w:r>
          </w:p>
        </w:tc>
        <w:tc>
          <w:tcPr>
            <w:tcW w:w="1007" w:type="dxa"/>
          </w:tcPr>
          <w:p w14:paraId="6E2768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1.004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24CE72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89</w:t>
            </w:r>
          </w:p>
        </w:tc>
        <w:tc>
          <w:tcPr>
            <w:tcW w:w="1308" w:type="dxa"/>
          </w:tcPr>
          <w:p w14:paraId="04739EE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66.3%</w:t>
            </w:r>
          </w:p>
        </w:tc>
        <w:tc>
          <w:tcPr>
            <w:tcW w:w="1910" w:type="dxa"/>
          </w:tcPr>
          <w:p w14:paraId="08494A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(-1.178, -0.830)</w:t>
            </w:r>
          </w:p>
        </w:tc>
        <w:tc>
          <w:tcPr>
            <w:tcW w:w="1389" w:type="dxa"/>
          </w:tcPr>
          <w:p w14:paraId="5B0491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0.053</w:t>
            </w:r>
          </w:p>
        </w:tc>
        <w:tc>
          <w:tcPr>
            <w:tcW w:w="1426" w:type="dxa"/>
          </w:tcPr>
          <w:p w14:paraId="7CE15C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0.289</w:t>
            </w:r>
          </w:p>
        </w:tc>
        <w:tc>
          <w:tcPr>
            <w:tcW w:w="2283" w:type="dxa"/>
          </w:tcPr>
          <w:p w14:paraId="277DA8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(-0.515, 0.622)</w:t>
            </w:r>
          </w:p>
        </w:tc>
      </w:tr>
      <w:tr w14:paraId="43AE61F8">
        <w:trPr>
          <w:trHeight w:val="648" w:hRule="atLeast"/>
          <w:jc w:val="center"/>
        </w:trPr>
        <w:tc>
          <w:tcPr>
            <w:tcW w:w="3661" w:type="dxa"/>
          </w:tcPr>
          <w:p w14:paraId="2F7B7AB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Total indirect effect sleep duration → depressive symptoms</w:t>
            </w:r>
          </w:p>
        </w:tc>
        <w:tc>
          <w:tcPr>
            <w:tcW w:w="1007" w:type="dxa"/>
          </w:tcPr>
          <w:p w14:paraId="74AE771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510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27D0D4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49</w:t>
            </w:r>
          </w:p>
        </w:tc>
        <w:tc>
          <w:tcPr>
            <w:tcW w:w="1308" w:type="dxa"/>
          </w:tcPr>
          <w:p w14:paraId="050CEE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33.7%</w:t>
            </w:r>
          </w:p>
        </w:tc>
        <w:tc>
          <w:tcPr>
            <w:tcW w:w="1910" w:type="dxa"/>
          </w:tcPr>
          <w:p w14:paraId="3B8B74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(-0.607, -0.415)</w:t>
            </w:r>
          </w:p>
        </w:tc>
        <w:tc>
          <w:tcPr>
            <w:tcW w:w="1389" w:type="dxa"/>
          </w:tcPr>
          <w:p w14:paraId="1D520B5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0.141</w:t>
            </w:r>
          </w:p>
        </w:tc>
        <w:tc>
          <w:tcPr>
            <w:tcW w:w="1426" w:type="dxa"/>
          </w:tcPr>
          <w:p w14:paraId="373371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0.135</w:t>
            </w:r>
          </w:p>
        </w:tc>
        <w:tc>
          <w:tcPr>
            <w:tcW w:w="2283" w:type="dxa"/>
          </w:tcPr>
          <w:p w14:paraId="12A5D57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(-0.131, 0.407)</w:t>
            </w:r>
          </w:p>
        </w:tc>
      </w:tr>
      <w:tr w14:paraId="135EC7A1">
        <w:trPr>
          <w:trHeight w:val="648" w:hRule="atLeast"/>
          <w:jc w:val="center"/>
        </w:trPr>
        <w:tc>
          <w:tcPr>
            <w:tcW w:w="3661" w:type="dxa"/>
          </w:tcPr>
          <w:p w14:paraId="407BBB7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Path 1: Sleep duration → SRH → depressive symptoms</w:t>
            </w:r>
          </w:p>
        </w:tc>
        <w:tc>
          <w:tcPr>
            <w:tcW w:w="1007" w:type="dxa"/>
          </w:tcPr>
          <w:p w14:paraId="4FE1610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180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6F5964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308" w:type="dxa"/>
          </w:tcPr>
          <w:p w14:paraId="3939AB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11.9%</w:t>
            </w:r>
          </w:p>
        </w:tc>
        <w:tc>
          <w:tcPr>
            <w:tcW w:w="1910" w:type="dxa"/>
          </w:tcPr>
          <w:p w14:paraId="0C9D97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(-0.234, -0.133)</w:t>
            </w:r>
          </w:p>
        </w:tc>
        <w:tc>
          <w:tcPr>
            <w:tcW w:w="1389" w:type="dxa"/>
          </w:tcPr>
          <w:p w14:paraId="7BDCB1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-0.030</w:t>
            </w:r>
          </w:p>
        </w:tc>
        <w:tc>
          <w:tcPr>
            <w:tcW w:w="1426" w:type="dxa"/>
          </w:tcPr>
          <w:p w14:paraId="2AF35FF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0.046</w:t>
            </w:r>
          </w:p>
        </w:tc>
        <w:tc>
          <w:tcPr>
            <w:tcW w:w="2283" w:type="dxa"/>
          </w:tcPr>
          <w:p w14:paraId="46F04B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(-0.133, 0.054)</w:t>
            </w:r>
          </w:p>
        </w:tc>
      </w:tr>
      <w:tr w14:paraId="085357D0">
        <w:trPr>
          <w:trHeight w:val="648" w:hRule="atLeast"/>
          <w:jc w:val="center"/>
        </w:trPr>
        <w:tc>
          <w:tcPr>
            <w:tcW w:w="3661" w:type="dxa"/>
          </w:tcPr>
          <w:p w14:paraId="1003F57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Path 2: Sleep duration → frailty → depressive symptoms</w:t>
            </w:r>
          </w:p>
        </w:tc>
        <w:tc>
          <w:tcPr>
            <w:tcW w:w="1007" w:type="dxa"/>
          </w:tcPr>
          <w:p w14:paraId="5D4DC2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200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7A15C9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308" w:type="dxa"/>
          </w:tcPr>
          <w:p w14:paraId="06BA750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13.2%</w:t>
            </w:r>
          </w:p>
        </w:tc>
        <w:tc>
          <w:tcPr>
            <w:tcW w:w="1910" w:type="dxa"/>
          </w:tcPr>
          <w:p w14:paraId="1BEDDE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(-0.264, -0.143)</w:t>
            </w:r>
          </w:p>
        </w:tc>
        <w:tc>
          <w:tcPr>
            <w:tcW w:w="1389" w:type="dxa"/>
          </w:tcPr>
          <w:p w14:paraId="1499F6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0.211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426" w:type="dxa"/>
          </w:tcPr>
          <w:p w14:paraId="4FD4C01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0.088</w:t>
            </w:r>
          </w:p>
        </w:tc>
        <w:tc>
          <w:tcPr>
            <w:tcW w:w="2283" w:type="dxa"/>
          </w:tcPr>
          <w:p w14:paraId="14F2AD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(0.044, 0.393)</w:t>
            </w:r>
          </w:p>
        </w:tc>
      </w:tr>
      <w:tr w14:paraId="5F92479F">
        <w:trPr>
          <w:trHeight w:val="658" w:hRule="atLeast"/>
          <w:jc w:val="center"/>
        </w:trPr>
        <w:tc>
          <w:tcPr>
            <w:tcW w:w="3661" w:type="dxa"/>
          </w:tcPr>
          <w:p w14:paraId="6A04F4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Path 3: Sleep duration → SRH → frailty → depressive symptoms</w:t>
            </w:r>
          </w:p>
        </w:tc>
        <w:tc>
          <w:tcPr>
            <w:tcW w:w="1007" w:type="dxa"/>
          </w:tcPr>
          <w:p w14:paraId="1A8E62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-0.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129</w:t>
            </w: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892" w:type="dxa"/>
          </w:tcPr>
          <w:p w14:paraId="62B126F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1308" w:type="dxa"/>
          </w:tcPr>
          <w:p w14:paraId="08AAFD7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8.5%</w:t>
            </w:r>
          </w:p>
        </w:tc>
        <w:tc>
          <w:tcPr>
            <w:tcW w:w="1910" w:type="dxa"/>
          </w:tcPr>
          <w:p w14:paraId="351DBA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(-0.164, -0.097)</w:t>
            </w:r>
          </w:p>
        </w:tc>
        <w:tc>
          <w:tcPr>
            <w:tcW w:w="1389" w:type="dxa"/>
          </w:tcPr>
          <w:p w14:paraId="37F9594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-0.040</w:t>
            </w:r>
          </w:p>
        </w:tc>
        <w:tc>
          <w:tcPr>
            <w:tcW w:w="1426" w:type="dxa"/>
          </w:tcPr>
          <w:p w14:paraId="77B66E9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 w:eastAsia="zh-CN"/>
              </w:rPr>
              <w:t>0.057</w:t>
            </w:r>
          </w:p>
        </w:tc>
        <w:tc>
          <w:tcPr>
            <w:tcW w:w="2283" w:type="dxa"/>
          </w:tcPr>
          <w:p w14:paraId="5FF381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A2B2E"/>
                <w:sz w:val="22"/>
                <w:szCs w:val="22"/>
                <w:shd w:val="clear" w:color="auto" w:fill="FFFFFF"/>
                <w:lang w:val="en-US"/>
              </w:rPr>
              <w:t>(-0.165, 0.064)</w:t>
            </w:r>
          </w:p>
        </w:tc>
      </w:tr>
    </w:tbl>
    <w:p w14:paraId="595565C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The 95% CI does not include 0;</w:t>
      </w: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CI: Confidence interval; </w:t>
      </w:r>
      <w:r>
        <w:rPr>
          <w:rFonts w:hint="default" w:ascii="Times New Roman Regular" w:hAnsi="Times New Roman Regular" w:eastAsia="宋体" w:cs="Times New Roman Regular"/>
          <w:b w:val="0"/>
          <w:bCs w:val="0"/>
          <w:i/>
          <w:iCs/>
          <w:color w:val="2A2B2E"/>
          <w:sz w:val="24"/>
          <w:shd w:val="clear" w:color="auto" w:fill="FFFFFF"/>
        </w:rPr>
        <w:t>B: Unstandardised coefficient;</w:t>
      </w:r>
      <w:r>
        <w:rPr>
          <w:rFonts w:hint="default" w:ascii="Times New Roman Regular" w:hAnsi="Times New Roman Regular" w:eastAsia="宋体" w:cs="Times New Roman Regular"/>
          <w:b w:val="0"/>
          <w:bCs w:val="0"/>
          <w:i/>
          <w:iCs/>
          <w:color w:val="2A2B2E"/>
          <w:sz w:val="24"/>
          <w:shd w:val="clear" w:color="auto" w:fill="FFFFFF"/>
          <w:lang w:val="en-US"/>
        </w:rPr>
        <w:t xml:space="preserve"> SE: Standard error; 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SRH: Self-Rated Health; Sleep duration: The unit of measurement is hours;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>FI is calculated as (total deficits / 30 items) × 100;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>The score ranges of the CESD-10, SRH, and FI are 0–30, 1–5, and 0–100, respectively</w:t>
      </w:r>
      <w: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 xml:space="preserve">. </w:t>
      </w:r>
      <w:r>
        <w:rPr>
          <w:rFonts w:hint="eastAsia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  <w:t>The sum of three indirect effects is not exactly equal to the total indirect effect, which is attributed to the retention of decimal places</w:t>
      </w:r>
      <w:r>
        <w:rPr>
          <w:rFonts w:hint="default" w:ascii="Times New Roman Regular" w:hAnsi="Times New Roman Regular" w:eastAsia="宋体" w:cs="Times New Roman Regular"/>
          <w:i/>
          <w:iCs/>
          <w:color w:val="2A2B2E"/>
          <w:kern w:val="2"/>
          <w:sz w:val="24"/>
          <w:szCs w:val="24"/>
          <w:shd w:val="clear" w:fill="FFFFFF"/>
          <w:lang w:val="en-US" w:eastAsia="zh-CN" w:bidi="ar"/>
        </w:rPr>
        <w:t>.</w:t>
      </w:r>
    </w:p>
    <w:p w14:paraId="57DEBCF1">
      <w:pPr>
        <w:rPr>
          <w:rFonts w:hint="default" w:ascii="Times New Roman Regular" w:hAnsi="Times New Roman Regular" w:eastAsia="T" w:cs="Times New Roman Regular"/>
          <w:i/>
          <w:iCs w:val="0"/>
          <w:kern w:val="2"/>
          <w:sz w:val="24"/>
          <w:szCs w:val="24"/>
          <w:lang w:val="en-US" w:eastAsia="zh-CN" w:bidi="ar"/>
        </w:rPr>
      </w:pPr>
    </w:p>
    <w:p w14:paraId="5493E81C">
      <w:pPr>
        <w:rPr>
          <w:rFonts w:hint="default" w:ascii="Times New Roman" w:hAnsi="Times New Roman" w:eastAsia="宋体" w:cs="Times New Roman"/>
          <w:i/>
          <w:iCs/>
          <w:color w:val="2A2B2E"/>
          <w:sz w:val="22"/>
          <w:szCs w:val="22"/>
          <w:shd w:val="clear" w:color="auto" w:fill="FFFFFF"/>
          <w:lang w:val="en-US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ABE08A"/>
    <w:rsid w:val="37FA8488"/>
    <w:rsid w:val="3BDBDE57"/>
    <w:rsid w:val="3FFDC7D3"/>
    <w:rsid w:val="4FFF86FD"/>
    <w:rsid w:val="5BCFEBFC"/>
    <w:rsid w:val="5DF786ED"/>
    <w:rsid w:val="5FFE731C"/>
    <w:rsid w:val="625C45AD"/>
    <w:rsid w:val="67FD8CDE"/>
    <w:rsid w:val="79F850CD"/>
    <w:rsid w:val="7AFFE293"/>
    <w:rsid w:val="7B7B6EBA"/>
    <w:rsid w:val="7D2D08DA"/>
    <w:rsid w:val="7DFF10C1"/>
    <w:rsid w:val="7EAF8F66"/>
    <w:rsid w:val="7EBFE310"/>
    <w:rsid w:val="7FBDA80E"/>
    <w:rsid w:val="7FF7B608"/>
    <w:rsid w:val="7FFCDA6E"/>
    <w:rsid w:val="7FFFB930"/>
    <w:rsid w:val="AFEBD8BA"/>
    <w:rsid w:val="B578C78F"/>
    <w:rsid w:val="B7F373CD"/>
    <w:rsid w:val="BCDF0586"/>
    <w:rsid w:val="BCFF461F"/>
    <w:rsid w:val="CB9F45FF"/>
    <w:rsid w:val="D1E9481D"/>
    <w:rsid w:val="DCBFD292"/>
    <w:rsid w:val="EBDEAA7C"/>
    <w:rsid w:val="EBEF721D"/>
    <w:rsid w:val="EF9645ED"/>
    <w:rsid w:val="F6F0781D"/>
    <w:rsid w:val="FA9A1DF5"/>
    <w:rsid w:val="FAFB15A4"/>
    <w:rsid w:val="FBABE08A"/>
    <w:rsid w:val="FCBF3F40"/>
    <w:rsid w:val="FCDFB0A8"/>
    <w:rsid w:val="FCEF2B02"/>
    <w:rsid w:val="FFF7E732"/>
    <w:rsid w:val="FFF9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1</Lines>
  <Paragraphs>1</Paragraphs>
  <TotalTime>1</TotalTime>
  <ScaleCrop>false</ScaleCrop>
  <LinksUpToDate>false</LinksUpToDate>
  <CharactersWithSpaces>0</CharactersWithSpaces>
  <Application>WPS Office_7.2.0.8943_F1E327BC-269C-435d-A152-05C5408002CA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2025-09-07T08:21:00Z</dcterms:created>
  <dc:creator>Lilyyanglll</dc:creator>
  <cp:lastModifiedBy>Administrator</cp:lastModifiedBy>
  <dcterms:modified xsi:type="dcterms:W3CDTF">2026-01-08T16:18:14Z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2052-7.2.0.8943</vt:lpwstr>
  </property>
  <property fmtid="{D5CDD505-2E9C-101B-9397-08002B2CF9AE}" pid="3" name="ICV">
    <vt:lpwstr>F9480CBAF2E35F92EF4BB9687D44A7F6_41</vt:lpwstr>
  </property>
</Properties>
</file>