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7B48E">
      <w:pPr>
        <w:spacing w:line="360" w:lineRule="auto"/>
        <w:rPr>
          <w:rFonts w:hint="eastAsia"/>
        </w:rPr>
      </w:pPr>
      <w:bookmarkStart w:id="0" w:name="OLE_LINK1"/>
      <w:r>
        <w:drawing>
          <wp:inline distT="0" distB="0" distL="114300" distR="114300">
            <wp:extent cx="5267960" cy="3472180"/>
            <wp:effectExtent l="0" t="0" r="508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47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969E9A">
      <w:pPr>
        <w:spacing w:line="360" w:lineRule="auto"/>
        <w:rPr>
          <w:rFonts w:ascii="Times New Roman" w:hAnsi="Times New Roman" w:cs="Times New Roman"/>
          <w:sz w:val="20"/>
          <w:szCs w:val="21"/>
        </w:rPr>
      </w:pPr>
      <w:r>
        <w:rPr>
          <w:rFonts w:hint="eastAsia" w:ascii="Times New Roman" w:hAnsi="Times New Roman" w:cs="Times New Roman"/>
          <w:b/>
          <w:bCs/>
          <w:sz w:val="20"/>
          <w:szCs w:val="21"/>
        </w:rPr>
        <w:t xml:space="preserve">Supplementary Figure 1 </w:t>
      </w:r>
      <w:r>
        <w:rPr>
          <w:rFonts w:hint="eastAsia" w:ascii="Times New Roman" w:hAnsi="Times New Roman" w:cs="Times New Roman"/>
          <w:sz w:val="20"/>
          <w:szCs w:val="21"/>
        </w:rPr>
        <w:t xml:space="preserve">Histogram of older </w:t>
      </w:r>
      <w:r>
        <w:rPr>
          <w:rFonts w:ascii="Times New Roman" w:hAnsi="Times New Roman" w:cs="Times New Roman"/>
          <w:sz w:val="20"/>
          <w:szCs w:val="21"/>
        </w:rPr>
        <w:t>adults’</w:t>
      </w:r>
      <w:r>
        <w:rPr>
          <w:rFonts w:hint="eastAsia" w:ascii="Times New Roman" w:hAnsi="Times New Roman" w:cs="Times New Roman"/>
          <w:sz w:val="20"/>
          <w:szCs w:val="21"/>
        </w:rPr>
        <w:t xml:space="preserve"> willingness to use medical visit companion services.</w:t>
      </w:r>
    </w:p>
    <w:p w14:paraId="0E4F4CD2">
      <w:pPr>
        <w:rPr>
          <w:rFonts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br w:type="page"/>
      </w:r>
    </w:p>
    <w:p w14:paraId="137B34D9">
      <w:pPr>
        <w:rPr>
          <w:rFonts w:hint="eastAsia" w:ascii="Times New Roman" w:hAnsi="Times New Roman" w:cs="Times New Roman" w:eastAsiaTheme="minorEastAsia"/>
          <w:b/>
          <w:bCs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lang w:eastAsia="zh-CN"/>
        </w:rPr>
        <w:drawing>
          <wp:inline distT="0" distB="0" distL="114300" distR="114300">
            <wp:extent cx="5257165" cy="2279650"/>
            <wp:effectExtent l="0" t="0" r="635" b="6350"/>
            <wp:docPr id="2" name="图片 2" descr="论文附近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论文附近_0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165" cy="227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42C3B9">
      <w:pPr>
        <w:rPr>
          <w:rFonts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  <w:sz w:val="20"/>
          <w:szCs w:val="21"/>
        </w:rPr>
        <w:t>Supplementary Figure 2</w:t>
      </w:r>
      <w:r>
        <w:rPr>
          <w:rFonts w:hint="eastAsia" w:ascii="Times New Roman" w:hAnsi="Times New Roman" w:cs="Times New Roman"/>
          <w:sz w:val="20"/>
          <w:szCs w:val="20"/>
        </w:rPr>
        <w:t xml:space="preserve"> Conceptual framework of willingness to use medical visit companion services based on the Andersen health behavior model.</w:t>
      </w:r>
      <w:r>
        <w:rPr>
          <w:rFonts w:hint="eastAsia" w:ascii="Times New Roman" w:hAnsi="Times New Roman" w:cs="Times New Roman"/>
          <w:b/>
          <w:bCs/>
        </w:rPr>
        <w:br w:type="page"/>
      </w:r>
    </w:p>
    <w:p w14:paraId="035B42DD">
      <w:pPr>
        <w:spacing w:line="360" w:lineRule="auto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 xml:space="preserve">Supplementary </w:t>
      </w:r>
      <w:bookmarkEnd w:id="0"/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Specific needs for assistance from medical visit companion services among participants (n=494).</w:t>
      </w:r>
    </w:p>
    <w:tbl>
      <w:tblPr>
        <w:tblStyle w:val="17"/>
        <w:tblW w:w="859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0"/>
        <w:gridCol w:w="1417"/>
        <w:gridCol w:w="1396"/>
        <w:gridCol w:w="707"/>
      </w:tblGrid>
      <w:tr w14:paraId="521B42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F20C3AB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Variables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6FF577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Need (%)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CCBD3CB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Mean ± SD</w:t>
            </w:r>
          </w:p>
        </w:tc>
        <w:tc>
          <w:tcPr>
            <w:tcW w:w="7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288B884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Rank</w:t>
            </w:r>
          </w:p>
        </w:tc>
      </w:tr>
      <w:tr w14:paraId="6C8B65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AC192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Post-service evaluation of service quality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F23649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>388 (78.54)</w:t>
            </w:r>
          </w:p>
        </w:tc>
        <w:tc>
          <w:tcPr>
            <w:tcW w:w="139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BD7960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4.15±0.93</w:t>
            </w:r>
          </w:p>
        </w:tc>
        <w:tc>
          <w:tcPr>
            <w:tcW w:w="70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8A27C6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14:paraId="5499E7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3AC81A5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>Auxiliary guidance during medical examinations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9A6CDD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>409 (82.79)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14:paraId="7F32F22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4.12±1.01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60811F4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14:paraId="5A9735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2F6214C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Medical appointment scheduling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0C324C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>365 (73.89)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14:paraId="3966B90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3.90±1.22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34D4964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14:paraId="6CD742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75FDC900">
            <w:pPr>
              <w:spacing w:line="360" w:lineRule="auto"/>
              <w:rPr>
                <w:rFonts w:ascii="Times New Roman" w:hAnsi="Times New Roman" w:cs="Times New Roman"/>
              </w:rPr>
            </w:pPr>
            <w:bookmarkStart w:id="1" w:name="_Hlk170858144"/>
            <w:r>
              <w:rPr>
                <w:rFonts w:ascii="Times New Roman" w:hAnsi="Times New Roman" w:cs="Times New Roman"/>
              </w:rPr>
              <w:t>Taking medicines</w:t>
            </w:r>
            <w:bookmarkEnd w:id="1"/>
            <w:r>
              <w:rPr>
                <w:rFonts w:ascii="Times New Roman" w:hAnsi="Times New Roman" w:cs="Times New Roman"/>
              </w:rPr>
              <w:t xml:space="preserve"> in the hospital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14EC6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>361 (73.08)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14:paraId="51BDF85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3.90±1.13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7FEE1CE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14:paraId="008AF2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191F0317">
            <w:pPr>
              <w:spacing w:line="360" w:lineRule="auto"/>
              <w:rPr>
                <w:rFonts w:ascii="Times New Roman" w:hAnsi="Times New Roman" w:cs="Times New Roman"/>
              </w:rPr>
            </w:pPr>
            <w:bookmarkStart w:id="2" w:name="_Hlk170858167"/>
            <w:r>
              <w:rPr>
                <w:rFonts w:ascii="Times New Roman" w:hAnsi="Times New Roman" w:cs="Times New Roman"/>
              </w:rPr>
              <w:t>Accompan</w:t>
            </w:r>
            <w:bookmarkEnd w:id="2"/>
            <w:r>
              <w:rPr>
                <w:rFonts w:ascii="Times New Roman" w:hAnsi="Times New Roman" w:cs="Times New Roman"/>
              </w:rPr>
              <w:t>iment during medical visits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C6540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>349 (70.65)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14:paraId="3493A0F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3.89±1.15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1E92CB3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14:paraId="6AF496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6D8A77F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Assistance in emotional regulation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429B73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>360 (72.87)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14:paraId="7F65C47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3.88±1.06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7E2EF83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14:paraId="4E6EEB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444AA51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>Hospital selection tailored to the patient's condition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AD5DF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>337 (68.22)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14:paraId="5BFAC66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3.79±1.23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3E9AA9B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14:paraId="06ECF9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103BB2A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Instructions on the utilization of MVCS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D4095B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>343 (69.43)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14:paraId="11BC756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3.79±1.19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05F0EE2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14:paraId="5CC9F2A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4C34365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Mastery of disease management information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A14D0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>348 (70.45)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14:paraId="5B7CF65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3.78±1.10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6402DC4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14:paraId="5E1DBB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4A6FB0F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Assistance in communication with medical professionals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9E5A11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>337 (68.22)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14:paraId="3961DEA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3.76±1.21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7AA66FD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14:paraId="393023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35BCD3A5">
            <w:pPr>
              <w:spacing w:line="360" w:lineRule="auto"/>
              <w:rPr>
                <w:rFonts w:ascii="Times New Roman" w:hAnsi="Times New Roman" w:cs="Times New Roman"/>
              </w:rPr>
            </w:pPr>
            <w:bookmarkStart w:id="3" w:name="_Hlk170155366"/>
            <w:r>
              <w:rPr>
                <w:rFonts w:ascii="Times New Roman" w:hAnsi="Times New Roman" w:cs="Times New Roman"/>
              </w:rPr>
              <w:t xml:space="preserve">Guidance for </w:t>
            </w:r>
            <w:bookmarkEnd w:id="3"/>
            <w:r>
              <w:rPr>
                <w:rFonts w:ascii="Times New Roman" w:hAnsi="Times New Roman" w:cs="Times New Roman"/>
              </w:rPr>
              <w:t>patients on rational medication use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81029E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>338 (68.42)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14:paraId="0F25196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3.71±1.29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1D4D4A8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14:paraId="0FBA83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06DD79F5">
            <w:pPr>
              <w:spacing w:line="360" w:lineRule="auto"/>
              <w:rPr>
                <w:rFonts w:ascii="Times New Roman" w:hAnsi="Times New Roman" w:cs="Times New Roman"/>
              </w:rPr>
            </w:pPr>
            <w:bookmarkStart w:id="4" w:name="_Hlk170858300"/>
            <w:r>
              <w:rPr>
                <w:rFonts w:ascii="Times New Roman" w:hAnsi="Times New Roman" w:cs="Times New Roman"/>
              </w:rPr>
              <w:t>Picking up and dropping off patient</w:t>
            </w:r>
            <w:bookmarkEnd w:id="4"/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99C723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>302 (61.13)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14:paraId="01D6630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3.66±1.31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18A1BC1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14:paraId="300984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015B285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Scheduling of medical visit timing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1287CC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>294 (59.51)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14:paraId="2947EE4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3.48±1.28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478E100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14:paraId="16D15B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783365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>Physician-ordered prescription delivery services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6B8376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>244 (49.39)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14:paraId="4433481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3.31±1.28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7E62292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14:paraId="071B8D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78B0A02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/>
                <w:sz w:val="20"/>
                <w:szCs w:val="20"/>
              </w:rPr>
              <w:t>Assistance in accessing telehealth services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FD0A2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eastAsia="宋体"/>
                <w:color w:val="000000"/>
                <w:sz w:val="20"/>
                <w:szCs w:val="20"/>
              </w:rPr>
              <w:t>247 (50.00)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</w:tcPr>
          <w:p w14:paraId="487A678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3.23±1.38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</w:tcPr>
          <w:p w14:paraId="1AE2BA8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14:paraId="50BADE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7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710AFB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score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63199C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7E55E2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56.36±12.13</w:t>
            </w:r>
          </w:p>
        </w:tc>
        <w:tc>
          <w:tcPr>
            <w:tcW w:w="70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558F4F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2BED4FBD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Note: “Need” refers to respondents who selected “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Strongly demand</w:t>
      </w:r>
      <w:r>
        <w:rPr>
          <w:rFonts w:ascii="Times New Roman" w:hAnsi="Times New Roman" w:cs="Times New Roman"/>
        </w:rPr>
        <w:t>” or “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Demand</w:t>
      </w:r>
      <w:r>
        <w:rPr>
          <w:rFonts w:ascii="Times New Roman" w:hAnsi="Times New Roman" w:cs="Times New Roman"/>
        </w:rPr>
        <w:t>”.</w:t>
      </w:r>
    </w:p>
    <w:p w14:paraId="4A18BD42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CF90E7F">
      <w:pPr>
        <w:spacing w:line="360" w:lineRule="auto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2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hint="eastAsia" w:ascii="Times New Roman" w:hAnsi="Times New Roman" w:cs="Times New Roman"/>
        </w:rPr>
        <w:t>Multicollinearity diagnostics for the multivariable Model.</w:t>
      </w:r>
    </w:p>
    <w:tbl>
      <w:tblPr>
        <w:tblStyle w:val="17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1517"/>
      </w:tblGrid>
      <w:tr w14:paraId="69890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tcBorders>
              <w:top w:val="single" w:color="auto" w:sz="4" w:space="0"/>
              <w:bottom w:val="single" w:color="auto" w:sz="4" w:space="0"/>
            </w:tcBorders>
          </w:tcPr>
          <w:p w14:paraId="0A2F77F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1517" w:type="dxa"/>
            <w:tcBorders>
              <w:top w:val="single" w:color="auto" w:sz="4" w:space="0"/>
              <w:bottom w:val="single" w:color="auto" w:sz="4" w:space="0"/>
            </w:tcBorders>
          </w:tcPr>
          <w:p w14:paraId="45AB504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VIF</w:t>
            </w:r>
          </w:p>
        </w:tc>
      </w:tr>
      <w:tr w14:paraId="266D1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tcBorders>
              <w:top w:val="single" w:color="auto" w:sz="4" w:space="0"/>
            </w:tcBorders>
          </w:tcPr>
          <w:p w14:paraId="551CCC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Age </w:t>
            </w:r>
          </w:p>
        </w:tc>
        <w:tc>
          <w:tcPr>
            <w:tcW w:w="1517" w:type="dxa"/>
            <w:tcBorders>
              <w:top w:val="single" w:color="auto" w:sz="4" w:space="0"/>
            </w:tcBorders>
          </w:tcPr>
          <w:p w14:paraId="2902797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1.156</w:t>
            </w:r>
          </w:p>
        </w:tc>
      </w:tr>
      <w:tr w14:paraId="57C3E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</w:tcPr>
          <w:p w14:paraId="39CEF73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1517" w:type="dxa"/>
          </w:tcPr>
          <w:p w14:paraId="2512FE0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1.138</w:t>
            </w:r>
          </w:p>
        </w:tc>
      </w:tr>
      <w:tr w14:paraId="72F0E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</w:tcPr>
          <w:p w14:paraId="17C9EEB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children</w:t>
            </w:r>
          </w:p>
        </w:tc>
        <w:tc>
          <w:tcPr>
            <w:tcW w:w="1517" w:type="dxa"/>
          </w:tcPr>
          <w:p w14:paraId="3A73822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1.189</w:t>
            </w:r>
          </w:p>
        </w:tc>
      </w:tr>
      <w:tr w14:paraId="2E30F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</w:tcPr>
          <w:p w14:paraId="4754EF8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Self-rated ease of medical visits</w:t>
            </w:r>
          </w:p>
        </w:tc>
        <w:tc>
          <w:tcPr>
            <w:tcW w:w="1517" w:type="dxa"/>
          </w:tcPr>
          <w:p w14:paraId="49D4A24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1.100</w:t>
            </w:r>
          </w:p>
        </w:tc>
      </w:tr>
      <w:tr w14:paraId="2DA08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</w:tcPr>
          <w:p w14:paraId="6801CFF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MVCS awareness</w:t>
            </w:r>
          </w:p>
        </w:tc>
        <w:tc>
          <w:tcPr>
            <w:tcW w:w="1517" w:type="dxa"/>
          </w:tcPr>
          <w:p w14:paraId="45320C7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1.210</w:t>
            </w:r>
          </w:p>
        </w:tc>
      </w:tr>
      <w:tr w14:paraId="0744E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</w:tcPr>
          <w:p w14:paraId="31A210A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support</w:t>
            </w:r>
          </w:p>
        </w:tc>
        <w:tc>
          <w:tcPr>
            <w:tcW w:w="1517" w:type="dxa"/>
          </w:tcPr>
          <w:p w14:paraId="5C8979E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1.078</w:t>
            </w:r>
          </w:p>
        </w:tc>
      </w:tr>
      <w:tr w14:paraId="3D2E1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</w:tcPr>
          <w:p w14:paraId="38BD1A0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Medical visit autonomy</w:t>
            </w:r>
          </w:p>
        </w:tc>
        <w:tc>
          <w:tcPr>
            <w:tcW w:w="1517" w:type="dxa"/>
          </w:tcPr>
          <w:p w14:paraId="5FCA760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1.120</w:t>
            </w:r>
          </w:p>
        </w:tc>
      </w:tr>
      <w:tr w14:paraId="4F0EBD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</w:tcPr>
          <w:p w14:paraId="14F3678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Individualized accompaniment </w:t>
            </w:r>
          </w:p>
          <w:p w14:paraId="1693CED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demands</w:t>
            </w:r>
          </w:p>
        </w:tc>
        <w:tc>
          <w:tcPr>
            <w:tcW w:w="1517" w:type="dxa"/>
          </w:tcPr>
          <w:p w14:paraId="2B81237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1.313</w:t>
            </w:r>
          </w:p>
        </w:tc>
      </w:tr>
      <w:tr w14:paraId="3E105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</w:tcPr>
          <w:p w14:paraId="2AAFE23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Self-rated health status</w:t>
            </w:r>
          </w:p>
        </w:tc>
        <w:tc>
          <w:tcPr>
            <w:tcW w:w="1517" w:type="dxa"/>
          </w:tcPr>
          <w:p w14:paraId="218B84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1.195</w:t>
            </w:r>
          </w:p>
        </w:tc>
      </w:tr>
      <w:tr w14:paraId="0FF1D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61" w:type="dxa"/>
            <w:tcBorders>
              <w:bottom w:val="single" w:color="auto" w:sz="4" w:space="0"/>
            </w:tcBorders>
          </w:tcPr>
          <w:p w14:paraId="0593ADC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Need for assistance from MVC</w:t>
            </w:r>
            <w:r>
              <w:rPr>
                <w:rFonts w:hint="eastAsia" w:ascii="Times New Roman" w:hAnsi="Times New Roman" w:cs="Times New Roman"/>
              </w:rPr>
              <w:t>S</w:t>
            </w:r>
          </w:p>
        </w:tc>
        <w:tc>
          <w:tcPr>
            <w:tcW w:w="1517" w:type="dxa"/>
            <w:tcBorders>
              <w:bottom w:val="single" w:color="auto" w:sz="4" w:space="0"/>
            </w:tcBorders>
          </w:tcPr>
          <w:p w14:paraId="4656273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1.263</w:t>
            </w:r>
          </w:p>
        </w:tc>
      </w:tr>
    </w:tbl>
    <w:p w14:paraId="71C82539">
      <w:pPr>
        <w:spacing w:line="360" w:lineRule="auto"/>
        <w:rPr>
          <w:rFonts w:ascii="Times New Roman" w:hAnsi="Times New Roman" w:cs="Times New Roman"/>
        </w:rPr>
      </w:pPr>
    </w:p>
    <w:p w14:paraId="19C28491">
      <w:pPr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br w:type="page"/>
      </w:r>
    </w:p>
    <w:p w14:paraId="0B1DC280">
      <w:pPr>
        <w:rPr>
          <w:rFonts w:hint="eastAsia" w:ascii="Times New Roman" w:hAnsi="Times New Roman" w:cs="Times New Roman"/>
          <w:b w:val="0"/>
          <w:bCs w:val="0"/>
          <w:lang w:val="en-US" w:eastAsia="zh-CN"/>
        </w:rPr>
      </w:pPr>
      <w:r>
        <w:rPr>
          <w:rFonts w:hint="eastAsia"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3 </w:t>
      </w:r>
      <w:r>
        <w:rPr>
          <w:rFonts w:hint="eastAsia" w:ascii="Times New Roman" w:hAnsi="Times New Roman" w:cs="Times New Roman"/>
          <w:b w:val="0"/>
          <w:bCs w:val="0"/>
          <w:lang w:val="en-US" w:eastAsia="zh-CN"/>
        </w:rPr>
        <w:t>Categorical variables assignment method.</w:t>
      </w:r>
    </w:p>
    <w:tbl>
      <w:tblPr>
        <w:tblStyle w:val="1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1836"/>
        <w:gridCol w:w="1536"/>
        <w:gridCol w:w="3790"/>
      </w:tblGrid>
      <w:tr w14:paraId="3FEFD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777F26F1">
            <w:pPr>
              <w:spacing w:line="360" w:lineRule="auto"/>
              <w:rPr>
                <w:rFonts w:hint="eastAsia" w:ascii="Times New Roman" w:hAnsi="Times New Roman" w:cs="Times New Roman" w:eastAsiaTheme="minorEastAsia"/>
                <w:b/>
                <w:bCs/>
                <w:color w:val="auto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Factor</w:t>
            </w:r>
          </w:p>
        </w:tc>
        <w:tc>
          <w:tcPr>
            <w:tcW w:w="18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82707F5">
            <w:pPr>
              <w:spacing w:line="360" w:lineRule="auto"/>
              <w:rPr>
                <w:rFonts w:hint="default" w:ascii="Times New Roman" w:hAnsi="Times New Roman" w:eastAsia="等线" w:cs="Times New Roman"/>
                <w:b/>
                <w:bCs/>
                <w:color w:val="auto"/>
                <w:kern w:val="2"/>
                <w:sz w:val="21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</w:rPr>
              <w:t>Variable</w:t>
            </w:r>
          </w:p>
        </w:tc>
        <w:tc>
          <w:tcPr>
            <w:tcW w:w="1536" w:type="dxa"/>
            <w:tcBorders>
              <w:top w:val="single" w:color="auto" w:sz="4" w:space="0"/>
              <w:bottom w:val="single" w:color="auto" w:sz="4" w:space="0"/>
            </w:tcBorders>
          </w:tcPr>
          <w:p w14:paraId="3494FB24">
            <w:pPr>
              <w:spacing w:line="360" w:lineRule="auto"/>
              <w:rPr>
                <w:rFonts w:hint="default" w:ascii="Times New Roman" w:hAnsi="Times New Roman" w:eastAsia="等线" w:cs="Times New Roman"/>
                <w:b/>
                <w:bCs/>
                <w:color w:val="auto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lang w:val="en-US" w:eastAsia="zh-CN"/>
              </w:rPr>
              <w:t>Treatment in Model</w:t>
            </w:r>
          </w:p>
        </w:tc>
        <w:tc>
          <w:tcPr>
            <w:tcW w:w="3790" w:type="dxa"/>
            <w:tcBorders>
              <w:top w:val="single" w:color="auto" w:sz="4" w:space="0"/>
              <w:bottom w:val="single" w:color="auto" w:sz="4" w:space="0"/>
            </w:tcBorders>
          </w:tcPr>
          <w:p w14:paraId="7D5D834F">
            <w:pPr>
              <w:spacing w:line="360" w:lineRule="auto"/>
              <w:rPr>
                <w:rFonts w:hint="eastAsia" w:ascii="Times New Roman" w:hAnsi="Times New Roman" w:cs="Times New Roman"/>
                <w:b/>
                <w:bCs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vertAlign w:val="baseline"/>
                <w:lang w:val="en-US" w:eastAsia="zh-CN"/>
              </w:rPr>
              <w:t>Assignment and coding</w:t>
            </w:r>
          </w:p>
        </w:tc>
      </w:tr>
      <w:tr w14:paraId="35E541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051D84C">
            <w:pPr>
              <w:spacing w:line="360" w:lineRule="auto"/>
              <w:rPr>
                <w:rFonts w:hint="eastAsia" w:ascii="Times New Roman" w:hAnsi="Times New Roman" w:eastAsia="等线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  <w:t>Outcome</w:t>
            </w:r>
          </w:p>
        </w:tc>
        <w:tc>
          <w:tcPr>
            <w:tcW w:w="1836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top"/>
          </w:tcPr>
          <w:p w14:paraId="6BB7B6CA">
            <w:pPr>
              <w:spacing w:line="360" w:lineRule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b w:val="0"/>
                <w:bCs w:val="0"/>
                <w:color w:val="auto"/>
                <w:sz w:val="20"/>
                <w:szCs w:val="20"/>
              </w:rPr>
              <w:t>Willingness to use MVCS</w:t>
            </w:r>
          </w:p>
        </w:tc>
        <w:tc>
          <w:tcPr>
            <w:tcW w:w="1536" w:type="dxa"/>
            <w:tcBorders>
              <w:top w:val="single" w:color="auto" w:sz="4" w:space="0"/>
              <w:bottom w:val="single" w:color="auto" w:sz="4" w:space="0"/>
            </w:tcBorders>
          </w:tcPr>
          <w:p w14:paraId="032C55E9">
            <w:pPr>
              <w:spacing w:line="360" w:lineRule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0"/>
                <w:szCs w:val="20"/>
              </w:rPr>
              <w:t>Ordinal</w:t>
            </w:r>
          </w:p>
        </w:tc>
        <w:tc>
          <w:tcPr>
            <w:tcW w:w="3790" w:type="dxa"/>
            <w:tcBorders>
              <w:top w:val="single" w:color="auto" w:sz="4" w:space="0"/>
              <w:bottom w:val="single" w:color="auto" w:sz="4" w:space="0"/>
            </w:tcBorders>
          </w:tcPr>
          <w:p w14:paraId="23A8A3E6">
            <w:pPr>
              <w:spacing w:line="360" w:lineRule="auto"/>
              <w:rPr>
                <w:rFonts w:hint="eastAsia" w:ascii="Times New Roman" w:hAnsi="Times New Roman" w:cs="Times New Roman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0"/>
                <w:szCs w:val="20"/>
              </w:rPr>
              <w:t>Very unwilling</w:t>
            </w:r>
            <w:r>
              <w:rPr>
                <w:rFonts w:hint="eastAsia" w:ascii="Times New Roman" w:hAnsi="Times New Roman" w:eastAsia="等线" w:cs="Times New Roman"/>
                <w:color w:val="auto"/>
                <w:sz w:val="20"/>
                <w:szCs w:val="20"/>
                <w:lang w:val="en-US" w:eastAsia="zh-CN"/>
              </w:rPr>
              <w:t xml:space="preserve"> = 1, Unwilling = 2, </w:t>
            </w: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>Fair</w:t>
            </w:r>
            <w:r>
              <w:rPr>
                <w:rFonts w:hint="eastAsia" w:ascii="Times New Roman" w:hAnsi="Times New Roman" w:eastAsia="等线" w:cs="Times New Roman"/>
                <w:color w:val="auto"/>
                <w:sz w:val="20"/>
                <w:szCs w:val="20"/>
                <w:lang w:val="en-US" w:eastAsia="zh-CN"/>
              </w:rPr>
              <w:t xml:space="preserve"> = 3, Willing = 4, Very willing = 5</w:t>
            </w:r>
          </w:p>
        </w:tc>
      </w:tr>
      <w:tr w14:paraId="7A537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Merge w:val="restart"/>
            <w:tcBorders>
              <w:top w:val="single" w:color="auto" w:sz="4" w:space="0"/>
            </w:tcBorders>
          </w:tcPr>
          <w:p w14:paraId="108B556A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Predisposing characteristics</w:t>
            </w:r>
          </w:p>
        </w:tc>
        <w:tc>
          <w:tcPr>
            <w:tcW w:w="1836" w:type="dxa"/>
            <w:tcBorders>
              <w:top w:val="single" w:color="auto" w:sz="4" w:space="0"/>
            </w:tcBorders>
          </w:tcPr>
          <w:p w14:paraId="43E3C49F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Age </w:t>
            </w:r>
          </w:p>
        </w:tc>
        <w:tc>
          <w:tcPr>
            <w:tcW w:w="1536" w:type="dxa"/>
            <w:tcBorders>
              <w:top w:val="single" w:color="auto" w:sz="4" w:space="0"/>
            </w:tcBorders>
          </w:tcPr>
          <w:p w14:paraId="73CFB458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0"/>
                <w:szCs w:val="20"/>
              </w:rPr>
              <w:t xml:space="preserve">Categorical </w:t>
            </w:r>
          </w:p>
        </w:tc>
        <w:tc>
          <w:tcPr>
            <w:tcW w:w="3790" w:type="dxa"/>
            <w:tcBorders>
              <w:top w:val="single" w:color="auto" w:sz="4" w:space="0"/>
            </w:tcBorders>
          </w:tcPr>
          <w:p w14:paraId="00EADFF5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>60-69 = 0 (Ref), 70-79 = 1, 80 = 2</w:t>
            </w:r>
          </w:p>
        </w:tc>
      </w:tr>
      <w:tr w14:paraId="26180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vMerge w:val="continue"/>
          </w:tcPr>
          <w:p w14:paraId="43479EEC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836" w:type="dxa"/>
          </w:tcPr>
          <w:p w14:paraId="65ADEABD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Education</w:t>
            </w:r>
          </w:p>
        </w:tc>
        <w:tc>
          <w:tcPr>
            <w:tcW w:w="1536" w:type="dxa"/>
          </w:tcPr>
          <w:p w14:paraId="09553B1C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0"/>
                <w:szCs w:val="20"/>
              </w:rPr>
              <w:t xml:space="preserve">Categorical </w:t>
            </w:r>
          </w:p>
        </w:tc>
        <w:tc>
          <w:tcPr>
            <w:tcW w:w="3790" w:type="dxa"/>
          </w:tcPr>
          <w:p w14:paraId="6583BB19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 xml:space="preserve">Primary or below = 0 (Ref), Secondary = 1, High school = 2, Junior college = 3, Higher </w:t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>education</w:t>
            </w: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 xml:space="preserve"> = 4</w:t>
            </w:r>
          </w:p>
        </w:tc>
      </w:tr>
      <w:tr w14:paraId="7E4A6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</w:tcPr>
          <w:p w14:paraId="49F90D56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836" w:type="dxa"/>
          </w:tcPr>
          <w:p w14:paraId="4B2E4F13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>Number of children</w:t>
            </w:r>
          </w:p>
        </w:tc>
        <w:tc>
          <w:tcPr>
            <w:tcW w:w="1536" w:type="dxa"/>
          </w:tcPr>
          <w:p w14:paraId="379470CB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0"/>
                <w:szCs w:val="20"/>
              </w:rPr>
              <w:t xml:space="preserve">Categorical </w:t>
            </w:r>
          </w:p>
        </w:tc>
        <w:tc>
          <w:tcPr>
            <w:tcW w:w="3790" w:type="dxa"/>
          </w:tcPr>
          <w:p w14:paraId="770CD77A">
            <w:pPr>
              <w:spacing w:line="360" w:lineRule="auto"/>
              <w:rPr>
                <w:rFonts w:hint="default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>1 = 0 (Ref); 0 = 1; 2 = 2; ≥3 = 3</w:t>
            </w:r>
          </w:p>
        </w:tc>
      </w:tr>
      <w:tr w14:paraId="5EB35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60" w:type="dxa"/>
          </w:tcPr>
          <w:p w14:paraId="5B0D6E52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Enabling resources</w:t>
            </w:r>
          </w:p>
        </w:tc>
        <w:tc>
          <w:tcPr>
            <w:tcW w:w="1836" w:type="dxa"/>
          </w:tcPr>
          <w:p w14:paraId="20E1962A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Self-rated ease of medical visits</w:t>
            </w:r>
          </w:p>
        </w:tc>
        <w:tc>
          <w:tcPr>
            <w:tcW w:w="1536" w:type="dxa"/>
          </w:tcPr>
          <w:p w14:paraId="09507146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0"/>
                <w:szCs w:val="20"/>
              </w:rPr>
              <w:t>Continuous score</w:t>
            </w:r>
          </w:p>
        </w:tc>
        <w:tc>
          <w:tcPr>
            <w:tcW w:w="3790" w:type="dxa"/>
          </w:tcPr>
          <w:p w14:paraId="1F97776D">
            <w:pPr>
              <w:spacing w:line="360" w:lineRule="auto"/>
              <w:rPr>
                <w:rFonts w:hint="default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>Very good = 5, Good = 4, Fair = 3, Poor = 2, Very poor = 1</w:t>
            </w:r>
          </w:p>
        </w:tc>
      </w:tr>
      <w:tr w14:paraId="1270B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</w:tcPr>
          <w:p w14:paraId="09125FCE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836" w:type="dxa"/>
          </w:tcPr>
          <w:p w14:paraId="5D63F3A0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MVCS awareness</w:t>
            </w:r>
          </w:p>
        </w:tc>
        <w:tc>
          <w:tcPr>
            <w:tcW w:w="1536" w:type="dxa"/>
          </w:tcPr>
          <w:p w14:paraId="3988A14A">
            <w:pPr>
              <w:spacing w:line="360" w:lineRule="auto"/>
              <w:rPr>
                <w:rFonts w:hint="eastAsia" w:ascii="Times New Roman" w:hAnsi="Times New Roman" w:eastAsia="等线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0"/>
                <w:szCs w:val="20"/>
              </w:rPr>
              <w:t>Continuous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color w:val="auto"/>
                <w:sz w:val="20"/>
                <w:szCs w:val="20"/>
              </w:rPr>
              <w:t>score</w:t>
            </w:r>
          </w:p>
        </w:tc>
        <w:tc>
          <w:tcPr>
            <w:tcW w:w="3790" w:type="dxa"/>
          </w:tcPr>
          <w:p w14:paraId="16FA261F">
            <w:pPr>
              <w:spacing w:line="360" w:lineRule="auto"/>
              <w:rPr>
                <w:rFonts w:hint="default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>Very clear = 5, Clear = 4, Fair = 3, Completely unclear = 2, Unclear = 1</w:t>
            </w:r>
          </w:p>
        </w:tc>
      </w:tr>
      <w:tr w14:paraId="36F93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</w:tcPr>
          <w:p w14:paraId="1400C853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836" w:type="dxa"/>
          </w:tcPr>
          <w:p w14:paraId="55F9D2E0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Social support</w:t>
            </w:r>
          </w:p>
        </w:tc>
        <w:tc>
          <w:tcPr>
            <w:tcW w:w="1536" w:type="dxa"/>
          </w:tcPr>
          <w:p w14:paraId="16DC370C">
            <w:pPr>
              <w:spacing w:line="360" w:lineRule="auto"/>
              <w:rPr>
                <w:rFonts w:hint="eastAsia" w:ascii="Times New Roman" w:hAnsi="Times New Roman" w:eastAsia="等线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0"/>
                <w:szCs w:val="20"/>
              </w:rPr>
              <w:t>Continuous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color w:val="auto"/>
                <w:sz w:val="20"/>
                <w:szCs w:val="20"/>
              </w:rPr>
              <w:t>score</w:t>
            </w:r>
          </w:p>
        </w:tc>
        <w:tc>
          <w:tcPr>
            <w:tcW w:w="3790" w:type="dxa"/>
          </w:tcPr>
          <w:p w14:paraId="65C6C82E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 xml:space="preserve">Total score of the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0"/>
                <w:szCs w:val="20"/>
                <w:lang w:val="en-US" w:eastAsia="zh-CN"/>
              </w:rPr>
              <w:t>s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 xml:space="preserve">ocial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0"/>
                <w:szCs w:val="20"/>
                <w:lang w:val="en-US" w:eastAsia="zh-CN"/>
              </w:rPr>
              <w:t>s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 xml:space="preserve">upport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0"/>
                <w:szCs w:val="20"/>
                <w:lang w:val="en-US" w:eastAsia="zh-CN"/>
              </w:rPr>
              <w:t>r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 xml:space="preserve">ating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0"/>
                <w:szCs w:val="20"/>
                <w:lang w:val="en-US" w:eastAsia="zh-CN"/>
              </w:rPr>
              <w:t>s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cale</w:t>
            </w: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 xml:space="preserve"> (ranging from 12 to 66)</w:t>
            </w:r>
          </w:p>
        </w:tc>
      </w:tr>
      <w:tr w14:paraId="0B796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</w:tcPr>
          <w:p w14:paraId="67691BE1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836" w:type="dxa"/>
          </w:tcPr>
          <w:p w14:paraId="0778F1DE">
            <w:pPr>
              <w:spacing w:line="36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Medical visit autonomy</w:t>
            </w:r>
          </w:p>
        </w:tc>
        <w:tc>
          <w:tcPr>
            <w:tcW w:w="1536" w:type="dxa"/>
          </w:tcPr>
          <w:p w14:paraId="72B34200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0"/>
                <w:szCs w:val="20"/>
              </w:rPr>
              <w:t>Binary</w:t>
            </w:r>
          </w:p>
        </w:tc>
        <w:tc>
          <w:tcPr>
            <w:tcW w:w="3790" w:type="dxa"/>
          </w:tcPr>
          <w:p w14:paraId="45D5C7FB">
            <w:pPr>
              <w:spacing w:line="360" w:lineRule="auto"/>
              <w:rPr>
                <w:rFonts w:hint="default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>Non-independent medical visits = 0 (Ref)</w:t>
            </w:r>
            <w:bookmarkStart w:id="6" w:name="_GoBack"/>
            <w:bookmarkEnd w:id="6"/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>, Independent medical visits = 1</w:t>
            </w:r>
          </w:p>
        </w:tc>
      </w:tr>
      <w:tr w14:paraId="3404D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</w:tcPr>
          <w:p w14:paraId="7E0B4D45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</w:rPr>
              <w:t>Enabling resources</w:t>
            </w:r>
          </w:p>
        </w:tc>
        <w:tc>
          <w:tcPr>
            <w:tcW w:w="1836" w:type="dxa"/>
          </w:tcPr>
          <w:p w14:paraId="5EC43CF5">
            <w:pPr>
              <w:spacing w:line="36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Individualized accompaniment </w:t>
            </w:r>
          </w:p>
          <w:p w14:paraId="206CD7F7">
            <w:pPr>
              <w:spacing w:line="36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demands</w:t>
            </w:r>
          </w:p>
        </w:tc>
        <w:tc>
          <w:tcPr>
            <w:tcW w:w="1536" w:type="dxa"/>
          </w:tcPr>
          <w:p w14:paraId="36C7E306">
            <w:pPr>
              <w:spacing w:line="360" w:lineRule="auto"/>
              <w:rPr>
                <w:rFonts w:hint="eastAsia" w:ascii="Times New Roman" w:hAnsi="Times New Roman" w:eastAsia="等线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0"/>
                <w:szCs w:val="20"/>
              </w:rPr>
              <w:t>Continuous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color w:val="auto"/>
                <w:sz w:val="20"/>
                <w:szCs w:val="20"/>
              </w:rPr>
              <w:t>score</w:t>
            </w:r>
          </w:p>
        </w:tc>
        <w:tc>
          <w:tcPr>
            <w:tcW w:w="3790" w:type="dxa"/>
          </w:tcPr>
          <w:p w14:paraId="0BB41244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>Strongly demand = 5, Demand = 4, Fair = 3, No demand = 2, Strongly no demand =1</w:t>
            </w:r>
          </w:p>
        </w:tc>
      </w:tr>
      <w:tr w14:paraId="13859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</w:tcPr>
          <w:p w14:paraId="04060A12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836" w:type="dxa"/>
          </w:tcPr>
          <w:p w14:paraId="0E443A41">
            <w:pPr>
              <w:spacing w:line="36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Self-rated health status</w:t>
            </w:r>
          </w:p>
        </w:tc>
        <w:tc>
          <w:tcPr>
            <w:tcW w:w="1536" w:type="dxa"/>
          </w:tcPr>
          <w:p w14:paraId="2841FEC9">
            <w:pPr>
              <w:spacing w:line="360" w:lineRule="auto"/>
              <w:rPr>
                <w:rFonts w:hint="eastAsia" w:ascii="Times New Roman" w:hAnsi="Times New Roman" w:eastAsia="等线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0"/>
                <w:szCs w:val="20"/>
              </w:rPr>
              <w:t>Continuous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color w:val="auto"/>
                <w:sz w:val="20"/>
                <w:szCs w:val="20"/>
              </w:rPr>
              <w:t>score</w:t>
            </w:r>
          </w:p>
        </w:tc>
        <w:tc>
          <w:tcPr>
            <w:tcW w:w="3790" w:type="dxa"/>
          </w:tcPr>
          <w:p w14:paraId="5F7ADACC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>Very good = 5, Good = 4, Fair = 3, Poor = 2, Very poor = 1</w:t>
            </w:r>
          </w:p>
        </w:tc>
      </w:tr>
      <w:tr w14:paraId="022AC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0" w:type="dxa"/>
            <w:tcBorders>
              <w:bottom w:val="single" w:color="auto" w:sz="4" w:space="0"/>
            </w:tcBorders>
          </w:tcPr>
          <w:p w14:paraId="44714972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836" w:type="dxa"/>
            <w:tcBorders>
              <w:bottom w:val="single" w:color="auto" w:sz="4" w:space="0"/>
            </w:tcBorders>
          </w:tcPr>
          <w:p w14:paraId="4BC8039F">
            <w:pPr>
              <w:spacing w:line="360" w:lineRule="auto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t>Need for assistance from MVCS</w:t>
            </w:r>
          </w:p>
        </w:tc>
        <w:tc>
          <w:tcPr>
            <w:tcW w:w="1536" w:type="dxa"/>
            <w:tcBorders>
              <w:bottom w:val="single" w:color="auto" w:sz="4" w:space="0"/>
            </w:tcBorders>
          </w:tcPr>
          <w:p w14:paraId="16BBA0B3">
            <w:pPr>
              <w:spacing w:line="360" w:lineRule="auto"/>
              <w:rPr>
                <w:rFonts w:hint="eastAsia" w:ascii="Times New Roman" w:hAnsi="Times New Roman" w:eastAsia="等线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0"/>
                <w:szCs w:val="20"/>
              </w:rPr>
              <w:t>Continuous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等线" w:cs="Times New Roman"/>
                <w:color w:val="auto"/>
                <w:sz w:val="20"/>
                <w:szCs w:val="20"/>
              </w:rPr>
              <w:t>score</w:t>
            </w:r>
          </w:p>
        </w:tc>
        <w:tc>
          <w:tcPr>
            <w:tcW w:w="3790" w:type="dxa"/>
            <w:tcBorders>
              <w:bottom w:val="single" w:color="auto" w:sz="4" w:space="0"/>
            </w:tcBorders>
          </w:tcPr>
          <w:p w14:paraId="6393112D">
            <w:pPr>
              <w:spacing w:line="360" w:lineRule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 xml:space="preserve">Total score of 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t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he need for assistance from MVCS questionnaire</w:t>
            </w: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 xml:space="preserve"> (ranging from 15 to 75)</w:t>
            </w:r>
          </w:p>
        </w:tc>
      </w:tr>
    </w:tbl>
    <w:p w14:paraId="31029EA1">
      <w:pPr>
        <w:rPr>
          <w:rFonts w:hint="eastAsia"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br w:type="page"/>
      </w:r>
    </w:p>
    <w:p w14:paraId="32215E46">
      <w:pPr>
        <w:spacing w:line="360" w:lineRule="auto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4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>C</w:t>
      </w:r>
      <w:r>
        <w:rPr>
          <w:rFonts w:hint="eastAsia" w:ascii="Times New Roman" w:hAnsi="Times New Roman" w:cs="Times New Roman"/>
        </w:rPr>
        <w:t xml:space="preserve">umulative </w:t>
      </w:r>
      <w:r>
        <w:rPr>
          <w:rFonts w:hint="eastAsia" w:ascii="Times New Roman" w:hAnsi="Times New Roman" w:cs="Times New Roman"/>
          <w:lang w:val="en-US" w:eastAsia="zh-CN"/>
        </w:rPr>
        <w:t>o</w:t>
      </w:r>
      <w:r>
        <w:rPr>
          <w:rFonts w:hint="eastAsia" w:ascii="Times New Roman" w:hAnsi="Times New Roman" w:cs="Times New Roman"/>
        </w:rPr>
        <w:t xml:space="preserve">dds </w:t>
      </w:r>
      <w:r>
        <w:rPr>
          <w:rFonts w:hint="eastAsia" w:ascii="Times New Roman" w:hAnsi="Times New Roman" w:cs="Times New Roman"/>
          <w:lang w:val="en-US" w:eastAsia="zh-CN"/>
        </w:rPr>
        <w:t>m</w:t>
      </w:r>
      <w:r>
        <w:rPr>
          <w:rFonts w:hint="eastAsia" w:ascii="Times New Roman" w:hAnsi="Times New Roman" w:cs="Times New Roman"/>
        </w:rPr>
        <w:t>odel</w:t>
      </w:r>
      <w:r>
        <w:rPr>
          <w:rFonts w:ascii="Times New Roman" w:hAnsi="Times New Roman" w:cs="Times New Roman"/>
        </w:rPr>
        <w:t xml:space="preserve"> of factors associated with older adults’ willingness to use medical visit companion services (n = 494).</w:t>
      </w:r>
    </w:p>
    <w:tbl>
      <w:tblPr>
        <w:tblStyle w:val="17"/>
        <w:tblW w:w="100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977"/>
        <w:gridCol w:w="850"/>
        <w:gridCol w:w="851"/>
        <w:gridCol w:w="850"/>
        <w:gridCol w:w="851"/>
        <w:gridCol w:w="142"/>
        <w:gridCol w:w="850"/>
        <w:gridCol w:w="142"/>
        <w:gridCol w:w="1134"/>
      </w:tblGrid>
      <w:tr w14:paraId="2066E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  <w:jc w:val="center"/>
        </w:trPr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52A8057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Factor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A8A6C7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B6ECE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</w:t>
            </w:r>
          </w:p>
        </w:tc>
        <w:tc>
          <w:tcPr>
            <w:tcW w:w="85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4F76E42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34DD53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Wald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BFA30EB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p</w:t>
            </w:r>
            <w:r>
              <w:rPr>
                <w:rFonts w:ascii="Times New Roman" w:hAnsi="Times New Roman" w:cs="Times New Roman"/>
                <w:b/>
                <w:bCs/>
              </w:rPr>
              <w:t>-value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833843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OR 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B63D81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95% CI</w:t>
            </w:r>
          </w:p>
        </w:tc>
      </w:tr>
      <w:tr w14:paraId="337EF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600763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Predisposing characteristics</w:t>
            </w:r>
          </w:p>
        </w:tc>
        <w:tc>
          <w:tcPr>
            <w:tcW w:w="8647" w:type="dxa"/>
            <w:gridSpan w:val="9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AC35AC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(Control group：60-69）</w:t>
            </w:r>
          </w:p>
        </w:tc>
      </w:tr>
      <w:tr w14:paraId="12680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C4C90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061C50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70-79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1D1489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-1.124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4DA533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B6818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11.436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294D6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B11F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0.653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EC258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0.444~0.960</w:t>
            </w:r>
          </w:p>
        </w:tc>
      </w:tr>
      <w:tr w14:paraId="5322F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DCE77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47A9986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≥80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0477F4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1EAAFE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36B9E2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4.696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29EA7C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6D82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EE403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0.169~0.623</w:t>
            </w:r>
          </w:p>
        </w:tc>
      </w:tr>
      <w:tr w14:paraId="5A7B9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3779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D3F250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Education (Control group</w:t>
            </w:r>
            <w:bookmarkStart w:id="5" w:name="OLE_LINK10"/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 xml:space="preserve">Primary </w:t>
            </w:r>
            <w:bookmarkEnd w:id="5"/>
            <w:r>
              <w:rPr>
                <w:rFonts w:ascii="Times New Roman" w:hAnsi="Times New Roman" w:cs="Times New Roman"/>
              </w:rPr>
              <w:t>school or below）</w:t>
            </w:r>
          </w:p>
        </w:tc>
      </w:tr>
      <w:tr w14:paraId="049C6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ABE4C3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773E08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Secondary school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379BD7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0.253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06736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0.212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2A0FC5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4FEA87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0.232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92DDC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1.288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52629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0.850~1.950</w:t>
            </w:r>
          </w:p>
        </w:tc>
      </w:tr>
      <w:tr w14:paraId="289B4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4E0C6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703FC8A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High school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A018FB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1.279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8F2A89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0394A5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20.551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0E4F38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5E227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3.592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5CBBB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2.066~6.243</w:t>
            </w:r>
          </w:p>
        </w:tc>
      </w:tr>
      <w:tr w14:paraId="5C7F8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616D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754727B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Junior college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5CABF9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E24DB4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FDCB7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173CB2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44999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1.069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C4FF3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0.507~2.253</w:t>
            </w:r>
          </w:p>
        </w:tc>
      </w:tr>
      <w:tr w14:paraId="1AF25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F49D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C706D3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Higher education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01A7B9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0.124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30555C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EB8BD6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0464FD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70B80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0B9B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0.392~3.273</w:t>
            </w:r>
          </w:p>
        </w:tc>
      </w:tr>
      <w:tr w14:paraId="6DBC4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00A3C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9781F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children (Control group： 1）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D6128C2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365806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7FAE44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445D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C939D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14:paraId="1E922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C1233E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15F0D1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0686579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-0.788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ADC129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0.766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7C18AD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1.058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76F904B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0.304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35F44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E9634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0.101~2.041</w:t>
            </w:r>
          </w:p>
        </w:tc>
      </w:tr>
      <w:tr w14:paraId="1B79B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784E74A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70A9E56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0D1E93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-0.808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FEC021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C19583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15.460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35B103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8A426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hint="eastAsia"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22789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0.298~0.667</w:t>
            </w:r>
          </w:p>
        </w:tc>
      </w:tr>
      <w:tr w14:paraId="12881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67797D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5092C4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≥3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BF3C44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-1.103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1BEC67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0.282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ED1A7A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15.242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4C1A011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A7E0F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6F0E6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0.191~0.577</w:t>
            </w:r>
          </w:p>
        </w:tc>
      </w:tr>
      <w:tr w14:paraId="7E5B0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41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9587BD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Enabling resources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2294846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Self-rated ease of medical visits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6A9642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-0.341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1B74E1A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E0071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14.857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2091BF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832BF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39D2D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0.598~0.846</w:t>
            </w:r>
          </w:p>
        </w:tc>
      </w:tr>
      <w:tr w14:paraId="4D407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41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7432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1FC81F3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MVCS awareness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B613D1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C72891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101B4A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10.613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97C7C8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C3202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1.345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B5B72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1.125~1.608</w:t>
            </w:r>
          </w:p>
        </w:tc>
      </w:tr>
      <w:tr w14:paraId="135E0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DD2D7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04DE576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support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60CACC7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-0.070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F132C8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DA0FAF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3C86BC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DADAE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0.933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0C993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0.903~0.963</w:t>
            </w:r>
          </w:p>
        </w:tc>
      </w:tr>
      <w:tr w14:paraId="3C5E0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90EA65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64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210DF9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Medical visit autonomy（Control group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: </w:t>
            </w:r>
            <w:r>
              <w:rPr>
                <w:rFonts w:ascii="Times New Roman" w:hAnsi="Times New Roman" w:cs="Times New Roman"/>
              </w:rPr>
              <w:t>Non-independent medical visits)</w:t>
            </w:r>
          </w:p>
        </w:tc>
      </w:tr>
      <w:tr w14:paraId="7B11E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E53D348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70DD5A0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6D4B05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-0.436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87CD63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831C34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5.563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381D84D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0.018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7CE95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1191C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0.450~0.929</w:t>
            </w:r>
          </w:p>
        </w:tc>
      </w:tr>
      <w:tr w14:paraId="6D406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7890873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Need factors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BA053F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Individualized accompaniment </w:t>
            </w:r>
          </w:p>
          <w:p w14:paraId="30C24F3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demands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296525E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0.349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286BE89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4EC76C6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9.338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5396B36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6DB6F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1.418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1B4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1.133~1.774</w:t>
            </w:r>
          </w:p>
        </w:tc>
      </w:tr>
      <w:tr w14:paraId="140B8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5A1AE2E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547EC98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Self-rated health status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F06EAB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-0.478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6766FC5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0.098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4EB869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24.045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14:paraId="0A97722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0207A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0.620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ED275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0.512~0.750</w:t>
            </w:r>
          </w:p>
        </w:tc>
      </w:tr>
      <w:tr w14:paraId="2C95A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966AB9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2D1254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Need for assistance from MVCS 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C8F1C4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0.042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93DD98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4CF710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23.551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530EB7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0C63C3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1.043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0014A8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1.025~1.061</w:t>
            </w:r>
          </w:p>
        </w:tc>
      </w:tr>
    </w:tbl>
    <w:p w14:paraId="05808EDC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Note</w:t>
      </w:r>
      <w:r>
        <w:rPr>
          <w:rFonts w:ascii="Times New Roman" w:hAnsi="Times New Roman" w:cs="Times New Roman"/>
        </w:rPr>
        <w:t xml:space="preserve">: χ²(df) = 230.827(16), </w:t>
      </w:r>
      <w:r>
        <w:rPr>
          <w:rFonts w:ascii="Times New Roman" w:hAnsi="Times New Roman" w:cs="Times New Roman"/>
          <w:i/>
          <w:iCs/>
        </w:rPr>
        <w:t xml:space="preserve">p </w:t>
      </w:r>
      <w:r>
        <w:rPr>
          <w:rFonts w:ascii="Times New Roman" w:hAnsi="Times New Roman" w:cs="Times New Roman"/>
        </w:rPr>
        <w:t>&lt; 0.001 Nagelkerke R</w:t>
      </w:r>
      <w:r>
        <w:rPr>
          <w:rFonts w:ascii="Times New Roman" w:hAnsi="Times New Roman" w:cs="Times New Roman"/>
          <w:vertAlign w:val="superscript"/>
        </w:rPr>
        <w:t xml:space="preserve">2 </w:t>
      </w:r>
      <w:r>
        <w:rPr>
          <w:rFonts w:ascii="Times New Roman" w:hAnsi="Times New Roman" w:cs="Times New Roman"/>
        </w:rPr>
        <w:t>= 0.399, Cox＆Snell R</w:t>
      </w:r>
      <w:r>
        <w:rPr>
          <w:rFonts w:ascii="Times New Roman" w:hAnsi="Times New Roman" w:cs="Times New Roman"/>
          <w:vertAlign w:val="superscript"/>
        </w:rPr>
        <w:t xml:space="preserve">2 </w:t>
      </w:r>
      <w:r>
        <w:rPr>
          <w:rFonts w:ascii="Times New Roman" w:hAnsi="Times New Roman" w:cs="Times New Roman"/>
        </w:rPr>
        <w:t>= 0.373.</w:t>
      </w:r>
    </w:p>
    <w:p w14:paraId="607F2951">
      <w:pPr>
        <w:rPr>
          <w:rFonts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br w:type="page"/>
      </w:r>
    </w:p>
    <w:p w14:paraId="0960F4DA">
      <w:pPr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5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Definitions and classifications of determinants affecting older adults’   willingness to use medical visit companion services.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0"/>
        <w:gridCol w:w="4044"/>
        <w:gridCol w:w="2438"/>
      </w:tblGrid>
      <w:tr w14:paraId="79C70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204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79DFC4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Factor</w:t>
            </w:r>
          </w:p>
        </w:tc>
        <w:tc>
          <w:tcPr>
            <w:tcW w:w="404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2E4FD2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243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5D0793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Notation</w:t>
            </w:r>
          </w:p>
        </w:tc>
      </w:tr>
      <w:tr w14:paraId="6F11E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3802EC1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Predisposing characteristics</w:t>
            </w:r>
          </w:p>
        </w:tc>
        <w:tc>
          <w:tcPr>
            <w:tcW w:w="404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78E875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Age </w:t>
            </w:r>
          </w:p>
        </w:tc>
        <w:tc>
          <w:tcPr>
            <w:tcW w:w="2438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1EAFDA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B01</w:t>
            </w:r>
          </w:p>
        </w:tc>
      </w:tr>
      <w:tr w14:paraId="57897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1C37E63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27868CF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Education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6FDB9FA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B02</w:t>
            </w:r>
          </w:p>
        </w:tc>
      </w:tr>
      <w:tr w14:paraId="4465E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502F50C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423BEA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Number of children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0F8D8CF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B03</w:t>
            </w:r>
          </w:p>
        </w:tc>
      </w:tr>
      <w:tr w14:paraId="47A935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45DB93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Enabling resources</w:t>
            </w:r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6A971E2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Self-rated ease of medical visits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426C168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B04</w:t>
            </w:r>
          </w:p>
        </w:tc>
      </w:tr>
      <w:tr w14:paraId="3C9E8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41849D6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1796654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MVCS awareness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7FB778B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B05</w:t>
            </w:r>
          </w:p>
        </w:tc>
      </w:tr>
      <w:tr w14:paraId="0DF02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28E875B1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78F7C82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Social support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54C7BED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B06</w:t>
            </w:r>
          </w:p>
        </w:tc>
      </w:tr>
      <w:tr w14:paraId="774C2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51534DA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03D6DD1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Medical visit autonomy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64ED1BB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B07</w:t>
            </w:r>
          </w:p>
        </w:tc>
      </w:tr>
      <w:tr w14:paraId="48F5E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FC214D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Need factors</w:t>
            </w:r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13A7918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Individualized accompaniment demands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1E8755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B08</w:t>
            </w:r>
          </w:p>
        </w:tc>
      </w:tr>
      <w:tr w14:paraId="4D099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vMerge w:val="continue"/>
            <w:tcBorders>
              <w:top w:val="nil"/>
              <w:left w:val="nil"/>
              <w:bottom w:val="nil"/>
              <w:right w:val="nil"/>
            </w:tcBorders>
          </w:tcPr>
          <w:p w14:paraId="1D9F8F6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44" w:type="dxa"/>
            <w:tcBorders>
              <w:top w:val="nil"/>
              <w:left w:val="nil"/>
              <w:bottom w:val="nil"/>
              <w:right w:val="nil"/>
            </w:tcBorders>
          </w:tcPr>
          <w:p w14:paraId="0D4C557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Self-rated health status</w:t>
            </w: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44780FF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B09</w:t>
            </w:r>
          </w:p>
        </w:tc>
      </w:tr>
      <w:tr w14:paraId="4DF5A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40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404085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4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9C1E61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Need for assistance from MVC</w:t>
            </w:r>
            <w:r>
              <w:rPr>
                <w:rFonts w:hint="eastAsia" w:ascii="Times New Roman" w:hAnsi="Times New Roman" w:cs="Times New Roman"/>
              </w:rPr>
              <w:t>S</w:t>
            </w:r>
          </w:p>
        </w:tc>
        <w:tc>
          <w:tcPr>
            <w:tcW w:w="243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EA43E4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B10</w:t>
            </w:r>
          </w:p>
        </w:tc>
      </w:tr>
    </w:tbl>
    <w:p w14:paraId="654601A9">
      <w:pPr>
        <w:rPr>
          <w:rFonts w:ascii="Times New Roman" w:hAnsi="Times New Roman" w:cs="Times New Roman"/>
          <w:b/>
          <w:bCs/>
        </w:rPr>
      </w:pPr>
    </w:p>
    <w:p w14:paraId="49BA989F">
      <w:pPr>
        <w:rPr>
          <w:rFonts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br w:type="page"/>
      </w:r>
    </w:p>
    <w:p w14:paraId="167DD8A4">
      <w:pPr>
        <w:widowControl/>
        <w:jc w:val="left"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 xml:space="preserve">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6</w:t>
      </w:r>
      <w:r>
        <w:rPr>
          <w:rFonts w:hint="eastAsia"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Adjacency matrix of influencing factors for older adults’ willingness to use medical visit companion services.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774"/>
        <w:gridCol w:w="774"/>
        <w:gridCol w:w="775"/>
        <w:gridCol w:w="775"/>
        <w:gridCol w:w="775"/>
        <w:gridCol w:w="775"/>
        <w:gridCol w:w="775"/>
        <w:gridCol w:w="775"/>
        <w:gridCol w:w="775"/>
        <w:gridCol w:w="775"/>
      </w:tblGrid>
      <w:tr w14:paraId="17480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4ECCCF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B80F5B4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B01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D5ED487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B02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A0C2C97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B03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601765C2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B04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CA7B98F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B05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986AD57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B6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EB4CF5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B07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982928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B08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13AE8D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B09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C02ECE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B10</w:t>
            </w:r>
          </w:p>
        </w:tc>
      </w:tr>
      <w:tr w14:paraId="22CDC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137FF0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B01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C40162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19F734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D15FD6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FA6278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446AC0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64331E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ADF751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99CCAD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F1DF31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B02BB0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</w:tr>
      <w:tr w14:paraId="19DF3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4C15B29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B02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7770529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2B1D7CF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254FF15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06EB4A4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0B8CBF2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318D708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A233B4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54A5977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6FAF879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3BF0A46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</w:tr>
      <w:tr w14:paraId="48FC0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22E3226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B03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7EABD65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214B547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61F38F2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57C6A62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AE1E73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770CF4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DCD830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60289D6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12A530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FC0F82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</w:tr>
      <w:tr w14:paraId="4B8FD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075C544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B04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7C1999C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7D2D68C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5219229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29519AC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3AACAC6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0D5E9D8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01CECB3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555ED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C8A9A6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6C531D1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</w:tr>
      <w:tr w14:paraId="7C170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</w:trPr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6968601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B05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643B80C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59C899D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FC228B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569FDD8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E01513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2394888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446D16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BDC29E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84008F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5BA5A0C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</w:tr>
      <w:tr w14:paraId="434A7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1ACCC29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B06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3C51D8D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2AF7D27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0051374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6C387A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5637BCC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33510AF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71F3B5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43451A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362C128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53CEE59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</w:tr>
      <w:tr w14:paraId="0199AE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1A8E3AB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5D6F209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0B4173A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68FFB09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3426EE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54927D1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2D67E8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9C0D55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05C52B5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81CA66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E28E30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</w:tr>
      <w:tr w14:paraId="65863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7FB6F8F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B08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297A308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4FA4F97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07035A8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26B55A3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651DF8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5DF8C35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2B6B9CA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5A6592A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05B7DE4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9D7C3F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</w:tr>
      <w:tr w14:paraId="3C519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69894F3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B09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53B1AF6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62A3C16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3F3ED62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68AB1C5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076B24F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347554F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4498E0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64D9830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07843BA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6F1FBB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</w:tr>
      <w:tr w14:paraId="6195A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10F7CB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B10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A2F4B1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360CBC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3769F5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8CC4EE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0FB125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AFC409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A46D3B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A35253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23E193F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FF6FEB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</w:tr>
    </w:tbl>
    <w:p w14:paraId="44F9A5EA">
      <w:pPr>
        <w:spacing w:line="360" w:lineRule="auto"/>
        <w:rPr>
          <w:rFonts w:ascii="Times New Roman" w:hAnsi="Times New Roman" w:cs="Times New Roman"/>
        </w:rPr>
      </w:pPr>
    </w:p>
    <w:p w14:paraId="385EDA20">
      <w:pPr>
        <w:rPr>
          <w:rFonts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br w:type="page"/>
      </w:r>
    </w:p>
    <w:p w14:paraId="29E2C87B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>Table</w:t>
      </w:r>
      <w:r>
        <w:rPr>
          <w:rFonts w:hint="eastAsia" w:ascii="Times New Roman" w:hAnsi="Times New Roman" w:cs="Times New Roman"/>
          <w:b/>
          <w:bCs/>
        </w:rPr>
        <w:t xml:space="preserve">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7</w:t>
      </w:r>
      <w:r>
        <w:rPr>
          <w:rFonts w:hint="eastAsia"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Reachability matrix of influencing factors for older adults’ willingness to use medical visit companion services.</w:t>
      </w:r>
      <w:r>
        <w:rPr>
          <w:rFonts w:hint="eastAsia" w:ascii="Times New Roman" w:hAnsi="Times New Roman" w:cs="Times New Roman"/>
        </w:rPr>
        <w:t xml:space="preserve"> 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774"/>
        <w:gridCol w:w="774"/>
        <w:gridCol w:w="775"/>
        <w:gridCol w:w="775"/>
        <w:gridCol w:w="775"/>
        <w:gridCol w:w="775"/>
        <w:gridCol w:w="775"/>
        <w:gridCol w:w="775"/>
        <w:gridCol w:w="775"/>
        <w:gridCol w:w="775"/>
      </w:tblGrid>
      <w:tr w14:paraId="51CDB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C31DBC4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FC8DA2D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B01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766C071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B02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BF1B5E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B03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2DCF6C6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B04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1F3F42E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B05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6EB51EA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B6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CB2699B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B07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38A32DB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B08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7CDC358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B09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7BCBBAE4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B10</w:t>
            </w:r>
          </w:p>
        </w:tc>
      </w:tr>
      <w:tr w14:paraId="17381E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5C2495B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B01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290D10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8B06FF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3C4D9F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1EB754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0FFD0B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0F773E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0025E97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497B3D5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7EC55A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609D8D0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</w:tr>
      <w:tr w14:paraId="69D2F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5EF0861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B02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4C54C05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6A6405A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A3A948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546152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349536A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5B5E898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54CE9FE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5D8A8E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33D351F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CFB901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</w:tr>
      <w:tr w14:paraId="446C7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5D4B59A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B03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2EBAF7C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55BFF8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0ABB4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626B01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653D13C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32C9B7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15462A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6D5A168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341E51A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0A2EE74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</w:tr>
      <w:tr w14:paraId="470D9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10032F1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B04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6531FA9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4966608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791B1F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2B65674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6C374C0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206CAED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047B4E9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09828EF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0B41FC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933108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</w:tr>
      <w:tr w14:paraId="421F8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70567F6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B05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4162ACD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018DC24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3661B45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5D4F619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95ECA5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548493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D09CC0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BE45FB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0338B40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315FC54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</w:tr>
      <w:tr w14:paraId="3B610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4FC4C18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B06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4A40845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2822284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170968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74C2F6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60C38B9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8CFCFE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6768219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20DD99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044DFC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D4A02F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</w:tr>
      <w:tr w14:paraId="238DF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1527C3F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31959DF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53D8FDC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68C328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0B7B353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0B5667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A286A6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B879BD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3C730C9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24B76D4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2BE8F86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</w:tr>
      <w:tr w14:paraId="6C057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175E34A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B08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14162FB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3230C1B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385561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D446F7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574400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7C84D3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7A48060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381D52A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57F99FF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1E7AE73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</w:tr>
      <w:tr w14:paraId="2FC3E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28F6786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B09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1275DDA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4EC578D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08BA48F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6D8D282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5B4A61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F996BA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BC4802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C75036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01058D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</w:tcPr>
          <w:p w14:paraId="4E2D027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</w:tr>
      <w:tr w14:paraId="1596D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995A8D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B10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D7A290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285AA5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CE5BF6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4EC916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2941FF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79A71D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5B0E004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432E507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0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62D2559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77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3A2AC36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</w:tr>
    </w:tbl>
    <w:p w14:paraId="57436E4F">
      <w:pPr>
        <w:widowControl/>
        <w:rPr>
          <w:rFonts w:ascii="Times New Roman" w:hAnsi="Times New Roman" w:cs="Times New Roman"/>
          <w:b/>
          <w:bCs/>
        </w:rPr>
      </w:pPr>
    </w:p>
    <w:p w14:paraId="50EBAEB4">
      <w:pPr>
        <w:rPr>
          <w:rFonts w:ascii="Times New Roman" w:hAnsi="Times New Roman" w:cs="Times New Roman"/>
          <w:b/>
          <w:bCs/>
        </w:rPr>
      </w:pPr>
      <w:r>
        <w:rPr>
          <w:rFonts w:hint="eastAsia" w:ascii="Times New Roman" w:hAnsi="Times New Roman" w:cs="Times New Roman"/>
          <w:b/>
          <w:bCs/>
        </w:rPr>
        <w:br w:type="page"/>
      </w:r>
    </w:p>
    <w:p w14:paraId="7C9A1FB4">
      <w:pPr>
        <w:widowControl/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  <w:b/>
          <w:bCs/>
        </w:rPr>
        <w:t xml:space="preserve">Supplementary Table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8</w:t>
      </w:r>
      <w:r>
        <w:rPr>
          <w:rFonts w:hint="eastAsia" w:ascii="Times New Roman" w:hAnsi="Times New Roman" w:cs="Times New Roman"/>
          <w:b/>
          <w:bCs/>
        </w:rPr>
        <w:t xml:space="preserve"> </w:t>
      </w:r>
      <w:r>
        <w:rPr>
          <w:rFonts w:hint="eastAsia" w:ascii="Times New Roman" w:hAnsi="Times New Roman" w:cs="Times New Roman"/>
        </w:rPr>
        <w:t>Reachability sets, antecedent sets, and their intersections for the influencing factors.</w:t>
      </w:r>
    </w:p>
    <w:tbl>
      <w:tblPr>
        <w:tblStyle w:val="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2456"/>
        <w:gridCol w:w="2767"/>
        <w:gridCol w:w="2519"/>
      </w:tblGrid>
      <w:tr w14:paraId="7646D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FBF474F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45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81F728C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Reachability set</w:t>
            </w:r>
          </w:p>
        </w:tc>
        <w:tc>
          <w:tcPr>
            <w:tcW w:w="276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97A3E53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Antecedent set</w:t>
            </w:r>
          </w:p>
        </w:tc>
        <w:tc>
          <w:tcPr>
            <w:tcW w:w="25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1B5CB59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</w:rPr>
              <w:t>Intersection</w:t>
            </w:r>
          </w:p>
        </w:tc>
      </w:tr>
      <w:tr w14:paraId="7ACE7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1797BC1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B01</w:t>
            </w:r>
          </w:p>
        </w:tc>
        <w:tc>
          <w:tcPr>
            <w:tcW w:w="2456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33174F1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1,4,5,7,8,9,10</w:t>
            </w:r>
          </w:p>
        </w:tc>
        <w:tc>
          <w:tcPr>
            <w:tcW w:w="2767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041060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  <w:tc>
          <w:tcPr>
            <w:tcW w:w="2519" w:type="dxa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799240D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</w:p>
        </w:tc>
      </w:tr>
      <w:tr w14:paraId="10CDE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5EDE956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B02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1C157EA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2,4,5,7,9,10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7FA9CE3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14:paraId="305A3C7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2</w:t>
            </w:r>
          </w:p>
        </w:tc>
      </w:tr>
      <w:tr w14:paraId="043D5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454F7C5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B03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1561842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3,5,6,7,9,10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5917734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14:paraId="73AE63F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</w:t>
            </w:r>
          </w:p>
        </w:tc>
      </w:tr>
      <w:tr w14:paraId="47A71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402AF05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B06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4A541785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5,6,7,9,10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17172D3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3,6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14:paraId="6F2DB5D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6</w:t>
            </w:r>
          </w:p>
        </w:tc>
      </w:tr>
      <w:tr w14:paraId="0C147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710226A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B08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7A90B5A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5,7,8,9,10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1C96508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1.8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14:paraId="4D9C9BD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8</w:t>
            </w:r>
          </w:p>
        </w:tc>
      </w:tr>
      <w:tr w14:paraId="5C2C3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080F36B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B04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4AB20602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4,9,10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2A9D4F2C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1,2,4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14:paraId="6FF319A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4</w:t>
            </w:r>
          </w:p>
        </w:tc>
      </w:tr>
      <w:tr w14:paraId="51A91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275D9BE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B05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4D32FD6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5,7,9,10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382F53D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1,2,3,5,6,7,8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14:paraId="0AB15F7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5,7</w:t>
            </w:r>
          </w:p>
        </w:tc>
      </w:tr>
      <w:tr w14:paraId="4AA9D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5E05ED1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B07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2464F56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5,7,9,10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502741C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1,2,3,5,6,7,8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14:paraId="0D13C64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5,7</w:t>
            </w:r>
          </w:p>
        </w:tc>
      </w:tr>
      <w:tr w14:paraId="7AB52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</w:tcPr>
          <w:p w14:paraId="70ABD7F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B09</w:t>
            </w:r>
          </w:p>
        </w:tc>
        <w:tc>
          <w:tcPr>
            <w:tcW w:w="2456" w:type="dxa"/>
            <w:tcBorders>
              <w:top w:val="nil"/>
              <w:left w:val="nil"/>
              <w:bottom w:val="nil"/>
              <w:right w:val="nil"/>
            </w:tcBorders>
          </w:tcPr>
          <w:p w14:paraId="0B896BE3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9,10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31FCA3D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1,2,3,4,5,6,7,8,9,10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nil"/>
            </w:tcBorders>
          </w:tcPr>
          <w:p w14:paraId="4425D6F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9,10</w:t>
            </w:r>
          </w:p>
        </w:tc>
      </w:tr>
      <w:tr w14:paraId="664AD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1F1593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B10</w:t>
            </w:r>
          </w:p>
        </w:tc>
        <w:tc>
          <w:tcPr>
            <w:tcW w:w="245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2F733EB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9,10</w:t>
            </w:r>
          </w:p>
        </w:tc>
        <w:tc>
          <w:tcPr>
            <w:tcW w:w="276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08FA207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1,2,3,4,5,6,7,8,9,10</w:t>
            </w:r>
          </w:p>
        </w:tc>
        <w:tc>
          <w:tcPr>
            <w:tcW w:w="2519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147B07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9,10</w:t>
            </w:r>
          </w:p>
        </w:tc>
      </w:tr>
    </w:tbl>
    <w:p w14:paraId="6101432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0879E246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46EA4643"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</w:p>
    <w:p w14:paraId="24963FF9">
      <w:pPr>
        <w:widowControl/>
        <w:jc w:val="left"/>
        <w:rPr>
          <w:rFonts w:ascii="Times New Roman" w:hAnsi="Times New Roman" w:cs="Times New Roma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387E7">
    <w:pPr>
      <w:pStyle w:val="1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0394A31">
                <w:pPr>
                  <w:pStyle w:val="12"/>
                  <w:rPr>
                    <w:rFonts w:hint="default" w:ascii="Times New Roman" w:hAnsi="Times New Roman" w:cs="Times New Roman"/>
                  </w:rPr>
                </w:pPr>
                <w:r>
                  <w:rPr>
                    <w:rFonts w:hint="default" w:ascii="Times New Roman" w:hAnsi="Times New Roman" w:cs="Times New Roman"/>
                    <w:lang w:val="en-US" w:eastAsia="zh-CN"/>
                  </w:rPr>
                  <w:t xml:space="preserve">Page </w:t>
                </w:r>
                <w:r>
                  <w:rPr>
                    <w:rFonts w:hint="default" w:ascii="Times New Roman" w:hAnsi="Times New Roman" w:cs="Times New Roman"/>
                  </w:rPr>
                  <w:fldChar w:fldCharType="begin"/>
                </w:r>
                <w:r>
                  <w:rPr>
                    <w:rFonts w:hint="default" w:ascii="Times New Roman" w:hAnsi="Times New Roman" w:cs="Times New Roman"/>
                  </w:rPr>
                  <w:instrText xml:space="preserve"> PAGE  \* MERGEFORMAT </w:instrText>
                </w:r>
                <w:r>
                  <w:rPr>
                    <w:rFonts w:hint="default" w:ascii="Times New Roman" w:hAnsi="Times New Roman" w:cs="Times New Roman"/>
                  </w:rPr>
                  <w:fldChar w:fldCharType="separate"/>
                </w:r>
                <w:r>
                  <w:rPr>
                    <w:rFonts w:hint="default" w:ascii="Times New Roman" w:hAnsi="Times New Roman" w:cs="Times New Roman"/>
                  </w:rPr>
                  <w:t>1</w:t>
                </w:r>
                <w:r>
                  <w:rPr>
                    <w:rFonts w:hint="default" w:ascii="Times New Roman" w:hAnsi="Times New Roman" w:cs="Times New Roma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334D7">
    <w:pPr>
      <w:pStyle w:val="1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doNotExpandShiftReturn/>
    <w:doNotWrapTextWithPunct/>
    <w:doNotUseEastAsianBreakRules/>
    <w:useFELayout/>
    <w:compatSetting w:name="compatibilityMode" w:uri="http://schemas.microsoft.com/office/word" w:val="12"/>
  </w:compat>
  <w:rsids>
    <w:rsidRoot w:val="00323542"/>
    <w:rsid w:val="00156BE5"/>
    <w:rsid w:val="00255B58"/>
    <w:rsid w:val="00323542"/>
    <w:rsid w:val="00325033"/>
    <w:rsid w:val="00335E7F"/>
    <w:rsid w:val="004037FE"/>
    <w:rsid w:val="00617BAE"/>
    <w:rsid w:val="006431B2"/>
    <w:rsid w:val="00A11258"/>
    <w:rsid w:val="00A32971"/>
    <w:rsid w:val="00A538E3"/>
    <w:rsid w:val="00AE2ED7"/>
    <w:rsid w:val="00AF7B42"/>
    <w:rsid w:val="00B03563"/>
    <w:rsid w:val="00D600DF"/>
    <w:rsid w:val="00DE52C3"/>
    <w:rsid w:val="00E52A2B"/>
    <w:rsid w:val="00EB738E"/>
    <w:rsid w:val="00F31A37"/>
    <w:rsid w:val="00F540FD"/>
    <w:rsid w:val="03030E07"/>
    <w:rsid w:val="1EFD0B7D"/>
    <w:rsid w:val="2D4D55A9"/>
    <w:rsid w:val="43EB0364"/>
    <w:rsid w:val="43FB6E80"/>
    <w:rsid w:val="54863AA0"/>
    <w:rsid w:val="5862152A"/>
    <w:rsid w:val="58E86BBC"/>
    <w:rsid w:val="7CBA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qFormat/>
    <w:uiPriority w:val="0"/>
    <w:pPr>
      <w:jc w:val="left"/>
    </w:pPr>
  </w:style>
  <w:style w:type="paragraph" w:styleId="12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21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22">
    <w:name w:val="标题 4 字符"/>
    <w:basedOn w:val="18"/>
    <w:link w:val="5"/>
    <w:semiHidden/>
    <w:qFormat/>
    <w:uiPriority w:val="9"/>
    <w:rPr>
      <w:rFonts w:cstheme="majorBidi"/>
      <w:color w:val="0F4761" w:themeColor="accent1" w:themeShade="BF"/>
      <w:sz w:val="28"/>
      <w:szCs w:val="28"/>
    </w:rPr>
  </w:style>
  <w:style w:type="character" w:customStyle="1" w:styleId="23">
    <w:name w:val="标题 5 字符"/>
    <w:basedOn w:val="18"/>
    <w:link w:val="6"/>
    <w:semiHidden/>
    <w:qFormat/>
    <w:uiPriority w:val="9"/>
    <w:rPr>
      <w:rFonts w:cstheme="majorBidi"/>
      <w:color w:val="0F4761" w:themeColor="accent1" w:themeShade="BF"/>
      <w:sz w:val="24"/>
      <w:szCs w:val="24"/>
    </w:rPr>
  </w:style>
  <w:style w:type="character" w:customStyle="1" w:styleId="24">
    <w:name w:val="标题 6 字符"/>
    <w:basedOn w:val="18"/>
    <w:link w:val="7"/>
    <w:semiHidden/>
    <w:qFormat/>
    <w:uiPriority w:val="9"/>
    <w:rPr>
      <w:rFonts w:cstheme="majorBidi"/>
      <w:b/>
      <w:bCs/>
      <w:color w:val="0F4761" w:themeColor="accent1" w:themeShade="BF"/>
    </w:rPr>
  </w:style>
  <w:style w:type="character" w:customStyle="1" w:styleId="25">
    <w:name w:val="标题 7 字符"/>
    <w:basedOn w:val="18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6">
    <w:name w:val="标题 8 字符"/>
    <w:basedOn w:val="18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7">
    <w:name w:val="标题 9 字符"/>
    <w:basedOn w:val="18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8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31">
    <w:name w:val="引用 字符"/>
    <w:basedOn w:val="18"/>
    <w:link w:val="30"/>
    <w:qFormat/>
    <w:uiPriority w:val="29"/>
    <w:rPr>
      <w:i/>
      <w:iCs/>
      <w:color w:val="3F3F3F" w:themeColor="text1" w:themeTint="BF"/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8"/>
    <w:qFormat/>
    <w:uiPriority w:val="21"/>
    <w:rPr>
      <w:i/>
      <w:iCs/>
      <w:color w:val="0F4761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35">
    <w:name w:val="明显引用 字符"/>
    <w:basedOn w:val="18"/>
    <w:link w:val="34"/>
    <w:qFormat/>
    <w:uiPriority w:val="30"/>
    <w:rPr>
      <w:i/>
      <w:iCs/>
      <w:color w:val="0F4761" w:themeColor="accent1" w:themeShade="BF"/>
    </w:rPr>
  </w:style>
  <w:style w:type="character" w:customStyle="1" w:styleId="36">
    <w:name w:val="明显参考1"/>
    <w:basedOn w:val="18"/>
    <w:qFormat/>
    <w:uiPriority w:val="32"/>
    <w:rPr>
      <w:b/>
      <w:bCs/>
      <w:smallCaps/>
      <w:color w:val="0F4761" w:themeColor="accent1" w:themeShade="BF"/>
      <w:spacing w:val="5"/>
    </w:rPr>
  </w:style>
  <w:style w:type="character" w:customStyle="1" w:styleId="37">
    <w:name w:val="页眉 字符"/>
    <w:basedOn w:val="18"/>
    <w:link w:val="13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  <w:style w:type="character" w:customStyle="1" w:styleId="38">
    <w:name w:val="页脚 字符"/>
    <w:basedOn w:val="18"/>
    <w:link w:val="12"/>
    <w:qFormat/>
    <w:uiPriority w:val="99"/>
    <w:rPr>
      <w:rFonts w:asciiTheme="minorHAnsi" w:hAnsiTheme="minorHAnsi" w:eastAsiaTheme="minorEastAsia" w:cstheme="minorBidi"/>
      <w:kern w:val="2"/>
      <w:sz w:val="18"/>
      <w:szCs w:val="18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735</Words>
  <Characters>4128</Characters>
  <Lines>37</Lines>
  <Paragraphs>10</Paragraphs>
  <TotalTime>0</TotalTime>
  <ScaleCrop>false</ScaleCrop>
  <LinksUpToDate>false</LinksUpToDate>
  <CharactersWithSpaces>4595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2025-12-12T17:05:00Z</dcterms:created>
  <dc:creator>修订者</dc:creator>
  <cp:lastModifiedBy>简</cp:lastModifiedBy>
  <dcterms:modified xsi:type="dcterms:W3CDTF">2026-05-03T08:21:50Z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eyJoZGlkIjoiZmI5M2QyMjE4MTJhY2MwZWQzZmI4ODg1NjNiZTY0ZjIiLCJ1c2VySWQiOiI5NjQwNjgwNjMifQ==</vt:lpwstr>
  </property>
  <property fmtid="{D5CDD505-2E9C-101B-9397-08002B2CF9AE}" pid="3" name="KSOProductBuildVer">
    <vt:lpwstr>2052-12.1.0.25865</vt:lpwstr>
  </property>
  <property fmtid="{D5CDD505-2E9C-101B-9397-08002B2CF9AE}" pid="4" name="ICV">
    <vt:lpwstr>0EB13D8FC16D40F6ADE91675A63B0B14_12</vt:lpwstr>
  </property>
  <property fmtid="{D5CDD505-2E9C-101B-9397-08002B2CF9AE}" pid="5" name="GrammarlyDocumentId">
    <vt:lpwstr>95705a0b-51cb-443a-9156-80b74b38606a</vt:lpwstr>
  </property>
</Properties>
</file>