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D9D140">
      <w:pPr>
        <w:widowControl/>
        <w:numPr>
          <w:numId w:val="0"/>
        </w:numPr>
        <w:jc w:val="left"/>
        <w:rPr>
          <w:rFonts w:hint="default" w:ascii="Times New Roman" w:hAnsi="Times New Roman" w:eastAsia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/>
          <w:b/>
          <w:bCs/>
          <w:sz w:val="28"/>
          <w:szCs w:val="28"/>
          <w:highlight w:val="none"/>
          <w:lang w:val="en-US" w:eastAsia="zh-CN"/>
        </w:rPr>
        <w:t>Supplementary material</w:t>
      </w:r>
    </w:p>
    <w:p w14:paraId="6DAED5CC">
      <w:pPr>
        <w:widowControl/>
        <w:numPr>
          <w:ilvl w:val="0"/>
          <w:numId w:val="1"/>
        </w:numPr>
        <w:jc w:val="left"/>
        <w:rPr>
          <w:rFonts w:hint="default" w:ascii="Times New Roman" w:hAnsi="Times New Roman" w:eastAsia="宋体"/>
          <w:b/>
          <w:bCs/>
          <w:sz w:val="20"/>
          <w:szCs w:val="20"/>
          <w:highlight w:val="none"/>
          <w:lang w:val="en-US" w:eastAsia="zh-CN"/>
        </w:rPr>
      </w:pPr>
      <w:bookmarkStart w:id="0" w:name="_GoBack"/>
      <w:r>
        <w:rPr>
          <w:rFonts w:hint="eastAsia" w:ascii="Times New Roman" w:hAnsi="Times New Roman" w:eastAsia="宋体"/>
          <w:b/>
          <w:bCs/>
          <w:sz w:val="20"/>
          <w:szCs w:val="20"/>
          <w:highlight w:val="none"/>
          <w:lang w:val="en-US" w:eastAsia="zh-CN"/>
        </w:rPr>
        <w:t>Supplementary</w:t>
      </w:r>
      <w:r>
        <w:rPr>
          <w:rFonts w:hint="default" w:ascii="Times New Roman" w:hAnsi="Times New Roman" w:eastAsia="宋体"/>
          <w:b/>
          <w:bCs/>
          <w:sz w:val="20"/>
          <w:szCs w:val="20"/>
          <w:highlight w:val="none"/>
          <w:lang w:val="en-US" w:eastAsia="zh-CN"/>
        </w:rPr>
        <w:t xml:space="preserve"> Figure</w:t>
      </w:r>
    </w:p>
    <w:bookmarkEnd w:id="0"/>
    <w:p w14:paraId="0E050810">
      <w:pPr>
        <w:jc w:val="center"/>
        <w:rPr>
          <w:rFonts w:ascii="Times New Roman" w:hAnsi="Times New Roman"/>
          <w:highlight w:val="none"/>
        </w:rPr>
      </w:pPr>
      <w:r>
        <w:rPr>
          <w:highlight w:val="none"/>
        </w:rPr>
        <w:fldChar w:fldCharType="begin"/>
      </w:r>
      <w:r>
        <w:rPr>
          <w:highlight w:val="none"/>
        </w:rPr>
        <w:instrText xml:space="preserve"> INCLUDEPICTURE "/Users/onezero/Library/Containers/com.kingsoft.wpsoffice.mac/Data/tmp/wps-onezero/ksohtml/wps38.jpg" \* MERGEFORMATINET </w:instrText>
      </w:r>
      <w:r>
        <w:rPr>
          <w:highlight w:val="none"/>
        </w:rPr>
        <w:fldChar w:fldCharType="separate"/>
      </w:r>
      <w:r>
        <w:rPr>
          <w:highlight w:val="none"/>
        </w:rPr>
        <w:drawing>
          <wp:inline distT="0" distB="0" distL="0" distR="0">
            <wp:extent cx="5274310" cy="3956050"/>
            <wp:effectExtent l="0" t="0" r="13970" b="6350"/>
            <wp:docPr id="19602103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210389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highlight w:val="none"/>
        </w:rPr>
        <w:fldChar w:fldCharType="end"/>
      </w:r>
    </w:p>
    <w:p w14:paraId="54873FDE">
      <w:pPr>
        <w:jc w:val="center"/>
        <w:rPr>
          <w:rFonts w:hint="default" w:ascii="Times New Roman" w:hAnsi="Times New Roman" w:eastAsia="宋体"/>
          <w:b/>
          <w:bCs/>
          <w:sz w:val="20"/>
          <w:szCs w:val="20"/>
          <w:highlight w:val="none"/>
          <w:lang w:val="en-US" w:eastAsia="zh-CN"/>
        </w:rPr>
      </w:pPr>
      <w:r>
        <w:rPr>
          <w:rFonts w:ascii="Times New Roman" w:hAnsi="Times New Roman" w:eastAsiaTheme="majorHAnsi"/>
          <w:sz w:val="20"/>
          <w:szCs w:val="20"/>
          <w:highlight w:val="none"/>
        </w:rPr>
        <w:t xml:space="preserve">Figure </w:t>
      </w:r>
      <w:r>
        <w:rPr>
          <w:rFonts w:hint="default" w:ascii="Times New Roman" w:hAnsi="Times New Roman" w:eastAsiaTheme="majorHAnsi"/>
          <w:sz w:val="20"/>
          <w:szCs w:val="20"/>
          <w:highlight w:val="none"/>
          <w:lang w:val="en-US"/>
        </w:rPr>
        <w:t>A</w:t>
      </w:r>
      <w:r>
        <w:rPr>
          <w:rFonts w:hint="eastAsia" w:ascii="Times New Roman" w:hAnsi="Times New Roman" w:eastAsiaTheme="majorHAnsi"/>
          <w:sz w:val="20"/>
          <w:szCs w:val="20"/>
          <w:highlight w:val="none"/>
        </w:rPr>
        <w:t xml:space="preserve"> </w:t>
      </w:r>
      <w:r>
        <w:rPr>
          <w:rFonts w:hint="eastAsia" w:ascii="Times New Roman" w:hAnsi="Times New Roman"/>
          <w:highlight w:val="none"/>
        </w:rPr>
        <w:t>Kaplan</w:t>
      </w:r>
      <w:r>
        <w:rPr>
          <w:rFonts w:hint="eastAsia" w:ascii="宋体" w:hAnsi="宋体"/>
          <w:highlight w:val="none"/>
        </w:rPr>
        <w:t>–</w:t>
      </w:r>
      <w:r>
        <w:rPr>
          <w:rFonts w:hint="eastAsia" w:ascii="Times New Roman" w:hAnsi="Times New Roman"/>
          <w:highlight w:val="none"/>
        </w:rPr>
        <w:t>Meier survival curves</w:t>
      </w:r>
      <w:r>
        <w:rPr>
          <w:rFonts w:hint="eastAsia" w:ascii="Times New Roman" w:hAnsi="Times New Roman" w:eastAsiaTheme="majorHAnsi"/>
          <w:sz w:val="20"/>
          <w:szCs w:val="20"/>
          <w:highlight w:val="none"/>
        </w:rPr>
        <w:t xml:space="preserve"> between </w:t>
      </w:r>
      <w:r>
        <w:rPr>
          <w:rFonts w:hint="eastAsia" w:ascii="Times New Roman" w:hAnsi="Times New Roman"/>
          <w:highlight w:val="none"/>
        </w:rPr>
        <w:t>sarcopenia status in association with incident comorbidity</w:t>
      </w:r>
    </w:p>
    <w:p w14:paraId="25D2C7F1">
      <w:pPr>
        <w:widowControl/>
        <w:numPr>
          <w:ilvl w:val="0"/>
          <w:numId w:val="1"/>
        </w:numPr>
        <w:jc w:val="left"/>
        <w:rPr>
          <w:rFonts w:hint="default" w:ascii="Times New Roman" w:hAnsi="Times New Roman" w:eastAsia="宋体"/>
          <w:b/>
          <w:bCs/>
          <w:sz w:val="20"/>
          <w:szCs w:val="20"/>
          <w:highlight w:val="none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0"/>
          <w:szCs w:val="20"/>
          <w:highlight w:val="none"/>
          <w:lang w:val="en-US" w:eastAsia="zh-CN"/>
        </w:rPr>
        <w:t>Supplementary</w:t>
      </w:r>
      <w:r>
        <w:rPr>
          <w:rFonts w:hint="default" w:ascii="Times New Roman" w:hAnsi="Times New Roman" w:eastAsia="宋体"/>
          <w:b/>
          <w:bCs/>
          <w:sz w:val="20"/>
          <w:szCs w:val="20"/>
          <w:highlight w:val="none"/>
          <w:lang w:val="en-US" w:eastAsia="zh-CN"/>
        </w:rPr>
        <w:t xml:space="preserve"> Table</w:t>
      </w:r>
    </w:p>
    <w:p w14:paraId="52FEEF95">
      <w:pPr>
        <w:pStyle w:val="2"/>
        <w:jc w:val="center"/>
        <w:rPr>
          <w:rFonts w:hint="eastAsia" w:ascii="Times New Roman" w:hAnsi="Times New Roman"/>
          <w:b/>
          <w:bCs/>
          <w:sz w:val="16"/>
          <w:szCs w:val="16"/>
          <w:highlight w:val="none"/>
        </w:rPr>
      </w:pP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Table 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/>
        </w:rPr>
        <w:t>B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 xml:space="preserve"> Multivariable Cox regression analysis of sarcopenia status in association with incident comorbidity</w:t>
      </w:r>
    </w:p>
    <w:tbl>
      <w:tblPr>
        <w:tblStyle w:val="4"/>
        <w:tblW w:w="9903" w:type="dxa"/>
        <w:tblInd w:w="-5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832"/>
        <w:gridCol w:w="1227"/>
        <w:gridCol w:w="1637"/>
        <w:gridCol w:w="1366"/>
        <w:gridCol w:w="933"/>
        <w:gridCol w:w="1291"/>
        <w:gridCol w:w="933"/>
      </w:tblGrid>
      <w:tr w14:paraId="421E4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858" w:type="dxa"/>
            <w:vMerge w:val="restart"/>
            <w:vAlign w:val="center"/>
          </w:tcPr>
          <w:p w14:paraId="53F5C5DB">
            <w:pPr>
              <w:jc w:val="center"/>
              <w:rPr>
                <w:rStyle w:val="6"/>
                <w:rFonts w:hint="default" w:ascii="Times New Roman" w:hAnsi="Times New Roman" w:eastAsia="宋体" w:cs="Times New Roman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15"/>
                <w:szCs w:val="15"/>
                <w:highlight w:val="none"/>
                <w:lang w:val="en-US" w:eastAsia="zh-CN" w:bidi="ar"/>
              </w:rPr>
              <w:t>Sarcopenia status</w:t>
            </w:r>
          </w:p>
        </w:tc>
        <w:tc>
          <w:tcPr>
            <w:tcW w:w="874" w:type="dxa"/>
            <w:vMerge w:val="restart"/>
            <w:vAlign w:val="center"/>
          </w:tcPr>
          <w:p w14:paraId="5AE025AC">
            <w:pPr>
              <w:jc w:val="center"/>
              <w:rPr>
                <w:rStyle w:val="6"/>
                <w:rFonts w:hint="default" w:ascii="Times New Roman" w:hAnsi="Times New Roman" w:eastAsia="宋体" w:cs="Times New Roman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15"/>
                <w:szCs w:val="15"/>
                <w:highlight w:val="none"/>
                <w:lang w:val="en-US" w:eastAsia="zh-CN" w:bidi="ar"/>
              </w:rPr>
              <w:t>Events</w:t>
            </w:r>
          </w:p>
        </w:tc>
        <w:tc>
          <w:tcPr>
            <w:tcW w:w="1268" w:type="dxa"/>
            <w:vMerge w:val="restart"/>
            <w:vAlign w:val="center"/>
          </w:tcPr>
          <w:p w14:paraId="5AFF8854">
            <w:pPr>
              <w:jc w:val="center"/>
              <w:rPr>
                <w:rStyle w:val="6"/>
                <w:rFonts w:hint="default" w:ascii="Times New Roman" w:hAnsi="Times New Roman" w:eastAsia="宋体" w:cs="Times New Roman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15"/>
                <w:szCs w:val="15"/>
                <w:highlight w:val="none"/>
                <w:lang w:val="en-US" w:eastAsia="zh-CN" w:bidi="ar"/>
              </w:rPr>
              <w:t>Person-years</w:t>
            </w:r>
          </w:p>
        </w:tc>
        <w:tc>
          <w:tcPr>
            <w:tcW w:w="1823" w:type="dxa"/>
            <w:vMerge w:val="restart"/>
            <w:vAlign w:val="center"/>
          </w:tcPr>
          <w:p w14:paraId="6CA2622F">
            <w:pPr>
              <w:jc w:val="center"/>
              <w:rPr>
                <w:rStyle w:val="6"/>
                <w:rFonts w:hint="default" w:ascii="Times New Roman" w:hAnsi="Times New Roman" w:eastAsia="宋体" w:cs="Times New Roman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15"/>
                <w:szCs w:val="15"/>
                <w:highlight w:val="none"/>
                <w:lang w:val="en-US" w:eastAsia="zh-CN" w:bidi="ar"/>
              </w:rPr>
              <w:t>Incidence</w:t>
            </w:r>
            <w:r>
              <w:rPr>
                <w:rStyle w:val="6"/>
                <w:rFonts w:hint="eastAsia" w:ascii="Times New Roman" w:hAnsi="Times New Roman" w:eastAsia="宋体" w:cs="Times New Roman"/>
                <w:sz w:val="15"/>
                <w:szCs w:val="15"/>
                <w:highlight w:val="none"/>
                <w:lang w:val="en-US" w:eastAsia="zh-CN" w:bidi="ar"/>
              </w:rPr>
              <w:t xml:space="preserve"> </w:t>
            </w:r>
            <w:r>
              <w:rPr>
                <w:rStyle w:val="6"/>
                <w:rFonts w:hint="default" w:ascii="Times New Roman" w:hAnsi="Times New Roman" w:eastAsia="宋体" w:cs="Times New Roman"/>
                <w:sz w:val="15"/>
                <w:szCs w:val="15"/>
                <w:highlight w:val="none"/>
                <w:lang w:val="en-US" w:eastAsia="zh-CN" w:bidi="ar"/>
              </w:rPr>
              <w:t>rate(per 1000 py)</w:t>
            </w:r>
          </w:p>
        </w:tc>
        <w:tc>
          <w:tcPr>
            <w:tcW w:w="2040" w:type="dxa"/>
            <w:gridSpan w:val="2"/>
            <w:vAlign w:val="center"/>
          </w:tcPr>
          <w:p w14:paraId="4FC49E1B">
            <w:pPr>
              <w:jc w:val="center"/>
              <w:rPr>
                <w:rStyle w:val="6"/>
                <w:rFonts w:hint="default" w:ascii="Times New Roman" w:hAnsi="Times New Roman" w:eastAsia="宋体" w:cs="Times New Roman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15"/>
                <w:szCs w:val="15"/>
                <w:highlight w:val="none"/>
                <w:lang w:val="en-US" w:eastAsia="zh-CN" w:bidi="ar"/>
              </w:rPr>
              <w:t>Model 1</w:t>
            </w:r>
          </w:p>
        </w:tc>
        <w:tc>
          <w:tcPr>
            <w:tcW w:w="2040" w:type="dxa"/>
            <w:gridSpan w:val="2"/>
            <w:vAlign w:val="center"/>
          </w:tcPr>
          <w:p w14:paraId="25DF992A">
            <w:pPr>
              <w:jc w:val="center"/>
              <w:rPr>
                <w:rStyle w:val="6"/>
                <w:rFonts w:hint="default" w:ascii="Times New Roman" w:hAnsi="Times New Roman" w:eastAsia="宋体" w:cs="Times New Roman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15"/>
                <w:szCs w:val="15"/>
                <w:highlight w:val="none"/>
                <w:lang w:val="en-US" w:eastAsia="zh-CN" w:bidi="ar"/>
              </w:rPr>
              <w:t>Model 2*</w:t>
            </w:r>
          </w:p>
        </w:tc>
      </w:tr>
      <w:tr w14:paraId="257E6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858" w:type="dxa"/>
            <w:vMerge w:val="continue"/>
            <w:vAlign w:val="center"/>
          </w:tcPr>
          <w:p w14:paraId="66F20C95">
            <w:pPr>
              <w:jc w:val="center"/>
              <w:rPr>
                <w:rStyle w:val="6"/>
                <w:rFonts w:hint="default" w:ascii="Times New Roman" w:hAnsi="Times New Roman" w:eastAsia="宋体" w:cs="Times New Roman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874" w:type="dxa"/>
            <w:vMerge w:val="continue"/>
            <w:vAlign w:val="center"/>
          </w:tcPr>
          <w:p w14:paraId="35CF7F26">
            <w:pPr>
              <w:jc w:val="center"/>
              <w:rPr>
                <w:rStyle w:val="6"/>
                <w:rFonts w:hint="default" w:ascii="Times New Roman" w:hAnsi="Times New Roman" w:eastAsia="宋体" w:cs="Times New Roman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1268" w:type="dxa"/>
            <w:vMerge w:val="continue"/>
            <w:vAlign w:val="center"/>
          </w:tcPr>
          <w:p w14:paraId="5B567AF5">
            <w:pPr>
              <w:jc w:val="center"/>
              <w:rPr>
                <w:rStyle w:val="6"/>
                <w:rFonts w:hint="default" w:ascii="Times New Roman" w:hAnsi="Times New Roman" w:eastAsia="宋体" w:cs="Times New Roman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1823" w:type="dxa"/>
            <w:vMerge w:val="continue"/>
            <w:vAlign w:val="center"/>
          </w:tcPr>
          <w:p w14:paraId="7D8BF3F0">
            <w:pPr>
              <w:jc w:val="center"/>
              <w:rPr>
                <w:rStyle w:val="6"/>
                <w:rFonts w:hint="default" w:ascii="Times New Roman" w:hAnsi="Times New Roman" w:eastAsia="宋体" w:cs="Times New Roman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1020" w:type="dxa"/>
            <w:vAlign w:val="center"/>
          </w:tcPr>
          <w:p w14:paraId="0D3911BB">
            <w:pPr>
              <w:jc w:val="center"/>
              <w:rPr>
                <w:rStyle w:val="6"/>
                <w:rFonts w:hint="default" w:ascii="Times New Roman" w:hAnsi="Times New Roman" w:eastAsia="宋体" w:cs="Times New Roman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15"/>
                <w:szCs w:val="15"/>
                <w:highlight w:val="none"/>
                <w:lang w:val="en-US" w:eastAsia="zh-CN" w:bidi="ar"/>
              </w:rPr>
              <w:t>OR(95%CI)</w:t>
            </w:r>
          </w:p>
        </w:tc>
        <w:tc>
          <w:tcPr>
            <w:tcW w:w="1020" w:type="dxa"/>
            <w:vAlign w:val="center"/>
          </w:tcPr>
          <w:p w14:paraId="25748409">
            <w:pPr>
              <w:jc w:val="center"/>
              <w:rPr>
                <w:rStyle w:val="6"/>
                <w:rFonts w:hint="default" w:ascii="Times New Roman" w:hAnsi="Times New Roman" w:eastAsia="宋体" w:cs="Times New Roman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15"/>
                <w:szCs w:val="15"/>
                <w:highlight w:val="none"/>
                <w:lang w:val="en-US" w:eastAsia="zh-CN" w:bidi="ar"/>
              </w:rPr>
              <w:t>P value</w:t>
            </w:r>
          </w:p>
        </w:tc>
        <w:tc>
          <w:tcPr>
            <w:tcW w:w="1020" w:type="dxa"/>
            <w:vAlign w:val="center"/>
          </w:tcPr>
          <w:p w14:paraId="2978B4BE">
            <w:pPr>
              <w:jc w:val="center"/>
              <w:rPr>
                <w:rStyle w:val="6"/>
                <w:rFonts w:hint="default" w:ascii="Times New Roman" w:hAnsi="Times New Roman" w:eastAsia="宋体" w:cs="Times New Roman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15"/>
                <w:szCs w:val="15"/>
                <w:highlight w:val="none"/>
                <w:lang w:val="en-US" w:eastAsia="zh-CN" w:bidi="ar"/>
              </w:rPr>
              <w:t>OR(95%CI)</w:t>
            </w:r>
          </w:p>
        </w:tc>
        <w:tc>
          <w:tcPr>
            <w:tcW w:w="1020" w:type="dxa"/>
            <w:vAlign w:val="center"/>
          </w:tcPr>
          <w:p w14:paraId="59206829">
            <w:pPr>
              <w:jc w:val="center"/>
              <w:rPr>
                <w:rStyle w:val="6"/>
                <w:rFonts w:hint="default" w:ascii="Times New Roman" w:hAnsi="Times New Roman" w:eastAsia="宋体" w:cs="Times New Roman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15"/>
                <w:szCs w:val="15"/>
                <w:highlight w:val="none"/>
                <w:lang w:val="en-US" w:eastAsia="zh-CN" w:bidi="ar"/>
              </w:rPr>
              <w:t>P value</w:t>
            </w:r>
          </w:p>
        </w:tc>
      </w:tr>
      <w:tr w14:paraId="0EA5D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8" w:type="dxa"/>
            <w:vAlign w:val="center"/>
          </w:tcPr>
          <w:p w14:paraId="31339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No sarcopenia</w:t>
            </w:r>
          </w:p>
        </w:tc>
        <w:tc>
          <w:tcPr>
            <w:tcW w:w="874" w:type="dxa"/>
            <w:vAlign w:val="center"/>
          </w:tcPr>
          <w:p w14:paraId="2E698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1431</w:t>
            </w:r>
          </w:p>
        </w:tc>
        <w:tc>
          <w:tcPr>
            <w:tcW w:w="1268" w:type="dxa"/>
            <w:vAlign w:val="center"/>
          </w:tcPr>
          <w:p w14:paraId="78C5C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10017</w:t>
            </w:r>
          </w:p>
        </w:tc>
        <w:tc>
          <w:tcPr>
            <w:tcW w:w="1823" w:type="dxa"/>
            <w:vAlign w:val="center"/>
          </w:tcPr>
          <w:p w14:paraId="59879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142.86</w:t>
            </w:r>
          </w:p>
        </w:tc>
        <w:tc>
          <w:tcPr>
            <w:tcW w:w="1020" w:type="dxa"/>
            <w:vAlign w:val="center"/>
          </w:tcPr>
          <w:p w14:paraId="3A31F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(ref)</w:t>
            </w:r>
          </w:p>
        </w:tc>
        <w:tc>
          <w:tcPr>
            <w:tcW w:w="1020" w:type="dxa"/>
            <w:vAlign w:val="center"/>
          </w:tcPr>
          <w:p w14:paraId="138C1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20" w:type="dxa"/>
            <w:vAlign w:val="center"/>
          </w:tcPr>
          <w:p w14:paraId="54E10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(ref)</w:t>
            </w:r>
          </w:p>
        </w:tc>
        <w:tc>
          <w:tcPr>
            <w:tcW w:w="1020" w:type="dxa"/>
            <w:vAlign w:val="center"/>
          </w:tcPr>
          <w:p w14:paraId="1E682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</w:pPr>
          </w:p>
        </w:tc>
      </w:tr>
      <w:tr w14:paraId="0CDE2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8" w:type="dxa"/>
            <w:vAlign w:val="center"/>
          </w:tcPr>
          <w:p w14:paraId="5707A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Sarcopenia</w:t>
            </w:r>
          </w:p>
        </w:tc>
        <w:tc>
          <w:tcPr>
            <w:tcW w:w="874" w:type="dxa"/>
            <w:vAlign w:val="center"/>
          </w:tcPr>
          <w:p w14:paraId="62063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1268" w:type="dxa"/>
            <w:vAlign w:val="center"/>
          </w:tcPr>
          <w:p w14:paraId="3696B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706</w:t>
            </w:r>
          </w:p>
        </w:tc>
        <w:tc>
          <w:tcPr>
            <w:tcW w:w="1823" w:type="dxa"/>
            <w:vAlign w:val="center"/>
          </w:tcPr>
          <w:p w14:paraId="3F002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283.27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8BC1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2.093(1.581,2.772)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0241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＜0.001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41DE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1.453(1.072,1.97)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905F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＜0.05</w:t>
            </w:r>
          </w:p>
        </w:tc>
      </w:tr>
    </w:tbl>
    <w:p w14:paraId="73A2DDBB">
      <w:pPr>
        <w:jc w:val="left"/>
        <w:rPr>
          <w:rFonts w:hint="eastAsia" w:ascii="Times New Roman" w:hAnsi="Times New Roman"/>
          <w:b/>
          <w:bCs/>
          <w:sz w:val="16"/>
          <w:szCs w:val="16"/>
          <w:highlight w:val="none"/>
        </w:rPr>
      </w:pPr>
    </w:p>
    <w:p w14:paraId="78A5F89E">
      <w:pPr>
        <w:jc w:val="left"/>
        <w:rPr>
          <w:rFonts w:hint="eastAsia" w:ascii="Times New Roman" w:hAnsi="Times New Roman"/>
          <w:sz w:val="16"/>
          <w:szCs w:val="16"/>
          <w:highlight w:val="none"/>
        </w:rPr>
      </w:pPr>
      <w:r>
        <w:rPr>
          <w:rFonts w:hint="eastAsia" w:ascii="Times New Roman" w:hAnsi="Times New Roman"/>
          <w:sz w:val="16"/>
          <w:szCs w:val="16"/>
          <w:highlight w:val="none"/>
        </w:rPr>
        <w:t>Model1:unadjusted</w:t>
      </w:r>
    </w:p>
    <w:p w14:paraId="2CA8A713">
      <w:pPr>
        <w:jc w:val="left"/>
        <w:rPr>
          <w:rFonts w:hint="eastAsia" w:ascii="Times New Roman" w:hAnsi="Times New Roman"/>
          <w:sz w:val="16"/>
          <w:szCs w:val="16"/>
          <w:highlight w:val="none"/>
        </w:rPr>
      </w:pPr>
      <w:r>
        <w:rPr>
          <w:rFonts w:hint="eastAsia" w:ascii="Times New Roman" w:hAnsi="Times New Roman"/>
          <w:sz w:val="16"/>
          <w:szCs w:val="16"/>
          <w:highlight w:val="none"/>
        </w:rPr>
        <w:t xml:space="preserve">Model 2: </w:t>
      </w:r>
      <w:r>
        <w:rPr>
          <w:rFonts w:hint="eastAsia" w:ascii="Times New Roman" w:hAnsi="Times New Roman"/>
          <w:sz w:val="16"/>
          <w:szCs w:val="16"/>
          <w:highlight w:val="none"/>
          <w:lang w:val="en-US" w:eastAsia="zh-CN"/>
        </w:rPr>
        <w:t>a</w:t>
      </w:r>
      <w:r>
        <w:rPr>
          <w:rFonts w:hint="eastAsia" w:ascii="Times New Roman" w:hAnsi="Times New Roman"/>
          <w:sz w:val="16"/>
          <w:szCs w:val="16"/>
          <w:highlight w:val="none"/>
        </w:rPr>
        <w:t>djusted for age, gender, education, residence, marital status, ever/current smoke, ever/current alcohol, other comorbidities</w:t>
      </w:r>
      <w:r>
        <w:rPr>
          <w:rFonts w:hint="eastAsia" w:ascii="Times New Roman" w:hAnsi="Times New Roman"/>
          <w:sz w:val="16"/>
          <w:szCs w:val="16"/>
          <w:highlight w:val="none"/>
          <w:lang w:val="en-US" w:eastAsia="zh-CN"/>
        </w:rPr>
        <w:t>(</w:t>
      </w:r>
      <w:r>
        <w:rPr>
          <w:rFonts w:hint="eastAsia" w:ascii="Times New Roman" w:hAnsi="Times New Roman"/>
          <w:sz w:val="16"/>
          <w:szCs w:val="16"/>
          <w:highlight w:val="none"/>
        </w:rPr>
        <w:t>hypertension, hyperglycaemia, cancer, lung disease, heart disease, stroke, arthritis, hypercholesterolaemia, liver disease, kidney disease, digestive system disease</w:t>
      </w:r>
      <w:r>
        <w:rPr>
          <w:rFonts w:hint="eastAsia" w:ascii="Times New Roman" w:hAnsi="Times New Roman"/>
          <w:sz w:val="16"/>
          <w:szCs w:val="16"/>
          <w:highlight w:val="none"/>
          <w:lang w:val="en-US" w:eastAsia="zh-CN"/>
        </w:rPr>
        <w:t>)</w:t>
      </w:r>
      <w:r>
        <w:rPr>
          <w:rFonts w:hint="eastAsia" w:ascii="Times New Roman" w:hAnsi="Times New Roman"/>
          <w:sz w:val="16"/>
          <w:szCs w:val="16"/>
          <w:highlight w:val="none"/>
        </w:rPr>
        <w:t xml:space="preserve"> and obesity judgment</w:t>
      </w:r>
    </w:p>
    <w:p w14:paraId="2FB747D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FFCCD6"/>
    <w:multiLevelType w:val="singleLevel"/>
    <w:tmpl w:val="4EFFCCD6"/>
    <w:lvl w:ilvl="0" w:tentative="0">
      <w:start w:val="1"/>
      <w:numFmt w:val="upperLetter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214E44"/>
    <w:rsid w:val="7821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table" w:styleId="4">
    <w:name w:val="Table Grid"/>
    <w:basedOn w:val="3"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1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15"/>
      <w:szCs w:val="15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2025-12-30T13:43:00Z</dcterms:created>
  <dc:creator>CYC</dc:creator>
  <cp:lastModifiedBy>CYC</cp:lastModifiedBy>
  <dcterms:modified xsi:type="dcterms:W3CDTF">2025-12-30T13:44:18Z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8D59E2D85F9F47409ADA9336C9A39033_11</vt:lpwstr>
  </property>
  <property fmtid="{D5CDD505-2E9C-101B-9397-08002B2CF9AE}" pid="4" name="KSOTemplateDocerSaveRecord">
    <vt:lpwstr>eyJoZGlkIjoiYTZiY2NhYzgzMTcwN2JkZGE4YTZmM2M3MzYyZWFkMDciLCJ1c2VySWQiOiIxNTI4MzAzMDMyIn0=</vt:lpwstr>
  </property>
</Properties>
</file>