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32965" w:rsidRPr="00080D53" w:rsidRDefault="00B32965" w:rsidP="00B32965">
      <w:pPr>
        <w:rPr>
          <w:rFonts w:ascii="Times New Roman" w:hAnsi="Times New Roman" w:cs="Times New Roman"/>
          <w:sz w:val="20"/>
          <w:szCs w:val="20"/>
        </w:rPr>
      </w:pPr>
      <w:r w:rsidRPr="00080D53">
        <w:rPr>
          <w:rStyle w:val="af"/>
          <w:rFonts w:ascii="Times New Roman" w:hAnsi="Times New Roman" w:cs="Times New Roman"/>
          <w:color w:val="0F1115"/>
          <w:sz w:val="20"/>
          <w:szCs w:val="20"/>
        </w:rPr>
        <w:t>Supplementary Table S</w:t>
      </w:r>
      <w:r>
        <w:rPr>
          <w:rStyle w:val="af"/>
          <w:rFonts w:ascii="Times New Roman" w:hAnsi="Times New Roman" w:cs="Times New Roman"/>
          <w:color w:val="0F1115"/>
          <w:sz w:val="20"/>
          <w:szCs w:val="20"/>
        </w:rPr>
        <w:t>1</w:t>
      </w:r>
      <w:r w:rsidRPr="00080D53">
        <w:rPr>
          <w:rStyle w:val="af"/>
          <w:rFonts w:ascii="Times New Roman" w:hAnsi="Times New Roman" w:cs="Times New Roman"/>
          <w:color w:val="0F1115"/>
          <w:sz w:val="20"/>
          <w:szCs w:val="20"/>
        </w:rPr>
        <w:t>. Operational definitions and ascertainment of postoperative complications</w:t>
      </w:r>
      <w:r w:rsidRPr="00080D53">
        <w:rPr>
          <w:rFonts w:ascii="Times New Roman" w:hAnsi="Times New Roman" w:cs="Times New Roman"/>
          <w:color w:val="0F1115"/>
          <w:sz w:val="20"/>
          <w:szCs w:val="20"/>
        </w:rPr>
        <w:t xml:space="preserve"> </w:t>
      </w:r>
    </w:p>
    <w:tbl>
      <w:tblPr>
        <w:tblStyle w:val="61"/>
        <w:tblW w:w="0" w:type="auto"/>
        <w:tblLook w:val="04A0" w:firstRow="1" w:lastRow="0" w:firstColumn="1" w:lastColumn="0" w:noHBand="0" w:noVBand="1"/>
      </w:tblPr>
      <w:tblGrid>
        <w:gridCol w:w="1527"/>
        <w:gridCol w:w="4463"/>
        <w:gridCol w:w="2316"/>
      </w:tblGrid>
      <w:tr w:rsidR="00B32965" w:rsidRPr="00B32965" w:rsidTr="00B329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32965" w:rsidRPr="00B32965" w:rsidRDefault="00B32965" w:rsidP="0060251C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Complication</w:t>
            </w:r>
          </w:p>
        </w:tc>
        <w:tc>
          <w:tcPr>
            <w:tcW w:w="4541" w:type="dxa"/>
          </w:tcPr>
          <w:p w:rsidR="00B32965" w:rsidRPr="00B32965" w:rsidRDefault="00B32965" w:rsidP="006025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B32965">
              <w:rPr>
                <w:rStyle w:val="af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Operational </w:t>
            </w:r>
            <w:r w:rsidRPr="00B3296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shd w:val="clear" w:color="auto" w:fill="FFFFFF"/>
              </w:rPr>
              <w:t>Definition</w:t>
            </w:r>
          </w:p>
        </w:tc>
        <w:tc>
          <w:tcPr>
            <w:tcW w:w="2347" w:type="dxa"/>
          </w:tcPr>
          <w:p w:rsidR="00B32965" w:rsidRPr="00B32965" w:rsidRDefault="00B32965" w:rsidP="006025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Data source</w:t>
            </w:r>
          </w:p>
        </w:tc>
      </w:tr>
      <w:tr w:rsidR="00B32965" w:rsidRPr="00B32965" w:rsidTr="00B3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auto"/>
          </w:tcPr>
          <w:p w:rsidR="00B32965" w:rsidRPr="00B32965" w:rsidRDefault="00B32965" w:rsidP="00B32965">
            <w:pPr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541" w:type="dxa"/>
            <w:shd w:val="clear" w:color="auto" w:fill="auto"/>
          </w:tcPr>
          <w:p w:rsidR="00B32965" w:rsidRPr="00B32965" w:rsidRDefault="00B32965" w:rsidP="00B3296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Positive Confusion Assessment Method (CAM) score documented in nursing or physician notes (presence of acute onset/fluctuating course, inattention, and either disorganized thinking or altered level of consciousness</w:t>
            </w:r>
          </w:p>
        </w:tc>
        <w:tc>
          <w:tcPr>
            <w:tcW w:w="2347" w:type="dxa"/>
            <w:shd w:val="clear" w:color="auto" w:fill="auto"/>
          </w:tcPr>
          <w:p w:rsidR="00B32965" w:rsidRPr="00B32965" w:rsidRDefault="00B32965" w:rsidP="00B3296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Daily nursing assessments (CAM scores)</w:t>
            </w:r>
          </w:p>
        </w:tc>
      </w:tr>
      <w:tr w:rsidR="00B32965" w:rsidRPr="00B32965" w:rsidTr="00B329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32965" w:rsidRPr="00B32965" w:rsidRDefault="00B32965" w:rsidP="00B32965">
            <w:pPr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Style w:val="af"/>
                <w:rFonts w:ascii="Times New Roman" w:hAnsi="Times New Roman" w:cs="Times New Roman"/>
                <w:color w:val="auto"/>
                <w:sz w:val="20"/>
                <w:szCs w:val="20"/>
              </w:rPr>
              <w:t>Pneumonia</w:t>
            </w:r>
          </w:p>
        </w:tc>
        <w:tc>
          <w:tcPr>
            <w:tcW w:w="4541" w:type="dxa"/>
          </w:tcPr>
          <w:p w:rsidR="00B32965" w:rsidRPr="00B32965" w:rsidRDefault="00B32965" w:rsidP="00B3296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Required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both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clinical and radiological criteria: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(1)</w:t>
            </w:r>
            <w:r w:rsidRPr="00B32965">
              <w:rPr>
                <w:rStyle w:val="af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Clinical: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 least two of: new or worsening cough, purulent sputum, temperature &gt;38°C, white blood cell count &gt;10,000/</w:t>
            </w:r>
            <w:proofErr w:type="spellStart"/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μL</w:t>
            </w:r>
            <w:proofErr w:type="spellEnd"/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 &lt;4,000/</w:t>
            </w:r>
            <w:proofErr w:type="spellStart"/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μL</w:t>
            </w:r>
            <w:proofErr w:type="spellEnd"/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;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AND (2) Radiological:</w:t>
            </w:r>
            <w:r w:rsidRPr="00B32965">
              <w:rPr>
                <w:rStyle w:val="apple-converted-space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new or progressive infiltrate, consolidation, or cavitation on chest radiograph or CT scan;</w:t>
            </w:r>
            <w:r w:rsidRPr="00B32965">
              <w:rPr>
                <w:rStyle w:val="10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OR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microbiologically confirmed (positive culture from blood, pleural fluid, or bronchoalveolar lavage) with compatible clinical picture.</w:t>
            </w:r>
          </w:p>
        </w:tc>
        <w:tc>
          <w:tcPr>
            <w:tcW w:w="2347" w:type="dxa"/>
          </w:tcPr>
          <w:p w:rsidR="00B32965" w:rsidRPr="00B32965" w:rsidRDefault="00B32965" w:rsidP="00B3296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Microbiology reports (sputum cultures, blood cultures); radiology reports; antibiotic prescription records; daily vital signs; laboratory data</w:t>
            </w:r>
          </w:p>
        </w:tc>
      </w:tr>
      <w:tr w:rsidR="00B32965" w:rsidRPr="00B32965" w:rsidTr="00B3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auto"/>
          </w:tcPr>
          <w:p w:rsidR="00B32965" w:rsidRPr="00B32965" w:rsidRDefault="00B32965" w:rsidP="00B32965">
            <w:pPr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Style w:val="af"/>
                <w:rFonts w:ascii="Times New Roman" w:hAnsi="Times New Roman" w:cs="Times New Roman"/>
                <w:color w:val="auto"/>
                <w:sz w:val="20"/>
                <w:szCs w:val="20"/>
              </w:rPr>
              <w:t>Cardiac events</w:t>
            </w:r>
          </w:p>
        </w:tc>
        <w:tc>
          <w:tcPr>
            <w:tcW w:w="4541" w:type="dxa"/>
            <w:shd w:val="clear" w:color="auto" w:fill="auto"/>
          </w:tcPr>
          <w:p w:rsidR="00B32965" w:rsidRPr="00B32965" w:rsidRDefault="00B32965" w:rsidP="00B3296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Composite of: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(1) Acute myocardial infarction:</w:t>
            </w:r>
            <w:r w:rsidRPr="00B32965">
              <w:rPr>
                <w:rStyle w:val="apple-converted-space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rise/fall of cardiac troponin &gt;99th percentile URL + at least one of: ischemic symptoms, new ECG changes, imaging evidence of new wall motion abnormality, or intracoronary thrombus on angiography;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(2) New arrhythmia:</w:t>
            </w:r>
            <w:r w:rsidRPr="00B32965">
              <w:rPr>
                <w:rStyle w:val="apple-converted-space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atrial fibrillation, atrial flutter, or ventricular tachycardia requiring pharmacological intervention (e.g., antiarrhythmics, rate control) or electrical cardioversion;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(3) Acute heart failure: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new pulmonary edema on chest imaging + requiring IV diuretics or inotropic support.</w:t>
            </w:r>
          </w:p>
        </w:tc>
        <w:tc>
          <w:tcPr>
            <w:tcW w:w="2347" w:type="dxa"/>
            <w:shd w:val="clear" w:color="auto" w:fill="auto"/>
          </w:tcPr>
          <w:p w:rsidR="00B32965" w:rsidRPr="00B32965" w:rsidRDefault="00B32965" w:rsidP="00B3296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Troponin results; ECG reports; cardiology consultation notes; echocardiogram reports; medication administration records</w:t>
            </w:r>
          </w:p>
        </w:tc>
      </w:tr>
      <w:tr w:rsidR="00B32965" w:rsidRPr="00B32965" w:rsidTr="00B329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</w:tcPr>
          <w:p w:rsidR="00B32965" w:rsidRPr="00B32965" w:rsidRDefault="00B32965" w:rsidP="00B32965">
            <w:pPr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Style w:val="af"/>
                <w:rFonts w:ascii="Times New Roman" w:hAnsi="Times New Roman" w:cs="Times New Roman"/>
                <w:color w:val="auto"/>
                <w:sz w:val="20"/>
                <w:szCs w:val="20"/>
              </w:rPr>
              <w:t>Gastrointestinal bleeding</w:t>
            </w:r>
          </w:p>
        </w:tc>
        <w:tc>
          <w:tcPr>
            <w:tcW w:w="4541" w:type="dxa"/>
          </w:tcPr>
          <w:p w:rsidR="00B32965" w:rsidRPr="00B32965" w:rsidRDefault="00B32965" w:rsidP="00B3296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Overt bleeding (hematemesis, melena, hematochezia, or nasogastric aspirate containing blood)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PLUS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hemoglobin drop ≥2 g/dL from pre-bleed level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PLUS</w:t>
            </w:r>
            <w:r w:rsidRPr="00B32965">
              <w:rPr>
                <w:rStyle w:val="apple-converted-space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need for transfusion of ≥2 units packed red blood cells or endoscopic/surgical intervention.</w:t>
            </w:r>
          </w:p>
        </w:tc>
        <w:tc>
          <w:tcPr>
            <w:tcW w:w="2347" w:type="dxa"/>
          </w:tcPr>
          <w:p w:rsidR="00B32965" w:rsidRPr="00B32965" w:rsidRDefault="00B32965" w:rsidP="00B3296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Endoscopy reports; transfusion records; serial hemoglobin values; gastroenterology consultation notes; progress notes</w:t>
            </w:r>
          </w:p>
        </w:tc>
      </w:tr>
      <w:tr w:rsidR="00B32965" w:rsidRPr="00B32965" w:rsidTr="00B329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" w:type="dxa"/>
            <w:shd w:val="clear" w:color="auto" w:fill="auto"/>
          </w:tcPr>
          <w:p w:rsidR="00B32965" w:rsidRPr="00B32965" w:rsidRDefault="00B32965" w:rsidP="00B32965">
            <w:pPr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Style w:val="af"/>
                <w:rFonts w:ascii="Times New Roman" w:hAnsi="Times New Roman" w:cs="Times New Roman"/>
                <w:color w:val="auto"/>
                <w:sz w:val="20"/>
                <w:szCs w:val="20"/>
              </w:rPr>
              <w:t>Cerebrovascular events</w:t>
            </w:r>
          </w:p>
        </w:tc>
        <w:tc>
          <w:tcPr>
            <w:tcW w:w="4541" w:type="dxa"/>
            <w:shd w:val="clear" w:color="auto" w:fill="auto"/>
          </w:tcPr>
          <w:p w:rsidR="00B32965" w:rsidRPr="00B32965" w:rsidRDefault="00B32965" w:rsidP="00B3296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Ischemic stroke:</w:t>
            </w:r>
            <w:r w:rsidRPr="00B32965">
              <w:rPr>
                <w:rStyle w:val="apple-converted-space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new focal neurological deficit lasting ≥24 hours with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imaging confirmation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(CT or MRI) of acute infarction;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Intracranial</w:t>
            </w:r>
            <w:r w:rsidRPr="00B32965">
              <w:rPr>
                <w:rStyle w:val="af"/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B32965">
              <w:rPr>
                <w:rStyle w:val="af"/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hemorrhage:</w:t>
            </w:r>
            <w:r w:rsidRPr="00B32965">
              <w:rPr>
                <w:rStyle w:val="apple-converted-space"/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new focal neurological deficit with imaging evidence of intracerebral, subarachnoid, or subdural hemorrhage.</w:t>
            </w:r>
          </w:p>
        </w:tc>
        <w:tc>
          <w:tcPr>
            <w:tcW w:w="2347" w:type="dxa"/>
            <w:shd w:val="clear" w:color="auto" w:fill="auto"/>
          </w:tcPr>
          <w:p w:rsidR="00B32965" w:rsidRPr="00B32965" w:rsidRDefault="00B32965" w:rsidP="00B3296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3296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Neurology consultation notes; imaging reports (CT brain, MRI brain); discharge summaries</w:t>
            </w:r>
          </w:p>
        </w:tc>
      </w:tr>
    </w:tbl>
    <w:p w:rsidR="00267045" w:rsidRDefault="00267045"/>
    <w:p w:rsidR="00B32965" w:rsidRDefault="00B32965"/>
    <w:p w:rsidR="00B32965" w:rsidRDefault="00B32965"/>
    <w:p w:rsidR="00B32965" w:rsidRDefault="00B32965" w:rsidP="00B32965">
      <w:pPr>
        <w:rPr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P</w:t>
      </w:r>
      <w:r>
        <w:rPr>
          <w:rFonts w:ascii="Times New Roman" w:hAnsi="Times New Roman" w:cs="Times New Roman"/>
          <w:b/>
          <w:bCs/>
          <w:sz w:val="20"/>
          <w:szCs w:val="20"/>
        </w:rPr>
        <w:t>erioperative serum sodium dynamics by admission hyponatremia status</w:t>
      </w:r>
    </w:p>
    <w:tbl>
      <w:tblPr>
        <w:tblpPr w:leftFromText="180" w:rightFromText="180" w:vertAnchor="text" w:horzAnchor="page" w:tblpX="1800" w:tblpY="293"/>
        <w:tblOverlap w:val="never"/>
        <w:tblW w:w="8855" w:type="dxa"/>
        <w:tblBorders>
          <w:top w:val="none" w:sz="4" w:space="0" w:color="auto"/>
          <w:left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0"/>
        <w:gridCol w:w="2113"/>
        <w:gridCol w:w="2275"/>
        <w:gridCol w:w="2467"/>
      </w:tblGrid>
      <w:tr w:rsidR="00B32965" w:rsidTr="0060251C">
        <w:trPr>
          <w:trHeight w:val="397"/>
          <w:tblHeader/>
        </w:trPr>
        <w:tc>
          <w:tcPr>
            <w:tcW w:w="20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Time point</w:t>
            </w:r>
          </w:p>
        </w:tc>
        <w:tc>
          <w:tcPr>
            <w:tcW w:w="2113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Normonatremia</w:t>
            </w:r>
            <w:proofErr w:type="spellEnd"/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 xml:space="preserve"> (n=1658)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Mild hyponatremia (n=191)</w:t>
            </w:r>
          </w:p>
        </w:tc>
        <w:tc>
          <w:tcPr>
            <w:tcW w:w="2467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Moderate-to-severe hyponatremia (n=52)</w:t>
            </w:r>
          </w:p>
        </w:tc>
      </w:tr>
      <w:tr w:rsidR="00B32965" w:rsidTr="0060251C">
        <w:trPr>
          <w:trHeight w:val="397"/>
        </w:trPr>
        <w:tc>
          <w:tcPr>
            <w:tcW w:w="2000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Admission</w:t>
            </w:r>
          </w:p>
        </w:tc>
        <w:tc>
          <w:tcPr>
            <w:tcW w:w="2113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67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32965" w:rsidTr="0060251C">
        <w:trPr>
          <w:trHeight w:val="397"/>
        </w:trPr>
        <w:tc>
          <w:tcPr>
            <w:tcW w:w="2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Median (IQR), mmol/L</w:t>
            </w:r>
          </w:p>
        </w:tc>
        <w:tc>
          <w:tcPr>
            <w:tcW w:w="21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140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.0 (138.0-142.0)</w:t>
            </w:r>
          </w:p>
        </w:tc>
        <w:tc>
          <w:tcPr>
            <w:tcW w:w="2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13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.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 (131.2-134.0)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126.1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(121.5-128.0)</w:t>
            </w:r>
          </w:p>
        </w:tc>
      </w:tr>
      <w:tr w:rsidR="00B32965" w:rsidTr="0060251C">
        <w:trPr>
          <w:trHeight w:val="397"/>
        </w:trPr>
        <w:tc>
          <w:tcPr>
            <w:tcW w:w="2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Missing, (n, %)</w:t>
            </w:r>
          </w:p>
        </w:tc>
        <w:tc>
          <w:tcPr>
            <w:tcW w:w="21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 (0)</w:t>
            </w:r>
          </w:p>
        </w:tc>
        <w:tc>
          <w:tcPr>
            <w:tcW w:w="2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 (0)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 (0)</w:t>
            </w:r>
          </w:p>
        </w:tc>
      </w:tr>
      <w:tr w:rsidR="00B32965" w:rsidTr="0060251C">
        <w:trPr>
          <w:trHeight w:val="397"/>
        </w:trPr>
        <w:tc>
          <w:tcPr>
            <w:tcW w:w="2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Postoperative day 1</w:t>
            </w:r>
          </w:p>
        </w:tc>
        <w:tc>
          <w:tcPr>
            <w:tcW w:w="21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32965" w:rsidTr="0060251C">
        <w:trPr>
          <w:trHeight w:val="397"/>
        </w:trPr>
        <w:tc>
          <w:tcPr>
            <w:tcW w:w="2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Median (IQR), mmol/L</w:t>
            </w:r>
          </w:p>
        </w:tc>
        <w:tc>
          <w:tcPr>
            <w:tcW w:w="21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139.0 (137.0-141.3)</w:t>
            </w:r>
          </w:p>
        </w:tc>
        <w:tc>
          <w:tcPr>
            <w:tcW w:w="2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137.0 (133.2-139.0)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136.8 (133.0-139.0)</w:t>
            </w:r>
          </w:p>
        </w:tc>
      </w:tr>
      <w:tr w:rsidR="00B32965" w:rsidTr="0060251C">
        <w:trPr>
          <w:trHeight w:val="397"/>
        </w:trPr>
        <w:tc>
          <w:tcPr>
            <w:tcW w:w="2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Missing, (n, %)</w:t>
            </w:r>
          </w:p>
        </w:tc>
        <w:tc>
          <w:tcPr>
            <w:tcW w:w="21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 (0)</w:t>
            </w:r>
          </w:p>
        </w:tc>
        <w:tc>
          <w:tcPr>
            <w:tcW w:w="2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 (0)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0 (0)</w:t>
            </w:r>
          </w:p>
        </w:tc>
      </w:tr>
      <w:tr w:rsidR="00B32965" w:rsidTr="0060251C">
        <w:trPr>
          <w:trHeight w:val="397"/>
        </w:trPr>
        <w:tc>
          <w:tcPr>
            <w:tcW w:w="2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Postoperative day 3</w:t>
            </w:r>
          </w:p>
        </w:tc>
        <w:tc>
          <w:tcPr>
            <w:tcW w:w="21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32965" w:rsidTr="0060251C">
        <w:trPr>
          <w:trHeight w:val="397"/>
        </w:trPr>
        <w:tc>
          <w:tcPr>
            <w:tcW w:w="2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Median (IQR), mmol/L</w:t>
            </w:r>
          </w:p>
        </w:tc>
        <w:tc>
          <w:tcPr>
            <w:tcW w:w="21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140.0 (137.0-142.0)</w:t>
            </w:r>
          </w:p>
        </w:tc>
        <w:tc>
          <w:tcPr>
            <w:tcW w:w="2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139.0 (137.1-142.9)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139.6 (136.2-141.8)</w:t>
            </w:r>
          </w:p>
        </w:tc>
      </w:tr>
      <w:tr w:rsidR="00B32965" w:rsidTr="0060251C">
        <w:trPr>
          <w:trHeight w:val="397"/>
        </w:trPr>
        <w:tc>
          <w:tcPr>
            <w:tcW w:w="2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Missing, (n, %)</w:t>
            </w:r>
          </w:p>
        </w:tc>
        <w:tc>
          <w:tcPr>
            <w:tcW w:w="21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773 (46.7%)</w:t>
            </w:r>
          </w:p>
        </w:tc>
        <w:tc>
          <w:tcPr>
            <w:tcW w:w="2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24 (12.6%)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7 (13.5%)</w:t>
            </w:r>
          </w:p>
        </w:tc>
      </w:tr>
      <w:tr w:rsidR="00B32965" w:rsidTr="0060251C">
        <w:trPr>
          <w:trHeight w:val="397"/>
        </w:trPr>
        <w:tc>
          <w:tcPr>
            <w:tcW w:w="2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Postoperative day 5</w:t>
            </w:r>
          </w:p>
        </w:tc>
        <w:tc>
          <w:tcPr>
            <w:tcW w:w="21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B32965" w:rsidTr="0060251C">
        <w:trPr>
          <w:trHeight w:val="397"/>
        </w:trPr>
        <w:tc>
          <w:tcPr>
            <w:tcW w:w="2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Median (IQR), mmol/L</w:t>
            </w:r>
          </w:p>
        </w:tc>
        <w:tc>
          <w:tcPr>
            <w:tcW w:w="211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140.0 (137.0-142.8)</w:t>
            </w:r>
          </w:p>
        </w:tc>
        <w:tc>
          <w:tcPr>
            <w:tcW w:w="22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140.4 (137.4-144.0)</w:t>
            </w:r>
          </w:p>
        </w:tc>
        <w:tc>
          <w:tcPr>
            <w:tcW w:w="246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138.9 (134.9-141.9)</w:t>
            </w:r>
          </w:p>
        </w:tc>
      </w:tr>
      <w:tr w:rsidR="00B32965" w:rsidTr="0060251C">
        <w:trPr>
          <w:trHeight w:val="397"/>
        </w:trPr>
        <w:tc>
          <w:tcPr>
            <w:tcW w:w="2000" w:type="dxa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Missing, (n, %)</w:t>
            </w:r>
          </w:p>
        </w:tc>
        <w:tc>
          <w:tcPr>
            <w:tcW w:w="2113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966 (58.3%)</w:t>
            </w:r>
          </w:p>
        </w:tc>
        <w:tc>
          <w:tcPr>
            <w:tcW w:w="2275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B32965" w:rsidRDefault="00B32965" w:rsidP="0060251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 (16.8%)</w:t>
            </w:r>
          </w:p>
        </w:tc>
        <w:tc>
          <w:tcPr>
            <w:tcW w:w="2467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B32965" w:rsidRDefault="00B32965" w:rsidP="0060251C">
            <w:pPr>
              <w:pStyle w:val="a9"/>
              <w:widowControl/>
              <w:ind w:left="0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>9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(17.3%)</w:t>
            </w:r>
          </w:p>
        </w:tc>
      </w:tr>
    </w:tbl>
    <w:p w:rsidR="00B32965" w:rsidRDefault="00B32965" w:rsidP="00B32965">
      <w:pPr>
        <w:rPr>
          <w:rStyle w:val="af0"/>
          <w:rFonts w:ascii="Times New Roman Regular" w:hAnsi="Times New Roman Regular" w:cs="Times New Roman Regular"/>
          <w:i w:val="0"/>
          <w:color w:val="0F1115"/>
          <w:sz w:val="20"/>
          <w:szCs w:val="20"/>
        </w:rPr>
      </w:pPr>
      <w:r>
        <w:rPr>
          <w:rStyle w:val="af0"/>
          <w:rFonts w:ascii="Times New Roman Regular" w:hAnsi="Times New Roman Regular" w:cs="Times New Roman Regular"/>
          <w:i w:val="0"/>
          <w:color w:val="0F1115"/>
          <w:sz w:val="20"/>
          <w:szCs w:val="20"/>
        </w:rPr>
        <w:t xml:space="preserve">IQR = interquartile range. </w:t>
      </w:r>
    </w:p>
    <w:p w:rsidR="00B32965" w:rsidRDefault="00B32965" w:rsidP="00B32965">
      <w:pPr>
        <w:rPr>
          <w:rStyle w:val="af0"/>
          <w:rFonts w:ascii="Segoe UI" w:hAnsi="Segoe UI" w:cs="Segoe UI"/>
          <w:color w:val="0F1115"/>
          <w:sz w:val="23"/>
          <w:szCs w:val="23"/>
        </w:rPr>
      </w:pPr>
    </w:p>
    <w:p w:rsidR="00B32965" w:rsidRDefault="00B3296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B32965" w:rsidRDefault="00B3296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B3296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  <w:r>
        <w:rPr>
          <w:rFonts w:ascii="Times New Roman Regular" w:hAnsi="Times New Roman Regular" w:cs="Times New Roman Regular"/>
          <w:b/>
          <w:noProof/>
          <w:color w:val="0F1115"/>
          <w:sz w:val="20"/>
          <w:szCs w:val="20"/>
        </w:rPr>
        <w:lastRenderedPageBreak/>
        <w:drawing>
          <wp:inline distT="0" distB="0" distL="0" distR="0">
            <wp:extent cx="5274310" cy="2386330"/>
            <wp:effectExtent l="0" t="0" r="0" b="1270"/>
            <wp:docPr id="17011526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152633" name="图片 170115263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965" w:rsidRDefault="00B3296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Pr="003B1D56" w:rsidRDefault="00AA4605" w:rsidP="00AA4605">
      <w:pPr>
        <w:rPr>
          <w:rFonts w:ascii="Times New Roman" w:hAnsi="Times New Roman" w:cs="Times New Roman"/>
          <w:sz w:val="20"/>
          <w:szCs w:val="20"/>
        </w:rPr>
      </w:pPr>
      <w:r w:rsidRPr="0086180A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Pr="003B1D56">
        <w:rPr>
          <w:rFonts w:ascii="Times New Roman" w:hAnsi="Times New Roman" w:cs="Times New Roman"/>
          <w:sz w:val="20"/>
          <w:szCs w:val="20"/>
        </w:rPr>
        <w:t xml:space="preserve">1 Perioperative serum sodium dynamics </w:t>
      </w:r>
    </w:p>
    <w:p w:rsidR="00B32965" w:rsidRDefault="00B3296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B32965" w:rsidRDefault="00B3296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B32965" w:rsidRDefault="00B3296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B32965" w:rsidRDefault="00B3296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B32965" w:rsidRDefault="00B3296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AA4605" w:rsidRDefault="00AA4605" w:rsidP="00B32965">
      <w:pP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</w:pPr>
    </w:p>
    <w:p w:rsidR="00B32965" w:rsidRPr="00B32965" w:rsidRDefault="00B32965" w:rsidP="00B32965">
      <w:pPr>
        <w:jc w:val="left"/>
        <w:rPr>
          <w:rFonts w:ascii="Times New Roman Regular" w:hAnsi="Times New Roman Regular" w:cs="Times New Roman Regular"/>
          <w:bCs/>
          <w:sz w:val="20"/>
          <w:szCs w:val="20"/>
        </w:rPr>
      </w:pPr>
      <w:r w:rsidRPr="00B32965"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  <w:lastRenderedPageBreak/>
        <w:t>Supplementary Table S4 Subgroup analysis for the association between preoperative</w:t>
      </w:r>
      <w:r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  <w:t xml:space="preserve"> </w:t>
      </w:r>
      <w:r w:rsidRPr="00B32965"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0"/>
        </w:rPr>
        <w:t>hyponatremia and 30-day mortality</w:t>
      </w:r>
    </w:p>
    <w:tbl>
      <w:tblPr>
        <w:tblStyle w:val="ae"/>
        <w:tblpPr w:leftFromText="180" w:rightFromText="180" w:vertAnchor="page" w:horzAnchor="margin" w:tblpY="2253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0"/>
        <w:gridCol w:w="1759"/>
        <w:gridCol w:w="1516"/>
        <w:gridCol w:w="2129"/>
        <w:gridCol w:w="1726"/>
      </w:tblGrid>
      <w:tr w:rsidR="00B32965" w:rsidTr="00B32965">
        <w:trPr>
          <w:trHeight w:val="454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B32965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Subgroup</w:t>
            </w:r>
          </w:p>
        </w:tc>
        <w:tc>
          <w:tcPr>
            <w:tcW w:w="1759" w:type="dxa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B32965">
            <w:pPr>
              <w:rPr>
                <w:rFonts w:ascii="Times New Roman Bold" w:hAnsi="Times New Roman Bold" w:cs="Times New Roman Bold"/>
                <w:b/>
                <w:bCs/>
              </w:rPr>
            </w:pPr>
            <w:proofErr w:type="spellStart"/>
            <w:r>
              <w:rPr>
                <w:rFonts w:ascii="Times New Roman Bold" w:hAnsi="Times New Roman Bold" w:cs="Times New Roman Bold"/>
                <w:b/>
                <w:bCs/>
                <w:color w:val="0F1115"/>
                <w:shd w:val="clear" w:color="auto" w:fill="FFFFFF"/>
              </w:rPr>
              <w:t>Normonatremia</w:t>
            </w:r>
            <w:proofErr w:type="spellEnd"/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B32965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202124"/>
                <w:shd w:val="clear" w:color="auto" w:fill="FFFFFF"/>
              </w:rPr>
              <w:t>Hyponatremia</w:t>
            </w: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B32965">
            <w:pPr>
              <w:rPr>
                <w:rFonts w:ascii="Times New Roman Bold" w:hAnsi="Times New Roman Bold" w:cs="Times New Roman Bold"/>
                <w:b/>
                <w:bCs/>
              </w:rPr>
            </w:pPr>
            <w:proofErr w:type="spellStart"/>
            <w:r>
              <w:rPr>
                <w:rFonts w:ascii="Times New Roman Bold" w:hAnsi="Times New Roman Bold" w:cs="Times New Roman Bold"/>
                <w:b/>
                <w:bCs/>
              </w:rPr>
              <w:t>Ajusted</w:t>
            </w:r>
            <w:proofErr w:type="spellEnd"/>
            <w:r>
              <w:rPr>
                <w:rFonts w:ascii="Times New Roman Bold" w:hAnsi="Times New Roman Bold" w:cs="Times New Roman Bold"/>
                <w:b/>
                <w:bCs/>
              </w:rPr>
              <w:t xml:space="preserve"> HR (95%CI)            </w:t>
            </w:r>
          </w:p>
        </w:tc>
        <w:tc>
          <w:tcPr>
            <w:tcW w:w="1726" w:type="dxa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B32965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P for Interaction</w:t>
            </w:r>
          </w:p>
        </w:tc>
      </w:tr>
      <w:tr w:rsidR="00B32965" w:rsidTr="00B32965">
        <w:trPr>
          <w:trHeight w:val="454"/>
        </w:trPr>
        <w:tc>
          <w:tcPr>
            <w:tcW w:w="1870" w:type="dxa"/>
            <w:tcBorders>
              <w:top w:val="single" w:sz="4" w:space="0" w:color="auto"/>
            </w:tcBorders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Age</w:t>
            </w:r>
          </w:p>
        </w:tc>
        <w:tc>
          <w:tcPr>
            <w:tcW w:w="1759" w:type="dxa"/>
            <w:tcBorders>
              <w:top w:val="single" w:sz="4" w:space="0" w:color="auto"/>
            </w:tcBorders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  <w:tcBorders>
              <w:top w:val="single" w:sz="4" w:space="0" w:color="auto"/>
            </w:tcBorders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  <w:tcBorders>
              <w:top w:val="single" w:sz="4" w:space="0" w:color="auto"/>
            </w:tcBorders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</w:t>
            </w:r>
          </w:p>
        </w:tc>
        <w:tc>
          <w:tcPr>
            <w:tcW w:w="1726" w:type="dxa"/>
            <w:tcBorders>
              <w:top w:val="single" w:sz="4" w:space="0" w:color="auto"/>
            </w:tcBorders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0.464</w:t>
            </w: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&lt; 80 years 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10/682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3/76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≥ 80 years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55/976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14/167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1.05 (0.56-1.99)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Sex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0.919</w:t>
            </w: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Male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22/521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5/86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Female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43/1137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12/157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1.48 (0.74-2.97)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Fracture type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 </w:t>
            </w:r>
          </w:p>
        </w:tc>
        <w:tc>
          <w:tcPr>
            <w:tcW w:w="1726" w:type="dxa"/>
          </w:tcPr>
          <w:p w:rsidR="00B32965" w:rsidRDefault="00B32965" w:rsidP="00B32965">
            <w:pPr>
              <w:widowControl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lang w:bidi="ar"/>
              </w:rPr>
              <w:t>0.682</w:t>
            </w: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Femoral neck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21/724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5/89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Trochanteric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44/934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12/154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1.29 (0.64-2.63)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 xml:space="preserve">PNI 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0.047</w:t>
            </w: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&lt; 45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53/1060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11/177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1.24 (0.27-5.64)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ind w:firstLineChars="200" w:firstLine="4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≥ 45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12/598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6/60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BMI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0.874</w:t>
            </w: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&lt; 18.5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17/170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3/28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ind w:firstLineChars="200" w:firstLine="4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≥ 18.5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48/1488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14/215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1.32(0.68-2.57)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Bold" w:hAnsi="Times New Roman Bold" w:cs="Times New Roman Bold"/>
                <w:b/>
                <w:bCs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Surgical procedure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  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0.692</w:t>
            </w: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Internal fixation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52/1150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14/178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1.24 (0.65-2.37)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Arthroplasty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13/508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3/65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ASA grade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 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0.516</w:t>
            </w:r>
          </w:p>
        </w:tc>
      </w:tr>
      <w:tr w:rsidR="00B32965" w:rsidTr="00B32965">
        <w:trPr>
          <w:trHeight w:val="454"/>
        </w:trPr>
        <w:tc>
          <w:tcPr>
            <w:tcW w:w="1870" w:type="dxa"/>
          </w:tcPr>
          <w:p w:rsidR="00B32965" w:rsidRDefault="00B32965" w:rsidP="00B32965">
            <w:pPr>
              <w:spacing w:line="480" w:lineRule="auto"/>
              <w:ind w:firstLineChars="100" w:firstLine="200"/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</w:rPr>
              <w:t>Ⅰ–Ⅱ</w:t>
            </w:r>
          </w:p>
        </w:tc>
        <w:tc>
          <w:tcPr>
            <w:tcW w:w="175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18/798</w:t>
            </w:r>
          </w:p>
        </w:tc>
        <w:tc>
          <w:tcPr>
            <w:tcW w:w="151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4/115</w:t>
            </w:r>
          </w:p>
        </w:tc>
        <w:tc>
          <w:tcPr>
            <w:tcW w:w="2129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26" w:type="dxa"/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B32965">
        <w:trPr>
          <w:trHeight w:val="454"/>
        </w:trPr>
        <w:tc>
          <w:tcPr>
            <w:tcW w:w="1870" w:type="dxa"/>
            <w:tcBorders>
              <w:bottom w:val="single" w:sz="4" w:space="0" w:color="auto"/>
            </w:tcBorders>
          </w:tcPr>
          <w:p w:rsidR="00B32965" w:rsidRDefault="00B32965" w:rsidP="00B32965">
            <w:pPr>
              <w:spacing w:line="480" w:lineRule="auto"/>
              <w:ind w:firstLineChars="100" w:firstLine="200"/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eastAsia="微软雅黑" w:hAnsi="Times New Roman Regular" w:cs="Times New Roman Regular"/>
                <w:color w:val="333333"/>
                <w:shd w:val="clear" w:color="auto" w:fill="FFFFFF"/>
              </w:rPr>
              <w:t>Ⅲ</w:t>
            </w:r>
            <w:r>
              <w:rPr>
                <w:rFonts w:ascii="Times New Roman Regular" w:hAnsi="Times New Roman Regular" w:cs="Times New Roman Regular"/>
              </w:rPr>
              <w:t>–</w:t>
            </w:r>
            <w:r>
              <w:rPr>
                <w:rFonts w:ascii="Times New Roman Regular" w:eastAsia="微软雅黑" w:hAnsi="Times New Roman Regular" w:cs="Times New Roman Regular"/>
                <w:color w:val="333333"/>
                <w:shd w:val="clear" w:color="auto" w:fill="FFFFFF"/>
              </w:rPr>
              <w:t>Ⅳ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47/860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13/128</w:t>
            </w:r>
          </w:p>
        </w:tc>
        <w:tc>
          <w:tcPr>
            <w:tcW w:w="2129" w:type="dxa"/>
            <w:tcBorders>
              <w:bottom w:val="single" w:sz="4" w:space="0" w:color="auto"/>
            </w:tcBorders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1.54 (0.78-3.05)</w:t>
            </w:r>
          </w:p>
        </w:tc>
        <w:tc>
          <w:tcPr>
            <w:tcW w:w="1726" w:type="dxa"/>
            <w:tcBorders>
              <w:bottom w:val="single" w:sz="4" w:space="0" w:color="auto"/>
            </w:tcBorders>
          </w:tcPr>
          <w:p w:rsidR="00B32965" w:rsidRDefault="00B32965" w:rsidP="00B32965">
            <w:pPr>
              <w:rPr>
                <w:rFonts w:ascii="Times New Roman Regular" w:hAnsi="Times New Roman Regular" w:cs="Times New Roman Regular"/>
              </w:rPr>
            </w:pPr>
          </w:p>
        </w:tc>
      </w:tr>
    </w:tbl>
    <w:p w:rsidR="00B32965" w:rsidRDefault="00B32965" w:rsidP="00B32965">
      <w:pPr>
        <w:rPr>
          <w:rFonts w:ascii="Times New Roman" w:hAnsi="Times New Roman" w:cs="Times New Roman"/>
          <w:b/>
          <w:bCs/>
        </w:rPr>
      </w:pPr>
    </w:p>
    <w:p w:rsidR="00B32965" w:rsidRPr="00B32965" w:rsidRDefault="00B32965" w:rsidP="00B32965">
      <w:pPr>
        <w:rPr>
          <w:rStyle w:val="af0"/>
          <w:rFonts w:ascii="Times New Roman Regular" w:hAnsi="Times New Roman Regular" w:cs="Times New Roman Regular"/>
          <w:i w:val="0"/>
          <w:iCs w:val="0"/>
          <w:color w:val="0F1115"/>
          <w:sz w:val="20"/>
          <w:szCs w:val="20"/>
          <w:shd w:val="clear" w:color="auto" w:fill="FFFFFF"/>
        </w:rPr>
      </w:pPr>
      <w:r>
        <w:rPr>
          <w:rFonts w:ascii="Times New Roman Regular" w:hAnsi="Times New Roman Regular" w:cs="Times New Roman Regular"/>
          <w:color w:val="0F1115"/>
          <w:sz w:val="20"/>
          <w:szCs w:val="20"/>
          <w:shd w:val="clear" w:color="auto" w:fill="FFFFFF"/>
        </w:rPr>
        <w:t>For subgroup analyses, if the number of events in any stratum was &lt;10, multivariable adjustment was not performed; only descriptive data are presented. In strata with ≥10 events, fully adjusted Cox models (including postoperative hyponatremia and complications) were applied.</w:t>
      </w:r>
    </w:p>
    <w:p w:rsidR="00B32965" w:rsidRPr="005F48D8" w:rsidRDefault="00B32965" w:rsidP="00B32965">
      <w:pPr>
        <w:rPr>
          <w:rFonts w:ascii="Times New Roman Regular" w:hAnsi="Times New Roman Regular" w:cs="Times New Roman Regular"/>
          <w:iCs/>
          <w:color w:val="0F1115"/>
          <w:sz w:val="20"/>
          <w:szCs w:val="20"/>
        </w:rPr>
      </w:pPr>
      <w:r>
        <w:rPr>
          <w:rStyle w:val="af0"/>
          <w:rFonts w:ascii="Times New Roman Regular" w:hAnsi="Times New Roman Regular" w:cs="Times New Roman Regular"/>
          <w:i w:val="0"/>
          <w:color w:val="0F1115"/>
          <w:sz w:val="20"/>
          <w:szCs w:val="20"/>
        </w:rPr>
        <w:t>Adjusted for age, sex, fracture type, ASA grade, CCI, PNI, BMI, preoperative anemia, comorbidities, surgical procedure type, intraoperative blood loss, postoperative hyponatremia, and postoperative complications.</w:t>
      </w:r>
      <w:r w:rsidR="005F48D8">
        <w:rPr>
          <w:rStyle w:val="af0"/>
          <w:rFonts w:ascii="Times New Roman Regular" w:hAnsi="Times New Roman Regular" w:cs="Times New Roman Regular"/>
          <w:i w:val="0"/>
          <w:color w:val="0F1115"/>
          <w:sz w:val="20"/>
          <w:szCs w:val="20"/>
        </w:rPr>
        <w:t xml:space="preserve"> </w:t>
      </w:r>
      <w:r>
        <w:rPr>
          <w:rStyle w:val="af0"/>
          <w:rFonts w:ascii="Times New Roman Regular" w:hAnsi="Times New Roman Regular" w:cs="Times New Roman Regular"/>
          <w:i w:val="0"/>
          <w:color w:val="0F1115"/>
          <w:sz w:val="20"/>
          <w:szCs w:val="20"/>
        </w:rPr>
        <w:t>Multivariable analysis not performed due to limited events (&lt;10) in the hyponatremia group. Descriptive data are available</w:t>
      </w:r>
      <w:r w:rsidR="005F48D8">
        <w:rPr>
          <w:rStyle w:val="af0"/>
          <w:rFonts w:ascii="Times New Roman Regular" w:hAnsi="Times New Roman Regular" w:cs="Times New Roman Regular"/>
          <w:i w:val="0"/>
          <w:color w:val="0F1115"/>
          <w:sz w:val="20"/>
          <w:szCs w:val="20"/>
        </w:rPr>
        <w:t>.</w:t>
      </w:r>
    </w:p>
    <w:p w:rsidR="005F48D8" w:rsidRDefault="005F48D8" w:rsidP="00B32965">
      <w:pPr>
        <w:spacing w:afterLines="100" w:after="312"/>
        <w:jc w:val="left"/>
        <w:rPr>
          <w:rStyle w:val="af0"/>
          <w:rFonts w:ascii="Times New Roman Regular" w:eastAsia="宋体" w:hAnsi="Times New Roman Regular" w:cs="Times New Roman Regular"/>
          <w:b/>
          <w:bCs/>
          <w:i w:val="0"/>
          <w:color w:val="0F1115"/>
          <w:sz w:val="20"/>
          <w:szCs w:val="20"/>
        </w:rPr>
      </w:pPr>
    </w:p>
    <w:p w:rsidR="00B32965" w:rsidRPr="00B32965" w:rsidRDefault="00B32965" w:rsidP="00B32965">
      <w:pPr>
        <w:spacing w:afterLines="100" w:after="312"/>
        <w:jc w:val="left"/>
        <w:rPr>
          <w:rStyle w:val="af0"/>
          <w:rFonts w:ascii="Times New Roman Regular" w:eastAsia="宋体" w:hAnsi="Times New Roman Regular" w:cs="Times New Roman Regular"/>
          <w:b/>
          <w:bCs/>
          <w:i w:val="0"/>
          <w:color w:val="0F1115"/>
          <w:sz w:val="20"/>
          <w:szCs w:val="20"/>
        </w:rPr>
      </w:pPr>
      <w:r w:rsidRPr="00B32965">
        <w:rPr>
          <w:rStyle w:val="af0"/>
          <w:rFonts w:ascii="Times New Roman Regular" w:eastAsia="宋体" w:hAnsi="Times New Roman Regular" w:cs="Times New Roman Regular"/>
          <w:b/>
          <w:bCs/>
          <w:i w:val="0"/>
          <w:color w:val="0F1115"/>
          <w:sz w:val="20"/>
          <w:szCs w:val="20"/>
        </w:rPr>
        <w:lastRenderedPageBreak/>
        <w:t xml:space="preserve">Supplementary Table S5 Subgroup analysis for the association between preoperative hyponatremia and </w:t>
      </w:r>
      <w:r w:rsidRPr="00B32965">
        <w:rPr>
          <w:rStyle w:val="af0"/>
          <w:rFonts w:ascii="Times New Roman Regular" w:eastAsia="宋体" w:hAnsi="Times New Roman Regular" w:cs="Times New Roman Regular" w:hint="eastAsia"/>
          <w:b/>
          <w:bCs/>
          <w:i w:val="0"/>
          <w:color w:val="0F1115"/>
          <w:sz w:val="20"/>
          <w:szCs w:val="20"/>
        </w:rPr>
        <w:t>1</w:t>
      </w:r>
      <w:r w:rsidRPr="00B32965">
        <w:rPr>
          <w:rStyle w:val="af0"/>
          <w:rFonts w:ascii="Times New Roman Regular" w:eastAsia="宋体" w:hAnsi="Times New Roman Regular" w:cs="Times New Roman Regular"/>
          <w:b/>
          <w:bCs/>
          <w:i w:val="0"/>
          <w:color w:val="0F1115"/>
          <w:sz w:val="20"/>
          <w:szCs w:val="20"/>
        </w:rPr>
        <w:t>-</w:t>
      </w:r>
      <w:r w:rsidRPr="00B32965">
        <w:rPr>
          <w:rStyle w:val="af0"/>
          <w:rFonts w:ascii="Times New Roman Regular" w:eastAsia="宋体" w:hAnsi="Times New Roman Regular" w:cs="Times New Roman Regular" w:hint="eastAsia"/>
          <w:b/>
          <w:bCs/>
          <w:i w:val="0"/>
          <w:color w:val="0F1115"/>
          <w:sz w:val="20"/>
          <w:szCs w:val="20"/>
        </w:rPr>
        <w:t>year</w:t>
      </w:r>
      <w:r w:rsidRPr="00B32965">
        <w:rPr>
          <w:rStyle w:val="af0"/>
          <w:rFonts w:ascii="Times New Roman Regular" w:eastAsia="宋体" w:hAnsi="Times New Roman Regular" w:cs="Times New Roman Regular"/>
          <w:b/>
          <w:bCs/>
          <w:i w:val="0"/>
          <w:color w:val="0F1115"/>
          <w:sz w:val="20"/>
          <w:szCs w:val="20"/>
        </w:rPr>
        <w:t xml:space="preserve"> mortality</w:t>
      </w:r>
    </w:p>
    <w:tbl>
      <w:tblPr>
        <w:tblStyle w:val="ae"/>
        <w:tblW w:w="915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2"/>
        <w:gridCol w:w="1677"/>
        <w:gridCol w:w="1533"/>
        <w:gridCol w:w="2145"/>
        <w:gridCol w:w="1742"/>
      </w:tblGrid>
      <w:tr w:rsidR="00B32965" w:rsidTr="0060251C">
        <w:trPr>
          <w:trHeight w:val="454"/>
        </w:trPr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Subgroup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</w:rPr>
            </w:pPr>
            <w:proofErr w:type="spellStart"/>
            <w:r>
              <w:rPr>
                <w:rFonts w:ascii="Times New Roman Regular" w:hAnsi="Times New Roman Regular" w:cs="Times New Roman Regular"/>
                <w:b/>
                <w:bCs/>
                <w:color w:val="0F1115"/>
                <w:shd w:val="clear" w:color="auto" w:fill="FFFFFF"/>
              </w:rPr>
              <w:t>Normonatremia</w:t>
            </w:r>
            <w:proofErr w:type="spellEnd"/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202124"/>
                <w:shd w:val="clear" w:color="auto" w:fill="FFFFFF"/>
              </w:rPr>
              <w:t>Hyponatremia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2965" w:rsidRDefault="00B32965" w:rsidP="0060251C">
            <w:pPr>
              <w:jc w:val="left"/>
              <w:rPr>
                <w:rFonts w:ascii="Times New Roman Regular" w:hAnsi="Times New Roman Regular" w:cs="Times New Roman Regular"/>
                <w:b/>
                <w:bCs/>
              </w:rPr>
            </w:pPr>
            <w:proofErr w:type="spellStart"/>
            <w:r>
              <w:rPr>
                <w:rFonts w:ascii="Times New Roman Regular" w:hAnsi="Times New Roman Regular" w:cs="Times New Roman Regular"/>
                <w:b/>
                <w:bCs/>
              </w:rPr>
              <w:t>Ajusted</w:t>
            </w:r>
            <w:proofErr w:type="spellEnd"/>
            <w:r>
              <w:rPr>
                <w:rFonts w:ascii="Times New Roman Regular" w:hAnsi="Times New Roman Regular" w:cs="Times New Roman Regular"/>
                <w:b/>
                <w:bCs/>
              </w:rPr>
              <w:t xml:space="preserve"> HR (95%CI)             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P for Interaction</w:t>
            </w:r>
          </w:p>
        </w:tc>
      </w:tr>
      <w:tr w:rsidR="00B32965" w:rsidTr="0060251C">
        <w:trPr>
          <w:trHeight w:val="454"/>
        </w:trPr>
        <w:tc>
          <w:tcPr>
            <w:tcW w:w="2062" w:type="dxa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Age</w:t>
            </w:r>
          </w:p>
        </w:tc>
        <w:tc>
          <w:tcPr>
            <w:tcW w:w="1677" w:type="dxa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45" w:type="dxa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</w:t>
            </w:r>
          </w:p>
        </w:tc>
        <w:tc>
          <w:tcPr>
            <w:tcW w:w="1742" w:type="dxa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0.264</w:t>
            </w: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&lt; 80 years 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56/682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13/76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2.00 (1.03-3.89)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≥ 80 years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169/976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41/167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1.03 (0.71-1.50)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Sex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0.560</w:t>
            </w: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Male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84/521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24/86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1.41 (0.84-2.39)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ind w:firstLineChars="100" w:firstLine="2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Female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141/1137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30/157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1.07 (0.70-1.64)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Fracture type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 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0.941</w:t>
            </w: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Femoral neck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83/724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17/89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0.98 (0.54-1.77)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Trochanteric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142/934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37/154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1.28 (0.87-1.90)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 xml:space="preserve">PNI 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0.456</w:t>
            </w: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&lt; 45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185/1060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45/177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1.12 (0.77-1.63)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ind w:firstLineChars="200" w:firstLine="4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≥ 45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40/598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9/60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BMI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0.634</w:t>
            </w: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&lt; 18.5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41/170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6/28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Not performed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ind w:firstLineChars="200" w:firstLine="400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≥ 18.5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184/1488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48/215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1.28 (0.90-1.81)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Surgical procedure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 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0.417</w:t>
            </w: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Internal fixation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171/1150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40/178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1.12 (0.77-1.63)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Arthroplasty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54/508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14/65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1.53 (0.78-3.01)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ASA grade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 xml:space="preserve">                         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0.120</w:t>
            </w:r>
          </w:p>
        </w:tc>
      </w:tr>
      <w:tr w:rsidR="00B32965" w:rsidTr="0060251C">
        <w:trPr>
          <w:trHeight w:val="454"/>
        </w:trPr>
        <w:tc>
          <w:tcPr>
            <w:tcW w:w="2062" w:type="dxa"/>
          </w:tcPr>
          <w:p w:rsidR="00B32965" w:rsidRDefault="00B32965" w:rsidP="0060251C">
            <w:pPr>
              <w:spacing w:line="480" w:lineRule="auto"/>
              <w:ind w:firstLineChars="100" w:firstLine="200"/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eastAsia="微软雅黑" w:hAnsi="Times New Roman Regular" w:cs="Times New Roman Regular"/>
                <w:color w:val="333333"/>
                <w:shd w:val="clear" w:color="auto" w:fill="FFFFFF"/>
              </w:rPr>
              <w:t>Ⅰ</w:t>
            </w:r>
            <w:r>
              <w:rPr>
                <w:rFonts w:ascii="Times New Roman Regular" w:hAnsi="Times New Roman Regular" w:cs="Times New Roman Regular"/>
              </w:rPr>
              <w:t>–</w:t>
            </w:r>
            <w:r>
              <w:rPr>
                <w:rFonts w:ascii="Times New Roman Regular" w:eastAsia="微软雅黑" w:hAnsi="Times New Roman Regular" w:cs="Times New Roman Regular"/>
                <w:color w:val="333333"/>
                <w:shd w:val="clear" w:color="auto" w:fill="FFFFFF"/>
              </w:rPr>
              <w:t>Ⅱ</w:t>
            </w:r>
          </w:p>
        </w:tc>
        <w:tc>
          <w:tcPr>
            <w:tcW w:w="1677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74/798</w:t>
            </w:r>
          </w:p>
        </w:tc>
        <w:tc>
          <w:tcPr>
            <w:tcW w:w="1533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17/115</w:t>
            </w:r>
          </w:p>
        </w:tc>
        <w:tc>
          <w:tcPr>
            <w:tcW w:w="2145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1.10 (0.61-2.01)</w:t>
            </w:r>
          </w:p>
        </w:tc>
        <w:tc>
          <w:tcPr>
            <w:tcW w:w="1742" w:type="dxa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  <w:tr w:rsidR="00B32965" w:rsidTr="0060251C">
        <w:trPr>
          <w:trHeight w:val="454"/>
        </w:trPr>
        <w:tc>
          <w:tcPr>
            <w:tcW w:w="2062" w:type="dxa"/>
            <w:tcBorders>
              <w:bottom w:val="single" w:sz="4" w:space="0" w:color="auto"/>
            </w:tcBorders>
          </w:tcPr>
          <w:p w:rsidR="00B32965" w:rsidRDefault="00B32965" w:rsidP="0060251C">
            <w:pPr>
              <w:spacing w:line="480" w:lineRule="auto"/>
              <w:ind w:firstLineChars="100" w:firstLine="200"/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eastAsia="微软雅黑" w:hAnsi="Times New Roman Regular" w:cs="Times New Roman Regular"/>
                <w:color w:val="333333"/>
                <w:shd w:val="clear" w:color="auto" w:fill="FFFFFF"/>
              </w:rPr>
              <w:t>Ⅲ</w:t>
            </w:r>
            <w:r>
              <w:rPr>
                <w:rFonts w:ascii="Times New Roman Regular" w:hAnsi="Times New Roman Regular" w:cs="Times New Roman Regular"/>
              </w:rPr>
              <w:t>–</w:t>
            </w:r>
            <w:r>
              <w:rPr>
                <w:rFonts w:ascii="Times New Roman Regular" w:eastAsia="微软雅黑" w:hAnsi="Times New Roman Regular" w:cs="Times New Roman Regular"/>
                <w:color w:val="333333"/>
                <w:shd w:val="clear" w:color="auto" w:fill="FFFFFF"/>
              </w:rPr>
              <w:t>Ⅳ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151/860</w:t>
            </w:r>
          </w:p>
        </w:tc>
        <w:tc>
          <w:tcPr>
            <w:tcW w:w="1533" w:type="dxa"/>
            <w:tcBorders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37/128</w:t>
            </w:r>
          </w:p>
        </w:tc>
        <w:tc>
          <w:tcPr>
            <w:tcW w:w="2145" w:type="dxa"/>
            <w:tcBorders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1.30 (0.87-1.93)</w:t>
            </w:r>
          </w:p>
        </w:tc>
        <w:tc>
          <w:tcPr>
            <w:tcW w:w="1742" w:type="dxa"/>
            <w:tcBorders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</w:tr>
    </w:tbl>
    <w:p w:rsidR="00B32965" w:rsidRDefault="00B32965" w:rsidP="00B32965"/>
    <w:p w:rsidR="005F48D8" w:rsidRPr="00B32965" w:rsidRDefault="00B32965" w:rsidP="005F48D8">
      <w:pPr>
        <w:rPr>
          <w:rFonts w:ascii="Times New Roman Regular" w:hAnsi="Times New Roman Regular" w:cs="Times New Roman Regular"/>
          <w:sz w:val="20"/>
          <w:szCs w:val="20"/>
        </w:rPr>
      </w:pPr>
      <w:r>
        <w:rPr>
          <w:rStyle w:val="af0"/>
          <w:rFonts w:ascii="Times New Roman" w:hAnsi="Times New Roman" w:cs="Times New Roman"/>
          <w:i w:val="0"/>
          <w:iCs w:val="0"/>
          <w:color w:val="0F1115"/>
          <w:sz w:val="20"/>
          <w:szCs w:val="22"/>
        </w:rPr>
        <w:t>For subgroup analyses, if the number of events in the hyponatremia group was &lt;10, multivariable adjustment was not performed; only descriptive data are presented. In strata with ≥10 events, fully adjusted Cox models were applied, including age, sex, fracture type, ASA grade, CCI, PNI, BMI, preoperative anemia, comorbidities, surgical procedure type, intraoperative blood loss,</w:t>
      </w:r>
      <w:r>
        <w:rPr>
          <w:rStyle w:val="af0"/>
          <w:rFonts w:ascii="Times New Roman" w:hAnsi="Times New Roman" w:cs="Times New Roman"/>
          <w:i w:val="0"/>
          <w:iCs w:val="0"/>
          <w:sz w:val="20"/>
          <w:szCs w:val="22"/>
        </w:rPr>
        <w:t> postoperative hyponatremia</w:t>
      </w:r>
      <w:r>
        <w:rPr>
          <w:rStyle w:val="af0"/>
          <w:rFonts w:ascii="Times New Roman" w:hAnsi="Times New Roman" w:cs="Times New Roman"/>
          <w:i w:val="0"/>
          <w:iCs w:val="0"/>
          <w:color w:val="0F1115"/>
          <w:sz w:val="20"/>
          <w:szCs w:val="22"/>
        </w:rPr>
        <w:t>, and</w:t>
      </w:r>
      <w:r>
        <w:rPr>
          <w:rStyle w:val="af0"/>
          <w:rFonts w:ascii="Times New Roman" w:hAnsi="Times New Roman" w:cs="Times New Roman"/>
          <w:i w:val="0"/>
          <w:iCs w:val="0"/>
          <w:sz w:val="20"/>
          <w:szCs w:val="22"/>
        </w:rPr>
        <w:t> postoperative complications</w:t>
      </w:r>
      <w:r>
        <w:rPr>
          <w:rStyle w:val="af0"/>
          <w:rFonts w:ascii="Times New Roman" w:hAnsi="Times New Roman" w:cs="Times New Roman"/>
          <w:i w:val="0"/>
          <w:iCs w:val="0"/>
          <w:color w:val="0F1115"/>
          <w:sz w:val="20"/>
          <w:szCs w:val="22"/>
        </w:rPr>
        <w:t>.</w:t>
      </w:r>
      <w:r w:rsidR="005F48D8" w:rsidRPr="005F48D8">
        <w:rPr>
          <w:rStyle w:val="af0"/>
          <w:rFonts w:ascii="Times New Roman Regular" w:hAnsi="Times New Roman Regular" w:cs="Times New Roman Regular"/>
          <w:i w:val="0"/>
          <w:color w:val="0F1115"/>
          <w:sz w:val="20"/>
          <w:szCs w:val="20"/>
        </w:rPr>
        <w:t xml:space="preserve"> </w:t>
      </w:r>
      <w:r w:rsidR="005F48D8">
        <w:rPr>
          <w:rStyle w:val="af0"/>
          <w:rFonts w:ascii="Times New Roman Regular" w:hAnsi="Times New Roman Regular" w:cs="Times New Roman Regular"/>
          <w:i w:val="0"/>
          <w:color w:val="0F1115"/>
          <w:sz w:val="20"/>
          <w:szCs w:val="20"/>
        </w:rPr>
        <w:t>Multivariable analysis not performed due to limited events (&lt;10) in the hyponatremia group. Descriptive data are available.</w:t>
      </w:r>
    </w:p>
    <w:p w:rsidR="00B32965" w:rsidRDefault="00B32965" w:rsidP="00B32965">
      <w:pPr>
        <w:rPr>
          <w:rStyle w:val="af"/>
          <w:rFonts w:ascii="Segoe UI" w:hAnsi="Segoe UI" w:cs="Segoe UI"/>
          <w:color w:val="0F1115"/>
        </w:rPr>
      </w:pPr>
    </w:p>
    <w:p w:rsidR="00B32965" w:rsidRPr="00B32965" w:rsidRDefault="00B32965" w:rsidP="00B32965">
      <w:pPr>
        <w:spacing w:afterLines="100" w:after="312"/>
        <w:jc w:val="left"/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2"/>
        </w:rPr>
      </w:pPr>
      <w:r w:rsidRPr="00B32965">
        <w:rPr>
          <w:rStyle w:val="af"/>
          <w:rFonts w:ascii="Times New Roman Regular" w:hAnsi="Times New Roman Regular" w:cs="Times New Roman Regular"/>
          <w:bCs w:val="0"/>
          <w:color w:val="0F1115"/>
          <w:sz w:val="20"/>
          <w:szCs w:val="22"/>
        </w:rPr>
        <w:lastRenderedPageBreak/>
        <w:t>Supplementary Table 6 Distribution of patients, hyponatremia severity, and outcomes by 10-year age increments</w:t>
      </w:r>
    </w:p>
    <w:tbl>
      <w:tblPr>
        <w:tblStyle w:val="ae"/>
        <w:tblpPr w:leftFromText="180" w:rightFromText="180" w:vertAnchor="text" w:horzAnchor="page" w:tblpX="1796" w:tblpY="129"/>
        <w:tblOverlap w:val="never"/>
        <w:tblW w:w="557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613"/>
        <w:gridCol w:w="1148"/>
        <w:gridCol w:w="2123"/>
        <w:gridCol w:w="1651"/>
        <w:gridCol w:w="1590"/>
      </w:tblGrid>
      <w:tr w:rsidR="00B32965" w:rsidTr="0060251C">
        <w:trPr>
          <w:trHeight w:val="454"/>
        </w:trPr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Age group</w:t>
            </w:r>
          </w:p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(years)</w:t>
            </w:r>
          </w:p>
        </w:tc>
        <w:tc>
          <w:tcPr>
            <w:tcW w:w="871" w:type="pct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Sodium status</w:t>
            </w:r>
          </w:p>
        </w:tc>
        <w:tc>
          <w:tcPr>
            <w:tcW w:w="620" w:type="pct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</w:rPr>
              <w:t>n (%)</w:t>
            </w:r>
          </w:p>
        </w:tc>
        <w:tc>
          <w:tcPr>
            <w:tcW w:w="1147" w:type="pct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F1115"/>
                <w:shd w:val="clear" w:color="auto" w:fill="FFFFFF"/>
              </w:rPr>
              <w:t>Postoperative complications n (%)</w:t>
            </w:r>
          </w:p>
        </w:tc>
        <w:tc>
          <w:tcPr>
            <w:tcW w:w="892" w:type="pct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F1115"/>
                <w:shd w:val="clear" w:color="auto" w:fill="FFFFFF"/>
              </w:rPr>
              <w:t>30-day mortality n (%)</w:t>
            </w:r>
          </w:p>
        </w:tc>
        <w:tc>
          <w:tcPr>
            <w:tcW w:w="859" w:type="pct"/>
            <w:tcBorders>
              <w:top w:val="single" w:sz="4" w:space="0" w:color="auto"/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  <w:b/>
                <w:bCs/>
                <w:color w:val="0F1115"/>
                <w:shd w:val="clear" w:color="auto" w:fill="FFFFFF"/>
              </w:rPr>
            </w:pPr>
            <w:r>
              <w:rPr>
                <w:rFonts w:ascii="Times New Roman Regular" w:hAnsi="Times New Roman Regular" w:cs="Times New Roman Regular"/>
                <w:b/>
                <w:bCs/>
                <w:color w:val="0F1115"/>
                <w:shd w:val="clear" w:color="auto" w:fill="FFFFFF"/>
              </w:rPr>
              <w:t>1-year mortality n (%)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 xml:space="preserve">60-69 </w:t>
            </w:r>
          </w:p>
        </w:tc>
        <w:tc>
          <w:tcPr>
            <w:tcW w:w="871" w:type="pct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Normal</w:t>
            </w:r>
          </w:p>
        </w:tc>
        <w:tc>
          <w:tcPr>
            <w:tcW w:w="620" w:type="pct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224 (91.1)</w:t>
            </w:r>
          </w:p>
        </w:tc>
        <w:tc>
          <w:tcPr>
            <w:tcW w:w="1147" w:type="pct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224</w:t>
            </w:r>
            <w:r>
              <w:t>(91.1)</w:t>
            </w:r>
          </w:p>
        </w:tc>
        <w:tc>
          <w:tcPr>
            <w:tcW w:w="892" w:type="pct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 xml:space="preserve">18 </w:t>
            </w:r>
            <w:r>
              <w:t>(8.0)</w:t>
            </w:r>
          </w:p>
        </w:tc>
        <w:tc>
          <w:tcPr>
            <w:tcW w:w="859" w:type="pct"/>
            <w:tcBorders>
              <w:top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1</w:t>
            </w:r>
            <w:r>
              <w:t xml:space="preserve"> (0.4)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(n = 246)</w:t>
            </w:r>
          </w:p>
        </w:tc>
        <w:tc>
          <w:tcPr>
            <w:tcW w:w="871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Mild</w:t>
            </w:r>
          </w:p>
        </w:tc>
        <w:tc>
          <w:tcPr>
            <w:tcW w:w="62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18 (7.3)</w:t>
            </w:r>
          </w:p>
        </w:tc>
        <w:tc>
          <w:tcPr>
            <w:tcW w:w="1147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18</w:t>
            </w:r>
            <w:r>
              <w:t>(7.3)</w:t>
            </w:r>
          </w:p>
        </w:tc>
        <w:tc>
          <w:tcPr>
            <w:tcW w:w="892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2</w:t>
            </w:r>
            <w:r>
              <w:t xml:space="preserve"> (11.1)</w:t>
            </w:r>
          </w:p>
        </w:tc>
        <w:tc>
          <w:tcPr>
            <w:tcW w:w="859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1</w:t>
            </w:r>
            <w:r>
              <w:t xml:space="preserve"> (5.6)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871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Moderate-severe</w:t>
            </w:r>
          </w:p>
        </w:tc>
        <w:tc>
          <w:tcPr>
            <w:tcW w:w="62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 (1.6)</w:t>
            </w:r>
          </w:p>
        </w:tc>
        <w:tc>
          <w:tcPr>
            <w:tcW w:w="1147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4</w:t>
            </w:r>
            <w:r>
              <w:t>(1.6)</w:t>
            </w:r>
          </w:p>
        </w:tc>
        <w:tc>
          <w:tcPr>
            <w:tcW w:w="892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0</w:t>
            </w:r>
            <w:r>
              <w:t xml:space="preserve"> (0.0)</w:t>
            </w:r>
          </w:p>
        </w:tc>
        <w:tc>
          <w:tcPr>
            <w:tcW w:w="859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0</w:t>
            </w:r>
            <w:r>
              <w:t xml:space="preserve"> (0.0)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70-79</w:t>
            </w: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871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Normal</w:t>
            </w:r>
          </w:p>
        </w:tc>
        <w:tc>
          <w:tcPr>
            <w:tcW w:w="62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458 (89.5)</w:t>
            </w:r>
          </w:p>
        </w:tc>
        <w:tc>
          <w:tcPr>
            <w:tcW w:w="1147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458</w:t>
            </w:r>
            <w:r>
              <w:t>(89.5)</w:t>
            </w:r>
          </w:p>
        </w:tc>
        <w:tc>
          <w:tcPr>
            <w:tcW w:w="892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63</w:t>
            </w:r>
            <w:r>
              <w:t xml:space="preserve"> (13.8)</w:t>
            </w:r>
          </w:p>
        </w:tc>
        <w:tc>
          <w:tcPr>
            <w:tcW w:w="859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9</w:t>
            </w:r>
            <w:r>
              <w:t xml:space="preserve"> (2.0)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(n = 512)</w:t>
            </w:r>
          </w:p>
        </w:tc>
        <w:tc>
          <w:tcPr>
            <w:tcW w:w="871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Mild</w:t>
            </w:r>
          </w:p>
        </w:tc>
        <w:tc>
          <w:tcPr>
            <w:tcW w:w="62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41 (8.0)</w:t>
            </w:r>
          </w:p>
        </w:tc>
        <w:tc>
          <w:tcPr>
            <w:tcW w:w="1147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41</w:t>
            </w:r>
            <w:r>
              <w:t>(8.0)</w:t>
            </w:r>
          </w:p>
        </w:tc>
        <w:tc>
          <w:tcPr>
            <w:tcW w:w="892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7</w:t>
            </w:r>
            <w:r>
              <w:t xml:space="preserve"> (17.1)</w:t>
            </w:r>
          </w:p>
        </w:tc>
        <w:tc>
          <w:tcPr>
            <w:tcW w:w="859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 w:rsidRPr="001E26EA">
              <w:rPr>
                <w:rFonts w:hint="eastAsia"/>
              </w:rPr>
              <w:t>0</w:t>
            </w:r>
            <w:r w:rsidRPr="001E26EA">
              <w:t xml:space="preserve"> (0.0)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871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Moderate-severe</w:t>
            </w:r>
          </w:p>
        </w:tc>
        <w:tc>
          <w:tcPr>
            <w:tcW w:w="62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13 (2.5)</w:t>
            </w:r>
          </w:p>
        </w:tc>
        <w:tc>
          <w:tcPr>
            <w:tcW w:w="1147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13</w:t>
            </w:r>
            <w:r>
              <w:t>(2.5)</w:t>
            </w:r>
          </w:p>
        </w:tc>
        <w:tc>
          <w:tcPr>
            <w:tcW w:w="892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6</w:t>
            </w:r>
            <w:r>
              <w:t xml:space="preserve"> (16.2)</w:t>
            </w:r>
          </w:p>
        </w:tc>
        <w:tc>
          <w:tcPr>
            <w:tcW w:w="859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2</w:t>
            </w:r>
            <w:r>
              <w:t xml:space="preserve"> (15.4)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hAnsi="Times New Roman Bold" w:cs="Times New Roman Bold"/>
                <w:b/>
                <w:bCs/>
              </w:rPr>
              <w:t>80-89</w:t>
            </w:r>
            <w:r>
              <w:rPr>
                <w:rFonts w:ascii="Times New Roman Regular" w:hAnsi="Times New Roman Regular" w:cs="Times New Roman Regular"/>
              </w:rPr>
              <w:t xml:space="preserve"> </w:t>
            </w:r>
          </w:p>
        </w:tc>
        <w:tc>
          <w:tcPr>
            <w:tcW w:w="871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Normal</w:t>
            </w:r>
          </w:p>
        </w:tc>
        <w:tc>
          <w:tcPr>
            <w:tcW w:w="62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783 (85.6)</w:t>
            </w:r>
          </w:p>
        </w:tc>
        <w:tc>
          <w:tcPr>
            <w:tcW w:w="1147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783</w:t>
            </w:r>
            <w:r>
              <w:t>(85.6)</w:t>
            </w:r>
          </w:p>
        </w:tc>
        <w:tc>
          <w:tcPr>
            <w:tcW w:w="892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152</w:t>
            </w:r>
            <w:r>
              <w:t xml:space="preserve"> (19.4)</w:t>
            </w:r>
          </w:p>
        </w:tc>
        <w:tc>
          <w:tcPr>
            <w:tcW w:w="859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43</w:t>
            </w:r>
            <w:r>
              <w:t xml:space="preserve"> (5.5)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</w:tcPr>
          <w:p w:rsidR="00B32965" w:rsidRDefault="00B32965" w:rsidP="0060251C">
            <w:pPr>
              <w:widowControl/>
              <w:jc w:val="left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lang w:bidi="ar"/>
              </w:rPr>
              <w:t xml:space="preserve">(n = </w:t>
            </w:r>
            <w:r>
              <w:rPr>
                <w:rFonts w:ascii="Times New Roman Regular" w:hAnsi="Times New Roman Regular" w:cs="Times New Roman Regular"/>
              </w:rPr>
              <w:t>915)</w:t>
            </w:r>
          </w:p>
        </w:tc>
        <w:tc>
          <w:tcPr>
            <w:tcW w:w="871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Mild</w:t>
            </w:r>
          </w:p>
        </w:tc>
        <w:tc>
          <w:tcPr>
            <w:tcW w:w="62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103 (11.3)</w:t>
            </w:r>
          </w:p>
        </w:tc>
        <w:tc>
          <w:tcPr>
            <w:tcW w:w="1147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t>103(11.3)</w:t>
            </w:r>
          </w:p>
        </w:tc>
        <w:tc>
          <w:tcPr>
            <w:tcW w:w="892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t>33 (</w:t>
            </w:r>
            <w:r>
              <w:rPr>
                <w:rFonts w:hint="eastAsia"/>
              </w:rPr>
              <w:t>32.0</w:t>
            </w:r>
            <w:r>
              <w:t>)</w:t>
            </w:r>
          </w:p>
        </w:tc>
        <w:tc>
          <w:tcPr>
            <w:tcW w:w="859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t>7</w:t>
            </w:r>
            <w:r>
              <w:rPr>
                <w:rFonts w:hint="eastAsia"/>
              </w:rPr>
              <w:t xml:space="preserve"> </w:t>
            </w:r>
            <w:r>
              <w:t>(6.8)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871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Moderate-severe</w:t>
            </w:r>
          </w:p>
        </w:tc>
        <w:tc>
          <w:tcPr>
            <w:tcW w:w="62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29 (12.7)</w:t>
            </w:r>
          </w:p>
        </w:tc>
        <w:tc>
          <w:tcPr>
            <w:tcW w:w="1147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29</w:t>
            </w:r>
            <w:r>
              <w:t>(12.7)</w:t>
            </w:r>
          </w:p>
        </w:tc>
        <w:tc>
          <w:tcPr>
            <w:tcW w:w="892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14</w:t>
            </w:r>
            <w:r>
              <w:t xml:space="preserve"> (48.3)</w:t>
            </w:r>
          </w:p>
        </w:tc>
        <w:tc>
          <w:tcPr>
            <w:tcW w:w="859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4</w:t>
            </w:r>
            <w:r>
              <w:t xml:space="preserve"> (13.8)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Bold" w:eastAsia="PingFang SC" w:hAnsi="Times New Roman Bold" w:cs="Times New Roman Bold"/>
                <w:b/>
                <w:bCs/>
                <w:color w:val="333333"/>
                <w:shd w:val="clear" w:color="auto" w:fill="FFFFFF"/>
              </w:rPr>
              <w:t xml:space="preserve">≥ </w:t>
            </w:r>
            <w:r>
              <w:rPr>
                <w:rFonts w:ascii="Times New Roman Bold" w:hAnsi="Times New Roman Bold" w:cs="Times New Roman Bold"/>
                <w:b/>
                <w:bCs/>
              </w:rPr>
              <w:t>90</w:t>
            </w:r>
          </w:p>
        </w:tc>
        <w:tc>
          <w:tcPr>
            <w:tcW w:w="871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Normal</w:t>
            </w:r>
          </w:p>
        </w:tc>
        <w:tc>
          <w:tcPr>
            <w:tcW w:w="62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193 (84.6)</w:t>
            </w:r>
          </w:p>
        </w:tc>
        <w:tc>
          <w:tcPr>
            <w:tcW w:w="1147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193</w:t>
            </w:r>
            <w:r>
              <w:t>(84.6)</w:t>
            </w:r>
          </w:p>
        </w:tc>
        <w:tc>
          <w:tcPr>
            <w:tcW w:w="892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80</w:t>
            </w:r>
            <w:r>
              <w:t xml:space="preserve"> (41.5)</w:t>
            </w:r>
          </w:p>
        </w:tc>
        <w:tc>
          <w:tcPr>
            <w:tcW w:w="859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12</w:t>
            </w:r>
            <w:r>
              <w:t xml:space="preserve"> (6.2)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</w:tcPr>
          <w:p w:rsidR="00B32965" w:rsidRDefault="00B32965" w:rsidP="0060251C">
            <w:pPr>
              <w:widowControl/>
              <w:jc w:val="left"/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  <w:lang w:bidi="ar"/>
              </w:rPr>
              <w:t xml:space="preserve">(n = </w:t>
            </w:r>
            <w:r>
              <w:rPr>
                <w:rFonts w:ascii="Times New Roman Regular" w:hAnsi="Times New Roman Regular" w:cs="Times New Roman Regular"/>
              </w:rPr>
              <w:t>228)</w:t>
            </w:r>
          </w:p>
        </w:tc>
        <w:tc>
          <w:tcPr>
            <w:tcW w:w="871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Mild</w:t>
            </w:r>
          </w:p>
        </w:tc>
        <w:tc>
          <w:tcPr>
            <w:tcW w:w="620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29 (12.7)</w:t>
            </w:r>
          </w:p>
        </w:tc>
        <w:tc>
          <w:tcPr>
            <w:tcW w:w="1147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29</w:t>
            </w:r>
            <w:r>
              <w:t>(12.7)</w:t>
            </w:r>
          </w:p>
        </w:tc>
        <w:tc>
          <w:tcPr>
            <w:tcW w:w="892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20</w:t>
            </w:r>
            <w:r>
              <w:t xml:space="preserve"> (70.0)</w:t>
            </w:r>
          </w:p>
        </w:tc>
        <w:tc>
          <w:tcPr>
            <w:tcW w:w="859" w:type="pct"/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1</w:t>
            </w:r>
            <w:r>
              <w:t xml:space="preserve"> (3.4)</w:t>
            </w:r>
          </w:p>
        </w:tc>
      </w:tr>
      <w:tr w:rsidR="00B32965" w:rsidTr="0060251C">
        <w:trPr>
          <w:trHeight w:val="454"/>
        </w:trPr>
        <w:tc>
          <w:tcPr>
            <w:tcW w:w="610" w:type="pct"/>
            <w:tcBorders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Moderate-severe</w:t>
            </w:r>
          </w:p>
        </w:tc>
        <w:tc>
          <w:tcPr>
            <w:tcW w:w="620" w:type="pct"/>
            <w:tcBorders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ascii="Times New Roman Regular" w:hAnsi="Times New Roman Regular" w:cs="Times New Roman Regular"/>
              </w:rPr>
              <w:t>6 (2.6)</w:t>
            </w:r>
          </w:p>
        </w:tc>
        <w:tc>
          <w:tcPr>
            <w:tcW w:w="1147" w:type="pct"/>
            <w:tcBorders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6</w:t>
            </w:r>
            <w:r>
              <w:t>(2.6)</w:t>
            </w:r>
          </w:p>
        </w:tc>
        <w:tc>
          <w:tcPr>
            <w:tcW w:w="892" w:type="pct"/>
            <w:tcBorders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4</w:t>
            </w:r>
            <w:r>
              <w:t xml:space="preserve"> (66.6)</w:t>
            </w:r>
          </w:p>
        </w:tc>
        <w:tc>
          <w:tcPr>
            <w:tcW w:w="859" w:type="pct"/>
            <w:tcBorders>
              <w:bottom w:val="single" w:sz="4" w:space="0" w:color="auto"/>
            </w:tcBorders>
          </w:tcPr>
          <w:p w:rsidR="00B32965" w:rsidRDefault="00B32965" w:rsidP="0060251C">
            <w:pPr>
              <w:rPr>
                <w:rFonts w:ascii="Times New Roman Regular" w:hAnsi="Times New Roman Regular" w:cs="Times New Roman Regular"/>
              </w:rPr>
            </w:pPr>
            <w:r>
              <w:rPr>
                <w:rFonts w:hint="eastAsia"/>
              </w:rPr>
              <w:t>2</w:t>
            </w:r>
            <w:r>
              <w:t xml:space="preserve"> (33.3)</w:t>
            </w:r>
          </w:p>
        </w:tc>
      </w:tr>
    </w:tbl>
    <w:p w:rsidR="00B32965" w:rsidRPr="00046BA2" w:rsidRDefault="00B32965" w:rsidP="00B32965">
      <w:pPr>
        <w:widowControl/>
        <w:jc w:val="left"/>
        <w:rPr>
          <w:rFonts w:ascii="Times New Roman Regular" w:eastAsia="宋体" w:hAnsi="Times New Roman Regular" w:cs="Times New Roman Regular"/>
          <w:kern w:val="0"/>
          <w:sz w:val="20"/>
          <w:szCs w:val="20"/>
        </w:rPr>
      </w:pPr>
      <w:r w:rsidRPr="00046BA2">
        <w:rPr>
          <w:rFonts w:ascii="Times New Roman Regular" w:eastAsia="宋体" w:hAnsi="Times New Roman Regular" w:cs="Times New Roman Regular"/>
          <w:kern w:val="0"/>
          <w:sz w:val="20"/>
          <w:szCs w:val="20"/>
        </w:rPr>
        <w:t>Data are presented as n (%). Percentages in the first n (%) column represent the distribution of hyponatremia severity within each age group. Percentages in the outcome columns represent the incidence of each outcome within each stratum (age group × sodium status).</w:t>
      </w:r>
    </w:p>
    <w:p w:rsidR="00B32965" w:rsidRPr="00046BA2" w:rsidRDefault="00B32965" w:rsidP="00B32965">
      <w:pPr>
        <w:rPr>
          <w:rFonts w:ascii="Times New Roman" w:hAnsi="Times New Roman" w:cs="Times New Roman"/>
          <w:b/>
          <w:bCs/>
        </w:rPr>
      </w:pPr>
    </w:p>
    <w:p w:rsidR="00B32965" w:rsidRDefault="00B32965"/>
    <w:sectPr w:rsidR="00B329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72D"/>
    <w:rsid w:val="000018A3"/>
    <w:rsid w:val="0000411C"/>
    <w:rsid w:val="0001725B"/>
    <w:rsid w:val="00047B46"/>
    <w:rsid w:val="000624D3"/>
    <w:rsid w:val="00084592"/>
    <w:rsid w:val="00085CF6"/>
    <w:rsid w:val="000C51B9"/>
    <w:rsid w:val="000D3D60"/>
    <w:rsid w:val="000E32E6"/>
    <w:rsid w:val="000F2C36"/>
    <w:rsid w:val="001078AA"/>
    <w:rsid w:val="001151DF"/>
    <w:rsid w:val="0015472D"/>
    <w:rsid w:val="00161028"/>
    <w:rsid w:val="001638AE"/>
    <w:rsid w:val="001722A4"/>
    <w:rsid w:val="00175CD9"/>
    <w:rsid w:val="00180EFC"/>
    <w:rsid w:val="001B06D5"/>
    <w:rsid w:val="001B10A8"/>
    <w:rsid w:val="001C29DE"/>
    <w:rsid w:val="001C3DB8"/>
    <w:rsid w:val="001D6CD4"/>
    <w:rsid w:val="00232779"/>
    <w:rsid w:val="00261EAE"/>
    <w:rsid w:val="00267045"/>
    <w:rsid w:val="002C4924"/>
    <w:rsid w:val="002D0AD1"/>
    <w:rsid w:val="002D229E"/>
    <w:rsid w:val="002E62E9"/>
    <w:rsid w:val="003005DF"/>
    <w:rsid w:val="00336BEF"/>
    <w:rsid w:val="00340898"/>
    <w:rsid w:val="00361EB9"/>
    <w:rsid w:val="00362D1C"/>
    <w:rsid w:val="00367314"/>
    <w:rsid w:val="003B23EA"/>
    <w:rsid w:val="003D2F8B"/>
    <w:rsid w:val="004013C5"/>
    <w:rsid w:val="00410489"/>
    <w:rsid w:val="00427E01"/>
    <w:rsid w:val="00437BEE"/>
    <w:rsid w:val="004814A6"/>
    <w:rsid w:val="004977BE"/>
    <w:rsid w:val="004C1C92"/>
    <w:rsid w:val="004D3369"/>
    <w:rsid w:val="00513907"/>
    <w:rsid w:val="00534F22"/>
    <w:rsid w:val="0054780A"/>
    <w:rsid w:val="005648A6"/>
    <w:rsid w:val="00571249"/>
    <w:rsid w:val="0057297F"/>
    <w:rsid w:val="00596BF3"/>
    <w:rsid w:val="005E2486"/>
    <w:rsid w:val="005E43CD"/>
    <w:rsid w:val="005F0DFC"/>
    <w:rsid w:val="005F48D8"/>
    <w:rsid w:val="00633BCC"/>
    <w:rsid w:val="00647815"/>
    <w:rsid w:val="00655496"/>
    <w:rsid w:val="00662046"/>
    <w:rsid w:val="00663FF4"/>
    <w:rsid w:val="0066491C"/>
    <w:rsid w:val="00667D85"/>
    <w:rsid w:val="00681F28"/>
    <w:rsid w:val="006F0A62"/>
    <w:rsid w:val="006F1810"/>
    <w:rsid w:val="006F3AC0"/>
    <w:rsid w:val="007040C9"/>
    <w:rsid w:val="00704F4C"/>
    <w:rsid w:val="00714A75"/>
    <w:rsid w:val="00726B04"/>
    <w:rsid w:val="007779A9"/>
    <w:rsid w:val="00783FB3"/>
    <w:rsid w:val="00786D0F"/>
    <w:rsid w:val="007C0DC4"/>
    <w:rsid w:val="007E6815"/>
    <w:rsid w:val="0080347C"/>
    <w:rsid w:val="00814416"/>
    <w:rsid w:val="008201AD"/>
    <w:rsid w:val="00820C19"/>
    <w:rsid w:val="008667CE"/>
    <w:rsid w:val="00874F7E"/>
    <w:rsid w:val="00892424"/>
    <w:rsid w:val="008A1418"/>
    <w:rsid w:val="008E5D69"/>
    <w:rsid w:val="009049CB"/>
    <w:rsid w:val="00916D10"/>
    <w:rsid w:val="00925932"/>
    <w:rsid w:val="00925C0E"/>
    <w:rsid w:val="00975573"/>
    <w:rsid w:val="009767E1"/>
    <w:rsid w:val="009B2FFF"/>
    <w:rsid w:val="009E7DB5"/>
    <w:rsid w:val="00A146A8"/>
    <w:rsid w:val="00A23D87"/>
    <w:rsid w:val="00A5237D"/>
    <w:rsid w:val="00A82B5F"/>
    <w:rsid w:val="00A8679A"/>
    <w:rsid w:val="00A9316E"/>
    <w:rsid w:val="00AA1632"/>
    <w:rsid w:val="00AA4605"/>
    <w:rsid w:val="00AC5967"/>
    <w:rsid w:val="00AD0A55"/>
    <w:rsid w:val="00AD0E69"/>
    <w:rsid w:val="00AF4052"/>
    <w:rsid w:val="00B02644"/>
    <w:rsid w:val="00B135E4"/>
    <w:rsid w:val="00B32965"/>
    <w:rsid w:val="00B42E80"/>
    <w:rsid w:val="00B73BC3"/>
    <w:rsid w:val="00BB37DD"/>
    <w:rsid w:val="00BC642B"/>
    <w:rsid w:val="00BD700E"/>
    <w:rsid w:val="00BF50E0"/>
    <w:rsid w:val="00C17181"/>
    <w:rsid w:val="00C211B0"/>
    <w:rsid w:val="00CB3544"/>
    <w:rsid w:val="00D113C0"/>
    <w:rsid w:val="00D25252"/>
    <w:rsid w:val="00D53C85"/>
    <w:rsid w:val="00D76681"/>
    <w:rsid w:val="00DA31C6"/>
    <w:rsid w:val="00DF441F"/>
    <w:rsid w:val="00DF79D3"/>
    <w:rsid w:val="00DF7B23"/>
    <w:rsid w:val="00E01498"/>
    <w:rsid w:val="00E17BAF"/>
    <w:rsid w:val="00E225C0"/>
    <w:rsid w:val="00E22EAC"/>
    <w:rsid w:val="00E26697"/>
    <w:rsid w:val="00E35D2E"/>
    <w:rsid w:val="00E37ABD"/>
    <w:rsid w:val="00E40823"/>
    <w:rsid w:val="00E81C1B"/>
    <w:rsid w:val="00F21244"/>
    <w:rsid w:val="00F43B3D"/>
    <w:rsid w:val="00F936F3"/>
    <w:rsid w:val="00FA3A63"/>
    <w:rsid w:val="00FC3FAD"/>
    <w:rsid w:val="00FD274B"/>
    <w:rsid w:val="00FE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654C29"/>
  <w15:chartTrackingRefBased/>
  <w15:docId w15:val="{6E5D367E-2BCF-434E-BB1F-45083A493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96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47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7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72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472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72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472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472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472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5472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547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547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5472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5472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5472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547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547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547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547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54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47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547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47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547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47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547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47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547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5472D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qFormat/>
    <w:rsid w:val="00B3296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B32965"/>
    <w:rPr>
      <w:b/>
      <w:bCs/>
    </w:rPr>
  </w:style>
  <w:style w:type="character" w:customStyle="1" w:styleId="apple-converted-space">
    <w:name w:val="apple-converted-space"/>
    <w:basedOn w:val="a0"/>
    <w:qFormat/>
    <w:rsid w:val="00B32965"/>
  </w:style>
  <w:style w:type="table" w:styleId="71">
    <w:name w:val="List Table 7 Colorful"/>
    <w:basedOn w:val="a1"/>
    <w:uiPriority w:val="52"/>
    <w:rsid w:val="00B3296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61">
    <w:name w:val="List Table 6 Colorful"/>
    <w:basedOn w:val="a1"/>
    <w:uiPriority w:val="51"/>
    <w:rsid w:val="00B32965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0">
    <w:name w:val="Emphasis"/>
    <w:basedOn w:val="a0"/>
    <w:uiPriority w:val="20"/>
    <w:qFormat/>
    <w:rsid w:val="00B3296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1168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2026-04-03T08:58:00Z</dcterms:created>
  <dcterms:modified xsi:type="dcterms:W3CDTF">2026-04-03T09:53:00Z</dcterms:modified>
</cp:coreProperties>
</file>