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D3297F" w14:textId="77777777" w:rsidR="00EA28DC" w:rsidRPr="007E37DB" w:rsidRDefault="00EA28DC" w:rsidP="00EA28DC">
      <w:pPr>
        <w:spacing w:after="0" w:line="360" w:lineRule="auto"/>
        <w:rPr>
          <w:rFonts w:ascii="Times New Roman" w:eastAsia="宋体" w:hAnsi="Times New Roman" w:cs="Times New Roman"/>
          <w:kern w:val="0"/>
          <w:szCs w:val="22"/>
          <w14:ligatures w14:val="none"/>
        </w:rPr>
      </w:pPr>
      <w:r w:rsidRPr="007E37DB">
        <w:rPr>
          <w:rFonts w:ascii="Times New Roman" w:eastAsia="宋体" w:hAnsi="Times New Roman" w:cs="Times New Roman"/>
          <w:b/>
          <w:bCs/>
          <w:kern w:val="36"/>
          <w:szCs w:val="22"/>
          <w14:ligatures w14:val="none"/>
        </w:rPr>
        <w:t>Supplementary</w:t>
      </w:r>
    </w:p>
    <w:p w14:paraId="35EBE360" w14:textId="77777777" w:rsidR="00EA28DC" w:rsidRPr="007E37DB" w:rsidRDefault="00EA28DC" w:rsidP="00EA28DC">
      <w:pPr>
        <w:spacing w:after="0" w:line="360" w:lineRule="auto"/>
        <w:jc w:val="center"/>
        <w:rPr>
          <w:rFonts w:ascii="Times New Roman" w:eastAsia="宋体" w:hAnsi="Times New Roman" w:cs="Times New Roman"/>
          <w:szCs w:val="22"/>
        </w:rPr>
      </w:pPr>
      <w:r w:rsidRPr="007E37DB">
        <w:rPr>
          <w:rFonts w:ascii="Times New Roman" w:hAnsi="Times New Roman" w:cs="Times New Roman"/>
          <w:noProof/>
          <w:szCs w:val="22"/>
        </w:rPr>
        <w:drawing>
          <wp:inline distT="0" distB="0" distL="0" distR="0" wp14:anchorId="260D2815" wp14:editId="61C766DF">
            <wp:extent cx="5274310" cy="2813685"/>
            <wp:effectExtent l="0" t="0" r="2540" b="5715"/>
            <wp:docPr id="37193650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274310" cy="2813685"/>
                    </a:xfrm>
                    <a:prstGeom prst="rect">
                      <a:avLst/>
                    </a:prstGeom>
                    <a:noFill/>
                    <a:ln>
                      <a:noFill/>
                    </a:ln>
                  </pic:spPr>
                </pic:pic>
              </a:graphicData>
            </a:graphic>
          </wp:inline>
        </w:drawing>
      </w:r>
    </w:p>
    <w:p w14:paraId="357EA5A1" w14:textId="77777777" w:rsidR="00EA28DC" w:rsidRPr="007E37DB" w:rsidRDefault="00EA28DC" w:rsidP="00EA28DC">
      <w:pPr>
        <w:widowControl/>
        <w:spacing w:after="0" w:line="360" w:lineRule="auto"/>
        <w:outlineLvl w:val="0"/>
        <w:rPr>
          <w:rFonts w:ascii="Times New Roman" w:eastAsia="宋体" w:hAnsi="Times New Roman" w:cs="Times New Roman"/>
          <w:b/>
          <w:bCs/>
          <w:kern w:val="36"/>
          <w:szCs w:val="22"/>
          <w14:ligatures w14:val="none"/>
        </w:rPr>
      </w:pPr>
      <w:r w:rsidRPr="007E37DB">
        <w:rPr>
          <w:rFonts w:ascii="Times New Roman" w:eastAsia="宋体" w:hAnsi="Times New Roman" w:cs="Times New Roman"/>
          <w:b/>
          <w:bCs/>
          <w:kern w:val="36"/>
          <w:szCs w:val="22"/>
          <w14:ligatures w14:val="none"/>
        </w:rPr>
        <w:t>Supplementary Figure S1. Calibration of the immune aging score (IAS)</w:t>
      </w:r>
    </w:p>
    <w:p w14:paraId="56A4DD77" w14:textId="77777777" w:rsidR="00EA28DC" w:rsidRPr="007E37DB" w:rsidRDefault="00EA28DC" w:rsidP="00EA28DC">
      <w:pPr>
        <w:widowControl/>
        <w:spacing w:after="0" w:line="360" w:lineRule="auto"/>
        <w:rPr>
          <w:rFonts w:ascii="Times New Roman" w:eastAsia="宋体" w:hAnsi="Times New Roman" w:cs="Times New Roman"/>
          <w:kern w:val="0"/>
          <w:szCs w:val="22"/>
          <w14:ligatures w14:val="none"/>
        </w:rPr>
      </w:pPr>
      <w:r w:rsidRPr="007E37DB">
        <w:rPr>
          <w:rFonts w:ascii="Times New Roman" w:eastAsia="宋体" w:hAnsi="Times New Roman" w:cs="Times New Roman"/>
          <w:b/>
          <w:bCs/>
          <w:kern w:val="0"/>
          <w:szCs w:val="22"/>
          <w14:ligatures w14:val="none"/>
        </w:rPr>
        <w:t>Supplementary Figure S1.</w:t>
      </w:r>
      <w:r w:rsidRPr="007E37DB">
        <w:rPr>
          <w:rFonts w:ascii="Times New Roman" w:eastAsia="宋体" w:hAnsi="Times New Roman" w:cs="Times New Roman"/>
          <w:kern w:val="0"/>
          <w:szCs w:val="22"/>
          <w14:ligatures w14:val="none"/>
        </w:rPr>
        <w:t xml:space="preserve"> Calibration performance of the immune aging score (IAS) in the training and external validation cohorts.</w:t>
      </w:r>
      <w:r w:rsidRPr="007E37DB">
        <w:rPr>
          <w:rFonts w:ascii="Times New Roman" w:eastAsia="宋体" w:hAnsi="Times New Roman" w:cs="Times New Roman"/>
          <w:kern w:val="0"/>
          <w:szCs w:val="22"/>
          <w14:ligatures w14:val="none"/>
        </w:rPr>
        <w:br/>
      </w:r>
      <w:r w:rsidRPr="007E37DB">
        <w:rPr>
          <w:rFonts w:ascii="Times New Roman" w:eastAsia="宋体" w:hAnsi="Times New Roman" w:cs="Times New Roman"/>
          <w:b/>
          <w:bCs/>
          <w:kern w:val="0"/>
          <w:szCs w:val="22"/>
          <w14:ligatures w14:val="none"/>
        </w:rPr>
        <w:t>(A)</w:t>
      </w:r>
      <w:r w:rsidRPr="007E37DB">
        <w:rPr>
          <w:rFonts w:ascii="Times New Roman" w:eastAsia="宋体" w:hAnsi="Times New Roman" w:cs="Times New Roman"/>
          <w:kern w:val="0"/>
          <w:szCs w:val="22"/>
          <w14:ligatures w14:val="none"/>
        </w:rPr>
        <w:t xml:space="preserve"> Calibration curve in the training cohort, showing the agreement between predicted and observed event probabilities. The dotted diagonal line represents ideal calibration. Circles indicate apparent performance across deciles of predicted risk, and the dashed line represents the bootstrap-corrected calibration curve based on 1,000 resamples.</w:t>
      </w:r>
      <w:r w:rsidRPr="007E37DB">
        <w:rPr>
          <w:rFonts w:ascii="Times New Roman" w:eastAsia="宋体" w:hAnsi="Times New Roman" w:cs="Times New Roman"/>
          <w:kern w:val="0"/>
          <w:szCs w:val="22"/>
          <w14:ligatures w14:val="none"/>
        </w:rPr>
        <w:br/>
      </w:r>
      <w:r w:rsidRPr="007E37DB">
        <w:rPr>
          <w:rFonts w:ascii="Times New Roman" w:eastAsia="宋体" w:hAnsi="Times New Roman" w:cs="Times New Roman"/>
          <w:b/>
          <w:bCs/>
          <w:kern w:val="0"/>
          <w:szCs w:val="22"/>
          <w14:ligatures w14:val="none"/>
        </w:rPr>
        <w:t>(B)</w:t>
      </w:r>
      <w:r w:rsidRPr="007E37DB">
        <w:rPr>
          <w:rFonts w:ascii="Times New Roman" w:eastAsia="宋体" w:hAnsi="Times New Roman" w:cs="Times New Roman"/>
          <w:kern w:val="0"/>
          <w:szCs w:val="22"/>
          <w14:ligatures w14:val="none"/>
        </w:rPr>
        <w:t xml:space="preserve"> Calibration curve in the external validation cohort. Observed outcome frequencies across deciles of predicted risk are plotted against predicted probabilities, with the smoothed curve illustrating overall calibration performance.</w:t>
      </w:r>
    </w:p>
    <w:p w14:paraId="0DD0FF1E" w14:textId="77777777" w:rsidR="00EA28DC" w:rsidRPr="007E37DB" w:rsidRDefault="00EA28DC" w:rsidP="00EA28DC">
      <w:pPr>
        <w:keepNext/>
        <w:keepLines/>
        <w:shd w:val="clear" w:color="auto" w:fill="FFFFFF"/>
        <w:spacing w:after="0" w:line="360" w:lineRule="auto"/>
        <w:jc w:val="center"/>
        <w:outlineLvl w:val="0"/>
        <w:rPr>
          <w:rFonts w:ascii="Times New Roman" w:eastAsia="宋体" w:hAnsi="Times New Roman" w:cs="Times New Roman"/>
          <w:szCs w:val="22"/>
        </w:rPr>
      </w:pPr>
      <w:r w:rsidRPr="007E37DB">
        <w:rPr>
          <w:rFonts w:ascii="Times New Roman" w:hAnsi="Times New Roman" w:cs="Times New Roman"/>
          <w:noProof/>
          <w:szCs w:val="22"/>
        </w:rPr>
        <w:lastRenderedPageBreak/>
        <w:drawing>
          <wp:inline distT="0" distB="0" distL="0" distR="0" wp14:anchorId="39C27086" wp14:editId="736393A7">
            <wp:extent cx="5274310" cy="2813685"/>
            <wp:effectExtent l="0" t="0" r="2540" b="5715"/>
            <wp:docPr id="190578167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74310" cy="2813685"/>
                    </a:xfrm>
                    <a:prstGeom prst="rect">
                      <a:avLst/>
                    </a:prstGeom>
                    <a:noFill/>
                    <a:ln>
                      <a:noFill/>
                    </a:ln>
                  </pic:spPr>
                </pic:pic>
              </a:graphicData>
            </a:graphic>
          </wp:inline>
        </w:drawing>
      </w:r>
    </w:p>
    <w:p w14:paraId="25D7D00E" w14:textId="77777777" w:rsidR="00EA28DC" w:rsidRPr="007E37DB" w:rsidRDefault="00EA28DC" w:rsidP="00EA28DC">
      <w:pPr>
        <w:widowControl/>
        <w:spacing w:after="0" w:line="360" w:lineRule="auto"/>
        <w:outlineLvl w:val="0"/>
        <w:rPr>
          <w:rFonts w:ascii="Times New Roman" w:eastAsia="宋体" w:hAnsi="Times New Roman" w:cs="Times New Roman"/>
          <w:b/>
          <w:bCs/>
          <w:kern w:val="36"/>
          <w:szCs w:val="22"/>
          <w14:ligatures w14:val="none"/>
        </w:rPr>
      </w:pPr>
      <w:bookmarkStart w:id="0" w:name="_Hlk221977488"/>
      <w:r w:rsidRPr="007E37DB">
        <w:rPr>
          <w:rFonts w:ascii="Times New Roman" w:eastAsia="宋体" w:hAnsi="Times New Roman" w:cs="Times New Roman"/>
          <w:b/>
          <w:bCs/>
          <w:kern w:val="36"/>
          <w:szCs w:val="22"/>
          <w14:ligatures w14:val="none"/>
        </w:rPr>
        <w:t xml:space="preserve">Supplementary </w:t>
      </w:r>
      <w:bookmarkEnd w:id="0"/>
      <w:r w:rsidRPr="007E37DB">
        <w:rPr>
          <w:rFonts w:ascii="Times New Roman" w:eastAsia="宋体" w:hAnsi="Times New Roman" w:cs="Times New Roman"/>
          <w:b/>
          <w:bCs/>
          <w:kern w:val="36"/>
          <w:szCs w:val="22"/>
          <w14:ligatures w14:val="none"/>
        </w:rPr>
        <w:t>Figure S2. Decision curve analysis (DCA) of the immune aging score</w:t>
      </w:r>
    </w:p>
    <w:p w14:paraId="63557EBA" w14:textId="77777777" w:rsidR="00EA28DC" w:rsidRPr="007E37DB" w:rsidRDefault="00EA28DC" w:rsidP="00EA28DC">
      <w:pPr>
        <w:widowControl/>
        <w:spacing w:after="0" w:line="360" w:lineRule="auto"/>
        <w:rPr>
          <w:rFonts w:ascii="Times New Roman" w:eastAsia="宋体" w:hAnsi="Times New Roman" w:cs="Times New Roman"/>
          <w:kern w:val="0"/>
          <w:szCs w:val="22"/>
          <w14:ligatures w14:val="none"/>
        </w:rPr>
      </w:pPr>
      <w:r w:rsidRPr="007E37DB">
        <w:rPr>
          <w:rFonts w:ascii="Times New Roman" w:eastAsia="宋体" w:hAnsi="Times New Roman" w:cs="Times New Roman"/>
          <w:b/>
          <w:bCs/>
          <w:kern w:val="0"/>
          <w:szCs w:val="22"/>
          <w14:ligatures w14:val="none"/>
        </w:rPr>
        <w:t>Supplementary Figure S2.</w:t>
      </w:r>
      <w:r w:rsidRPr="007E37DB">
        <w:rPr>
          <w:rFonts w:ascii="Times New Roman" w:eastAsia="宋体" w:hAnsi="Times New Roman" w:cs="Times New Roman"/>
          <w:kern w:val="0"/>
          <w:szCs w:val="22"/>
          <w14:ligatures w14:val="none"/>
        </w:rPr>
        <w:t xml:space="preserve"> Decision curve analysis (DCA) comparing the clinical net benefit of the immune aging score (IAS) with conventional risk scores in the training and external validation cohorts.</w:t>
      </w:r>
      <w:r w:rsidRPr="007E37DB">
        <w:rPr>
          <w:rFonts w:ascii="Times New Roman" w:eastAsia="宋体" w:hAnsi="Times New Roman" w:cs="Times New Roman"/>
          <w:kern w:val="0"/>
          <w:szCs w:val="22"/>
          <w14:ligatures w14:val="none"/>
        </w:rPr>
        <w:br/>
      </w:r>
      <w:r w:rsidRPr="007E37DB">
        <w:rPr>
          <w:rFonts w:ascii="Times New Roman" w:eastAsia="宋体" w:hAnsi="Times New Roman" w:cs="Times New Roman"/>
          <w:b/>
          <w:bCs/>
          <w:kern w:val="0"/>
          <w:szCs w:val="22"/>
          <w14:ligatures w14:val="none"/>
        </w:rPr>
        <w:t>(A)</w:t>
      </w:r>
      <w:r w:rsidRPr="007E37DB">
        <w:rPr>
          <w:rFonts w:ascii="Times New Roman" w:eastAsia="宋体" w:hAnsi="Times New Roman" w:cs="Times New Roman"/>
          <w:kern w:val="0"/>
          <w:szCs w:val="22"/>
          <w14:ligatures w14:val="none"/>
        </w:rPr>
        <w:t xml:space="preserve"> DCA in the training cohort.</w:t>
      </w:r>
      <w:r w:rsidRPr="007E37DB">
        <w:rPr>
          <w:rFonts w:ascii="Times New Roman" w:eastAsia="宋体" w:hAnsi="Times New Roman" w:cs="Times New Roman"/>
          <w:kern w:val="0"/>
          <w:szCs w:val="22"/>
          <w14:ligatures w14:val="none"/>
        </w:rPr>
        <w:br/>
      </w:r>
      <w:r w:rsidRPr="007E37DB">
        <w:rPr>
          <w:rFonts w:ascii="Times New Roman" w:eastAsia="宋体" w:hAnsi="Times New Roman" w:cs="Times New Roman"/>
          <w:b/>
          <w:bCs/>
          <w:kern w:val="0"/>
          <w:szCs w:val="22"/>
          <w14:ligatures w14:val="none"/>
        </w:rPr>
        <w:t>(B)</w:t>
      </w:r>
      <w:r w:rsidRPr="007E37DB">
        <w:rPr>
          <w:rFonts w:ascii="Times New Roman" w:eastAsia="宋体" w:hAnsi="Times New Roman" w:cs="Times New Roman"/>
          <w:kern w:val="0"/>
          <w:szCs w:val="22"/>
          <w14:ligatures w14:val="none"/>
        </w:rPr>
        <w:t xml:space="preserve"> DCA in the external validation cohort.</w:t>
      </w:r>
    </w:p>
    <w:p w14:paraId="61EB9703" w14:textId="77777777" w:rsidR="00EA28DC" w:rsidRPr="007E37DB" w:rsidRDefault="00EA28DC" w:rsidP="00EA28DC">
      <w:pPr>
        <w:widowControl/>
        <w:spacing w:after="0" w:line="360" w:lineRule="auto"/>
        <w:rPr>
          <w:rFonts w:ascii="Times New Roman" w:eastAsia="宋体" w:hAnsi="Times New Roman" w:cs="Times New Roman"/>
          <w:kern w:val="0"/>
          <w:szCs w:val="22"/>
          <w14:ligatures w14:val="none"/>
        </w:rPr>
      </w:pPr>
      <w:r w:rsidRPr="007E37DB">
        <w:rPr>
          <w:rFonts w:ascii="Times New Roman" w:eastAsia="宋体" w:hAnsi="Times New Roman" w:cs="Times New Roman"/>
          <w:kern w:val="0"/>
          <w:szCs w:val="22"/>
          <w14:ligatures w14:val="none"/>
        </w:rPr>
        <w:t>Across a wide range of threshold probabilities (0.10–0.80), IAS consistently demonstrates a higher net benefit compared with the “treat-all” and “treat-none” strategies, as well as established clinical scores (BODE and DECAF), indicating superior clinical utility for risk stratification and decision-making.</w:t>
      </w:r>
    </w:p>
    <w:p w14:paraId="291B6009" w14:textId="77777777" w:rsidR="00EA28DC" w:rsidRPr="00EA28DC" w:rsidRDefault="00EA28DC"/>
    <w:sectPr w:rsidR="00EA28DC" w:rsidRPr="00EA28DC">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28DC"/>
    <w:rsid w:val="00B03581"/>
    <w:rsid w:val="00EA28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B6BD79"/>
  <w15:chartTrackingRefBased/>
  <w15:docId w15:val="{821D8843-5513-451C-87CF-88F59E3C4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A28DC"/>
    <w:pPr>
      <w:widowControl w:val="0"/>
    </w:pPr>
  </w:style>
  <w:style w:type="paragraph" w:styleId="1">
    <w:name w:val="heading 1"/>
    <w:basedOn w:val="a"/>
    <w:next w:val="a"/>
    <w:link w:val="10"/>
    <w:uiPriority w:val="9"/>
    <w:qFormat/>
    <w:rsid w:val="00EA28DC"/>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EA28DC"/>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EA28DC"/>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EA28DC"/>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EA28DC"/>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EA28DC"/>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EA28DC"/>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EA28DC"/>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EA28DC"/>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EA28DC"/>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EA28DC"/>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EA28DC"/>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EA28DC"/>
    <w:rPr>
      <w:rFonts w:cstheme="majorBidi"/>
      <w:color w:val="2F5496" w:themeColor="accent1" w:themeShade="BF"/>
      <w:sz w:val="28"/>
      <w:szCs w:val="28"/>
    </w:rPr>
  </w:style>
  <w:style w:type="character" w:customStyle="1" w:styleId="50">
    <w:name w:val="标题 5 字符"/>
    <w:basedOn w:val="a0"/>
    <w:link w:val="5"/>
    <w:uiPriority w:val="9"/>
    <w:semiHidden/>
    <w:rsid w:val="00EA28DC"/>
    <w:rPr>
      <w:rFonts w:cstheme="majorBidi"/>
      <w:color w:val="2F5496" w:themeColor="accent1" w:themeShade="BF"/>
      <w:sz w:val="24"/>
    </w:rPr>
  </w:style>
  <w:style w:type="character" w:customStyle="1" w:styleId="60">
    <w:name w:val="标题 6 字符"/>
    <w:basedOn w:val="a0"/>
    <w:link w:val="6"/>
    <w:uiPriority w:val="9"/>
    <w:semiHidden/>
    <w:rsid w:val="00EA28DC"/>
    <w:rPr>
      <w:rFonts w:cstheme="majorBidi"/>
      <w:b/>
      <w:bCs/>
      <w:color w:val="2F5496" w:themeColor="accent1" w:themeShade="BF"/>
    </w:rPr>
  </w:style>
  <w:style w:type="character" w:customStyle="1" w:styleId="70">
    <w:name w:val="标题 7 字符"/>
    <w:basedOn w:val="a0"/>
    <w:link w:val="7"/>
    <w:uiPriority w:val="9"/>
    <w:semiHidden/>
    <w:rsid w:val="00EA28DC"/>
    <w:rPr>
      <w:rFonts w:cstheme="majorBidi"/>
      <w:b/>
      <w:bCs/>
      <w:color w:val="595959" w:themeColor="text1" w:themeTint="A6"/>
    </w:rPr>
  </w:style>
  <w:style w:type="character" w:customStyle="1" w:styleId="80">
    <w:name w:val="标题 8 字符"/>
    <w:basedOn w:val="a0"/>
    <w:link w:val="8"/>
    <w:uiPriority w:val="9"/>
    <w:semiHidden/>
    <w:rsid w:val="00EA28DC"/>
    <w:rPr>
      <w:rFonts w:cstheme="majorBidi"/>
      <w:color w:val="595959" w:themeColor="text1" w:themeTint="A6"/>
    </w:rPr>
  </w:style>
  <w:style w:type="character" w:customStyle="1" w:styleId="90">
    <w:name w:val="标题 9 字符"/>
    <w:basedOn w:val="a0"/>
    <w:link w:val="9"/>
    <w:uiPriority w:val="9"/>
    <w:semiHidden/>
    <w:rsid w:val="00EA28DC"/>
    <w:rPr>
      <w:rFonts w:eastAsiaTheme="majorEastAsia" w:cstheme="majorBidi"/>
      <w:color w:val="595959" w:themeColor="text1" w:themeTint="A6"/>
    </w:rPr>
  </w:style>
  <w:style w:type="paragraph" w:styleId="a3">
    <w:name w:val="Title"/>
    <w:basedOn w:val="a"/>
    <w:next w:val="a"/>
    <w:link w:val="a4"/>
    <w:uiPriority w:val="10"/>
    <w:qFormat/>
    <w:rsid w:val="00EA28DC"/>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EA28D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A28DC"/>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EA28D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A28DC"/>
    <w:pPr>
      <w:spacing w:before="160"/>
      <w:jc w:val="center"/>
    </w:pPr>
    <w:rPr>
      <w:i/>
      <w:iCs/>
      <w:color w:val="404040" w:themeColor="text1" w:themeTint="BF"/>
    </w:rPr>
  </w:style>
  <w:style w:type="character" w:customStyle="1" w:styleId="a8">
    <w:name w:val="引用 字符"/>
    <w:basedOn w:val="a0"/>
    <w:link w:val="a7"/>
    <w:uiPriority w:val="29"/>
    <w:rsid w:val="00EA28DC"/>
    <w:rPr>
      <w:i/>
      <w:iCs/>
      <w:color w:val="404040" w:themeColor="text1" w:themeTint="BF"/>
    </w:rPr>
  </w:style>
  <w:style w:type="paragraph" w:styleId="a9">
    <w:name w:val="List Paragraph"/>
    <w:basedOn w:val="a"/>
    <w:uiPriority w:val="34"/>
    <w:qFormat/>
    <w:rsid w:val="00EA28DC"/>
    <w:pPr>
      <w:ind w:left="720"/>
      <w:contextualSpacing/>
    </w:pPr>
  </w:style>
  <w:style w:type="character" w:styleId="aa">
    <w:name w:val="Intense Emphasis"/>
    <w:basedOn w:val="a0"/>
    <w:uiPriority w:val="21"/>
    <w:qFormat/>
    <w:rsid w:val="00EA28DC"/>
    <w:rPr>
      <w:i/>
      <w:iCs/>
      <w:color w:val="2F5496" w:themeColor="accent1" w:themeShade="BF"/>
    </w:rPr>
  </w:style>
  <w:style w:type="paragraph" w:styleId="ab">
    <w:name w:val="Intense Quote"/>
    <w:basedOn w:val="a"/>
    <w:next w:val="a"/>
    <w:link w:val="ac"/>
    <w:uiPriority w:val="30"/>
    <w:qFormat/>
    <w:rsid w:val="00EA28D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EA28DC"/>
    <w:rPr>
      <w:i/>
      <w:iCs/>
      <w:color w:val="2F5496" w:themeColor="accent1" w:themeShade="BF"/>
    </w:rPr>
  </w:style>
  <w:style w:type="character" w:styleId="ad">
    <w:name w:val="Intense Reference"/>
    <w:basedOn w:val="a0"/>
    <w:uiPriority w:val="32"/>
    <w:qFormat/>
    <w:rsid w:val="00EA28D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tiff"/><Relationship Id="rId4" Type="http://schemas.openxmlformats.org/officeDocument/2006/relationships/image" Target="media/image1.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218</Words>
  <Characters>1246</Characters>
  <Application>Microsoft Office Word</Application>
  <DocSecurity>0</DocSecurity>
  <Lines>10</Lines>
  <Paragraphs>2</Paragraphs>
  <ScaleCrop>false</ScaleCrop>
  <Company/>
  <LinksUpToDate>false</LinksUpToDate>
  <CharactersWithSpaces>1462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huiyi wu</dc:creator>
  <cp:keywords/>
  <dc:description/>
  <cp:lastModifiedBy>huiyi wu</cp:lastModifiedBy>
  <cp:revision>1</cp:revision>
  <dcterms:created xsi:type="dcterms:W3CDTF">2026-02-14T13:06:00Z</dcterms:created>
  <dcterms:modified xsi:type="dcterms:W3CDTF">2026-02-14T13:07:00Z</dcterms:modified>
</cp:coreProperties>
</file>