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4BD5D" w14:textId="77777777" w:rsidR="005E24D0" w:rsidRPr="005E24D0" w:rsidRDefault="005E24D0" w:rsidP="005E24D0">
      <w:pPr>
        <w:widowControl/>
        <w:spacing w:before="100" w:beforeAutospacing="1" w:after="100" w:afterAutospacing="1" w:line="240" w:lineRule="auto"/>
        <w:outlineLvl w:val="1"/>
        <w:rPr>
          <w:rFonts w:ascii="Times New Roman" w:eastAsia="宋体" w:hAnsi="Times New Roman" w:cs="Times New Roman"/>
          <w:b/>
          <w:bCs/>
          <w:kern w:val="0"/>
          <w:sz w:val="36"/>
          <w:szCs w:val="36"/>
          <w14:ligatures w14:val="none"/>
        </w:rPr>
      </w:pPr>
      <w:r w:rsidRPr="005E24D0">
        <w:rPr>
          <w:rFonts w:ascii="Times New Roman" w:eastAsia="宋体" w:hAnsi="Times New Roman" w:cs="Times New Roman"/>
          <w:b/>
          <w:bCs/>
          <w:kern w:val="0"/>
          <w:sz w:val="36"/>
          <w:szCs w:val="36"/>
          <w14:ligatures w14:val="none"/>
        </w:rPr>
        <w:t>Supplementary Materials Contents</w:t>
      </w:r>
    </w:p>
    <w:p w14:paraId="41818AD4" w14:textId="77777777" w:rsidR="005E24D0" w:rsidRPr="005E24D0" w:rsidRDefault="005E24D0" w:rsidP="005E24D0">
      <w:pPr>
        <w:widowControl/>
        <w:spacing w:before="100" w:beforeAutospacing="1" w:after="100" w:afterAutospacing="1" w:line="240" w:lineRule="auto"/>
        <w:rPr>
          <w:rFonts w:ascii="Times New Roman" w:eastAsia="宋体" w:hAnsi="Times New Roman" w:cs="Times New Roman"/>
          <w:kern w:val="0"/>
          <w:sz w:val="24"/>
          <w14:ligatures w14:val="none"/>
        </w:rPr>
      </w:pPr>
      <w:r w:rsidRPr="005E24D0">
        <w:rPr>
          <w:rFonts w:ascii="Times New Roman" w:eastAsia="宋体" w:hAnsi="Times New Roman" w:cs="Times New Roman"/>
          <w:b/>
          <w:bCs/>
          <w:kern w:val="0"/>
          <w:sz w:val="24"/>
          <w14:ligatures w14:val="none"/>
        </w:rPr>
        <w:t>Supplementary Table S1. STROBE Checklist for Reporting Observational Studies</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S2. Candidate Variables and Final LASSO Coefficients for IAS Construction</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S3. Baseline Characteristics of the Derivation and External Validation Cohorts</w:t>
      </w:r>
      <w:r w:rsidRPr="005E24D0">
        <w:rPr>
          <w:rFonts w:ascii="Times New Roman" w:eastAsia="宋体" w:hAnsi="Times New Roman" w:cs="Times New Roman"/>
          <w:kern w:val="0"/>
          <w:sz w:val="24"/>
          <w14:ligatures w14:val="none"/>
        </w:rPr>
        <w:br/>
      </w:r>
      <w:r w:rsidRPr="005E24D0">
        <w:rPr>
          <w:rFonts w:ascii="Times New Roman" w:eastAsia="宋体" w:hAnsi="Times New Roman" w:cs="Times New Roman"/>
          <w:b/>
          <w:bCs/>
          <w:kern w:val="0"/>
          <w:sz w:val="24"/>
          <w14:ligatures w14:val="none"/>
        </w:rPr>
        <w:t>Supplementary Table S4. Clinical Outcome Event Counts in the Derivation and External Validation Cohorts</w:t>
      </w:r>
    </w:p>
    <w:p w14:paraId="2DA6E37F" w14:textId="49954A5C" w:rsidR="005E24D0" w:rsidRDefault="005E24D0">
      <w:pPr>
        <w:widowControl/>
        <w:rPr>
          <w:rFonts w:ascii="Times New Roman" w:eastAsia="宋体" w:hAnsi="Times New Roman" w:cs="Times New Roman"/>
          <w:b/>
          <w:bCs/>
          <w:kern w:val="0"/>
          <w:szCs w:val="22"/>
          <w14:ligatures w14:val="none"/>
        </w:rPr>
      </w:pPr>
      <w:r>
        <w:rPr>
          <w:rFonts w:ascii="Times New Roman" w:eastAsia="宋体" w:hAnsi="Times New Roman" w:cs="Times New Roman"/>
          <w:b/>
          <w:bCs/>
          <w:kern w:val="0"/>
          <w:szCs w:val="22"/>
          <w14:ligatures w14:val="none"/>
        </w:rPr>
        <w:br w:type="page"/>
      </w:r>
    </w:p>
    <w:p w14:paraId="50A9D43A" w14:textId="0742EDBB" w:rsidR="000F2838" w:rsidRPr="002E51ED" w:rsidRDefault="000F2838" w:rsidP="00A6636A">
      <w:pPr>
        <w:widowControl/>
        <w:spacing w:after="0" w:line="240" w:lineRule="auto"/>
        <w:outlineLvl w:val="1"/>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lastRenderedPageBreak/>
        <w:t xml:space="preserve">Supplementary Table S1. </w:t>
      </w:r>
      <w:r w:rsidR="002E51ED" w:rsidRPr="002E51ED">
        <w:rPr>
          <w:rFonts w:ascii="Times New Roman" w:hAnsi="Times New Roman" w:cs="Times New Roman"/>
          <w:b/>
          <w:bCs/>
        </w:rPr>
        <w:t>STROBE Checklist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15"/>
        <w:gridCol w:w="602"/>
        <w:gridCol w:w="4218"/>
        <w:gridCol w:w="2061"/>
      </w:tblGrid>
      <w:tr w:rsidR="000F2838" w:rsidRPr="00A6636A" w14:paraId="00C934E1" w14:textId="77777777" w:rsidTr="000F2838">
        <w:trPr>
          <w:tblHeader/>
          <w:tblCellSpacing w:w="15" w:type="dxa"/>
        </w:trPr>
        <w:tc>
          <w:tcPr>
            <w:tcW w:w="0" w:type="auto"/>
            <w:vAlign w:val="center"/>
            <w:hideMark/>
          </w:tcPr>
          <w:p w14:paraId="1E3FA192"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Section/Item</w:t>
            </w:r>
          </w:p>
        </w:tc>
        <w:tc>
          <w:tcPr>
            <w:tcW w:w="0" w:type="auto"/>
            <w:vAlign w:val="center"/>
            <w:hideMark/>
          </w:tcPr>
          <w:p w14:paraId="0A26121E"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Item No.</w:t>
            </w:r>
          </w:p>
        </w:tc>
        <w:tc>
          <w:tcPr>
            <w:tcW w:w="0" w:type="auto"/>
            <w:vAlign w:val="center"/>
            <w:hideMark/>
          </w:tcPr>
          <w:p w14:paraId="7191C596"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Recommendation</w:t>
            </w:r>
          </w:p>
        </w:tc>
        <w:tc>
          <w:tcPr>
            <w:tcW w:w="0" w:type="auto"/>
            <w:vAlign w:val="center"/>
            <w:hideMark/>
          </w:tcPr>
          <w:p w14:paraId="005610A5" w14:textId="77777777" w:rsidR="000F2838" w:rsidRPr="00A6636A" w:rsidRDefault="000F2838"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Reported on Page No.</w:t>
            </w:r>
          </w:p>
        </w:tc>
      </w:tr>
      <w:tr w:rsidR="000F2838" w:rsidRPr="00A6636A" w14:paraId="65E68938" w14:textId="77777777" w:rsidTr="000F2838">
        <w:trPr>
          <w:tblCellSpacing w:w="15" w:type="dxa"/>
        </w:trPr>
        <w:tc>
          <w:tcPr>
            <w:tcW w:w="0" w:type="auto"/>
            <w:vAlign w:val="center"/>
            <w:hideMark/>
          </w:tcPr>
          <w:p w14:paraId="41FE524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Title and Abstract</w:t>
            </w:r>
          </w:p>
        </w:tc>
        <w:tc>
          <w:tcPr>
            <w:tcW w:w="0" w:type="auto"/>
            <w:vAlign w:val="center"/>
            <w:hideMark/>
          </w:tcPr>
          <w:p w14:paraId="54A7ABB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w:t>
            </w:r>
          </w:p>
        </w:tc>
        <w:tc>
          <w:tcPr>
            <w:tcW w:w="0" w:type="auto"/>
            <w:vAlign w:val="center"/>
            <w:hideMark/>
          </w:tcPr>
          <w:p w14:paraId="3F73B84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Indicate the study’s design with a commonly used term in the title or the abstract</w:t>
            </w:r>
          </w:p>
        </w:tc>
        <w:tc>
          <w:tcPr>
            <w:tcW w:w="0" w:type="auto"/>
            <w:vAlign w:val="center"/>
            <w:hideMark/>
          </w:tcPr>
          <w:p w14:paraId="5570DD4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Title; Abstract</w:t>
            </w:r>
          </w:p>
        </w:tc>
      </w:tr>
      <w:tr w:rsidR="000F2838" w:rsidRPr="00A6636A" w14:paraId="0A748D03" w14:textId="77777777" w:rsidTr="000F2838">
        <w:trPr>
          <w:tblCellSpacing w:w="15" w:type="dxa"/>
        </w:trPr>
        <w:tc>
          <w:tcPr>
            <w:tcW w:w="0" w:type="auto"/>
            <w:vAlign w:val="center"/>
            <w:hideMark/>
          </w:tcPr>
          <w:p w14:paraId="582B16A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811522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w:t>
            </w:r>
          </w:p>
        </w:tc>
        <w:tc>
          <w:tcPr>
            <w:tcW w:w="0" w:type="auto"/>
            <w:vAlign w:val="center"/>
            <w:hideMark/>
          </w:tcPr>
          <w:p w14:paraId="1B884B5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Provide in the abstract an informative and balanced summary of what was done and what was found</w:t>
            </w:r>
          </w:p>
        </w:tc>
        <w:tc>
          <w:tcPr>
            <w:tcW w:w="0" w:type="auto"/>
            <w:vAlign w:val="center"/>
            <w:hideMark/>
          </w:tcPr>
          <w:p w14:paraId="56BF783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Abstract</w:t>
            </w:r>
          </w:p>
        </w:tc>
      </w:tr>
      <w:tr w:rsidR="000F2838" w:rsidRPr="00A6636A" w14:paraId="2D83763C" w14:textId="77777777" w:rsidTr="000F2838">
        <w:trPr>
          <w:tblCellSpacing w:w="15" w:type="dxa"/>
        </w:trPr>
        <w:tc>
          <w:tcPr>
            <w:tcW w:w="0" w:type="auto"/>
            <w:vAlign w:val="center"/>
            <w:hideMark/>
          </w:tcPr>
          <w:p w14:paraId="34525F3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Introduction</w:t>
            </w:r>
          </w:p>
        </w:tc>
        <w:tc>
          <w:tcPr>
            <w:tcW w:w="0" w:type="auto"/>
            <w:vAlign w:val="center"/>
            <w:hideMark/>
          </w:tcPr>
          <w:p w14:paraId="571AAFF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w:t>
            </w:r>
          </w:p>
        </w:tc>
        <w:tc>
          <w:tcPr>
            <w:tcW w:w="0" w:type="auto"/>
            <w:vAlign w:val="center"/>
            <w:hideMark/>
          </w:tcPr>
          <w:p w14:paraId="35DE914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the scientific background and rationale for the investigation being reported</w:t>
            </w:r>
          </w:p>
        </w:tc>
        <w:tc>
          <w:tcPr>
            <w:tcW w:w="0" w:type="auto"/>
            <w:vAlign w:val="center"/>
            <w:hideMark/>
          </w:tcPr>
          <w:p w14:paraId="3677D06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Introduction</w:t>
            </w:r>
          </w:p>
        </w:tc>
      </w:tr>
      <w:tr w:rsidR="000F2838" w:rsidRPr="00A6636A" w14:paraId="00C5239B" w14:textId="77777777" w:rsidTr="000F2838">
        <w:trPr>
          <w:tblCellSpacing w:w="15" w:type="dxa"/>
        </w:trPr>
        <w:tc>
          <w:tcPr>
            <w:tcW w:w="0" w:type="auto"/>
            <w:vAlign w:val="center"/>
            <w:hideMark/>
          </w:tcPr>
          <w:p w14:paraId="275B9BB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0716CA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w:t>
            </w:r>
          </w:p>
        </w:tc>
        <w:tc>
          <w:tcPr>
            <w:tcW w:w="0" w:type="auto"/>
            <w:vAlign w:val="center"/>
            <w:hideMark/>
          </w:tcPr>
          <w:p w14:paraId="1A6162B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State specific objectives, including any prespecified hypotheses</w:t>
            </w:r>
          </w:p>
        </w:tc>
        <w:tc>
          <w:tcPr>
            <w:tcW w:w="0" w:type="auto"/>
            <w:vAlign w:val="center"/>
            <w:hideMark/>
          </w:tcPr>
          <w:p w14:paraId="2513B9A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Introduction</w:t>
            </w:r>
          </w:p>
        </w:tc>
      </w:tr>
      <w:tr w:rsidR="000F2838" w:rsidRPr="00A6636A" w14:paraId="3E770D21" w14:textId="77777777" w:rsidTr="000F2838">
        <w:trPr>
          <w:tblCellSpacing w:w="15" w:type="dxa"/>
        </w:trPr>
        <w:tc>
          <w:tcPr>
            <w:tcW w:w="0" w:type="auto"/>
            <w:vAlign w:val="center"/>
            <w:hideMark/>
          </w:tcPr>
          <w:p w14:paraId="25F39F6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Methods</w:t>
            </w:r>
          </w:p>
        </w:tc>
        <w:tc>
          <w:tcPr>
            <w:tcW w:w="0" w:type="auto"/>
            <w:vAlign w:val="center"/>
            <w:hideMark/>
          </w:tcPr>
          <w:p w14:paraId="0E37FDF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w:t>
            </w:r>
          </w:p>
        </w:tc>
        <w:tc>
          <w:tcPr>
            <w:tcW w:w="0" w:type="auto"/>
            <w:vAlign w:val="center"/>
            <w:hideMark/>
          </w:tcPr>
          <w:p w14:paraId="1515CC0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Present key elements of study design early in the paper</w:t>
            </w:r>
          </w:p>
        </w:tc>
        <w:tc>
          <w:tcPr>
            <w:tcW w:w="0" w:type="auto"/>
            <w:vAlign w:val="center"/>
            <w:hideMark/>
          </w:tcPr>
          <w:p w14:paraId="0040512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1D5477F" w14:textId="77777777" w:rsidTr="000F2838">
        <w:trPr>
          <w:tblCellSpacing w:w="15" w:type="dxa"/>
        </w:trPr>
        <w:tc>
          <w:tcPr>
            <w:tcW w:w="0" w:type="auto"/>
            <w:vAlign w:val="center"/>
            <w:hideMark/>
          </w:tcPr>
          <w:p w14:paraId="783F866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813F65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6</w:t>
            </w:r>
          </w:p>
        </w:tc>
        <w:tc>
          <w:tcPr>
            <w:tcW w:w="0" w:type="auto"/>
            <w:vAlign w:val="center"/>
            <w:hideMark/>
          </w:tcPr>
          <w:p w14:paraId="70DEF24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the setting, locations, and relevant dates, including periods of recruitment, exposure, and follow-up</w:t>
            </w:r>
          </w:p>
        </w:tc>
        <w:tc>
          <w:tcPr>
            <w:tcW w:w="0" w:type="auto"/>
            <w:vAlign w:val="center"/>
            <w:hideMark/>
          </w:tcPr>
          <w:p w14:paraId="340152E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6AC622C" w14:textId="77777777" w:rsidTr="000F2838">
        <w:trPr>
          <w:tblCellSpacing w:w="15" w:type="dxa"/>
        </w:trPr>
        <w:tc>
          <w:tcPr>
            <w:tcW w:w="0" w:type="auto"/>
            <w:vAlign w:val="center"/>
            <w:hideMark/>
          </w:tcPr>
          <w:p w14:paraId="5E24B11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40AADD6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w:t>
            </w:r>
          </w:p>
        </w:tc>
        <w:tc>
          <w:tcPr>
            <w:tcW w:w="0" w:type="auto"/>
            <w:vAlign w:val="center"/>
            <w:hideMark/>
          </w:tcPr>
          <w:p w14:paraId="75FBAF2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the eligibility criteria, and the sources and methods of selection of participants</w:t>
            </w:r>
          </w:p>
        </w:tc>
        <w:tc>
          <w:tcPr>
            <w:tcW w:w="0" w:type="auto"/>
            <w:vAlign w:val="center"/>
            <w:hideMark/>
          </w:tcPr>
          <w:p w14:paraId="537B27A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3D986BCD" w14:textId="77777777" w:rsidTr="000F2838">
        <w:trPr>
          <w:tblCellSpacing w:w="15" w:type="dxa"/>
        </w:trPr>
        <w:tc>
          <w:tcPr>
            <w:tcW w:w="0" w:type="auto"/>
            <w:vAlign w:val="center"/>
            <w:hideMark/>
          </w:tcPr>
          <w:p w14:paraId="0E3EF02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F90BF0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8</w:t>
            </w:r>
          </w:p>
        </w:tc>
        <w:tc>
          <w:tcPr>
            <w:tcW w:w="0" w:type="auto"/>
            <w:vAlign w:val="center"/>
            <w:hideMark/>
          </w:tcPr>
          <w:p w14:paraId="0EFDFAE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Clearly define all outcomes, exposures, predictors, potential confounders, and effect modifiers</w:t>
            </w:r>
          </w:p>
        </w:tc>
        <w:tc>
          <w:tcPr>
            <w:tcW w:w="0" w:type="auto"/>
            <w:vAlign w:val="center"/>
            <w:hideMark/>
          </w:tcPr>
          <w:p w14:paraId="408EB3E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2.2–2.4</w:t>
            </w:r>
          </w:p>
        </w:tc>
      </w:tr>
      <w:tr w:rsidR="000F2838" w:rsidRPr="00A6636A" w14:paraId="3D6BA76D" w14:textId="77777777" w:rsidTr="000F2838">
        <w:trPr>
          <w:tblCellSpacing w:w="15" w:type="dxa"/>
        </w:trPr>
        <w:tc>
          <w:tcPr>
            <w:tcW w:w="0" w:type="auto"/>
            <w:vAlign w:val="center"/>
            <w:hideMark/>
          </w:tcPr>
          <w:p w14:paraId="1B6C6AD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294CA6D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9</w:t>
            </w:r>
          </w:p>
        </w:tc>
        <w:tc>
          <w:tcPr>
            <w:tcW w:w="0" w:type="auto"/>
            <w:vAlign w:val="center"/>
            <w:hideMark/>
          </w:tcPr>
          <w:p w14:paraId="7CAA021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sources of data and details of methods of assessment (measurement)</w:t>
            </w:r>
          </w:p>
        </w:tc>
        <w:tc>
          <w:tcPr>
            <w:tcW w:w="0" w:type="auto"/>
            <w:vAlign w:val="center"/>
            <w:hideMark/>
          </w:tcPr>
          <w:p w14:paraId="211F00B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2.3</w:t>
            </w:r>
          </w:p>
        </w:tc>
      </w:tr>
      <w:tr w:rsidR="000F2838" w:rsidRPr="00A6636A" w14:paraId="24BEFDAB" w14:textId="77777777" w:rsidTr="000F2838">
        <w:trPr>
          <w:tblCellSpacing w:w="15" w:type="dxa"/>
        </w:trPr>
        <w:tc>
          <w:tcPr>
            <w:tcW w:w="0" w:type="auto"/>
            <w:vAlign w:val="center"/>
            <w:hideMark/>
          </w:tcPr>
          <w:p w14:paraId="6602E1D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79F5F8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w:t>
            </w:r>
          </w:p>
        </w:tc>
        <w:tc>
          <w:tcPr>
            <w:tcW w:w="0" w:type="auto"/>
            <w:vAlign w:val="center"/>
            <w:hideMark/>
          </w:tcPr>
          <w:p w14:paraId="5821B1F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any efforts to address potential sources of bias</w:t>
            </w:r>
          </w:p>
        </w:tc>
        <w:tc>
          <w:tcPr>
            <w:tcW w:w="0" w:type="auto"/>
            <w:vAlign w:val="center"/>
            <w:hideMark/>
          </w:tcPr>
          <w:p w14:paraId="1FB603D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2.1, 2.2, 2.5</w:t>
            </w:r>
          </w:p>
        </w:tc>
      </w:tr>
      <w:tr w:rsidR="000F2838" w:rsidRPr="00A6636A" w14:paraId="3405906E" w14:textId="77777777" w:rsidTr="000F2838">
        <w:trPr>
          <w:tblCellSpacing w:w="15" w:type="dxa"/>
        </w:trPr>
        <w:tc>
          <w:tcPr>
            <w:tcW w:w="0" w:type="auto"/>
            <w:vAlign w:val="center"/>
            <w:hideMark/>
          </w:tcPr>
          <w:p w14:paraId="4E164E6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48CBAC7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11</w:t>
            </w:r>
          </w:p>
        </w:tc>
        <w:tc>
          <w:tcPr>
            <w:tcW w:w="0" w:type="auto"/>
            <w:vAlign w:val="center"/>
            <w:hideMark/>
          </w:tcPr>
          <w:p w14:paraId="48A487F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how the study size was arrived at</w:t>
            </w:r>
          </w:p>
        </w:tc>
        <w:tc>
          <w:tcPr>
            <w:tcW w:w="0" w:type="auto"/>
            <w:vAlign w:val="center"/>
            <w:hideMark/>
          </w:tcPr>
          <w:p w14:paraId="6B0182D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2.1</w:t>
            </w:r>
          </w:p>
        </w:tc>
      </w:tr>
      <w:tr w:rsidR="000F2838" w:rsidRPr="00A6636A" w14:paraId="7E40B3E5" w14:textId="77777777" w:rsidTr="000F2838">
        <w:trPr>
          <w:tblCellSpacing w:w="15" w:type="dxa"/>
        </w:trPr>
        <w:tc>
          <w:tcPr>
            <w:tcW w:w="0" w:type="auto"/>
            <w:vAlign w:val="center"/>
            <w:hideMark/>
          </w:tcPr>
          <w:p w14:paraId="54829E7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205C7D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w:t>
            </w:r>
          </w:p>
        </w:tc>
        <w:tc>
          <w:tcPr>
            <w:tcW w:w="0" w:type="auto"/>
            <w:vAlign w:val="center"/>
            <w:hideMark/>
          </w:tcPr>
          <w:p w14:paraId="22CF8A8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Explain how quantitative variables were handled in the analyses</w:t>
            </w:r>
          </w:p>
        </w:tc>
        <w:tc>
          <w:tcPr>
            <w:tcW w:w="0" w:type="auto"/>
            <w:vAlign w:val="center"/>
            <w:hideMark/>
          </w:tcPr>
          <w:p w14:paraId="0F02ECB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2.4–2.7</w:t>
            </w:r>
          </w:p>
        </w:tc>
      </w:tr>
      <w:tr w:rsidR="000F2838" w:rsidRPr="00A6636A" w14:paraId="68CB7AEC" w14:textId="77777777" w:rsidTr="000F2838">
        <w:trPr>
          <w:tblCellSpacing w:w="15" w:type="dxa"/>
        </w:trPr>
        <w:tc>
          <w:tcPr>
            <w:tcW w:w="0" w:type="auto"/>
            <w:vAlign w:val="center"/>
            <w:hideMark/>
          </w:tcPr>
          <w:p w14:paraId="134262F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74DB3A20"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13</w:t>
            </w:r>
          </w:p>
        </w:tc>
        <w:tc>
          <w:tcPr>
            <w:tcW w:w="0" w:type="auto"/>
            <w:vAlign w:val="center"/>
            <w:hideMark/>
          </w:tcPr>
          <w:p w14:paraId="1951D7C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all statistical methods, including those used to control for confounding</w:t>
            </w:r>
          </w:p>
        </w:tc>
        <w:tc>
          <w:tcPr>
            <w:tcW w:w="0" w:type="auto"/>
            <w:vAlign w:val="center"/>
            <w:hideMark/>
          </w:tcPr>
          <w:p w14:paraId="73CF0A4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2.5–2.7</w:t>
            </w:r>
          </w:p>
        </w:tc>
      </w:tr>
      <w:tr w:rsidR="000F2838" w:rsidRPr="00A6636A" w14:paraId="52914412" w14:textId="77777777" w:rsidTr="000F2838">
        <w:trPr>
          <w:tblCellSpacing w:w="15" w:type="dxa"/>
        </w:trPr>
        <w:tc>
          <w:tcPr>
            <w:tcW w:w="0" w:type="auto"/>
            <w:vAlign w:val="center"/>
            <w:hideMark/>
          </w:tcPr>
          <w:p w14:paraId="6137A43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Results</w:t>
            </w:r>
          </w:p>
        </w:tc>
        <w:tc>
          <w:tcPr>
            <w:tcW w:w="0" w:type="auto"/>
            <w:vAlign w:val="center"/>
            <w:hideMark/>
          </w:tcPr>
          <w:p w14:paraId="2EA4F009"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w:t>
            </w:r>
          </w:p>
        </w:tc>
        <w:tc>
          <w:tcPr>
            <w:tcW w:w="0" w:type="auto"/>
            <w:vAlign w:val="center"/>
            <w:hideMark/>
          </w:tcPr>
          <w:p w14:paraId="0899595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numbers of individuals at each stage of study (e.g., potentially eligible, examined for eligibility, included, completed follow-up, and analyzed)</w:t>
            </w:r>
          </w:p>
        </w:tc>
        <w:tc>
          <w:tcPr>
            <w:tcW w:w="0" w:type="auto"/>
            <w:vAlign w:val="center"/>
            <w:hideMark/>
          </w:tcPr>
          <w:p w14:paraId="7E064BA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3.1; Figure 1</w:t>
            </w:r>
          </w:p>
        </w:tc>
      </w:tr>
      <w:tr w:rsidR="000F2838" w:rsidRPr="00A6636A" w14:paraId="56C5FA11" w14:textId="77777777" w:rsidTr="000F2838">
        <w:trPr>
          <w:tblCellSpacing w:w="15" w:type="dxa"/>
        </w:trPr>
        <w:tc>
          <w:tcPr>
            <w:tcW w:w="0" w:type="auto"/>
            <w:vAlign w:val="center"/>
            <w:hideMark/>
          </w:tcPr>
          <w:p w14:paraId="29ED50D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043FE7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w:t>
            </w:r>
          </w:p>
        </w:tc>
        <w:tc>
          <w:tcPr>
            <w:tcW w:w="0" w:type="auto"/>
            <w:vAlign w:val="center"/>
            <w:hideMark/>
          </w:tcPr>
          <w:p w14:paraId="1B85B5F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Describe characteristics of study participants</w:t>
            </w:r>
          </w:p>
        </w:tc>
        <w:tc>
          <w:tcPr>
            <w:tcW w:w="0" w:type="auto"/>
            <w:vAlign w:val="center"/>
            <w:hideMark/>
          </w:tcPr>
          <w:p w14:paraId="73A3321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3.1; Table 1</w:t>
            </w:r>
          </w:p>
        </w:tc>
      </w:tr>
      <w:tr w:rsidR="000F2838" w:rsidRPr="00A6636A" w14:paraId="029FEC01" w14:textId="77777777" w:rsidTr="000F2838">
        <w:trPr>
          <w:tblCellSpacing w:w="15" w:type="dxa"/>
        </w:trPr>
        <w:tc>
          <w:tcPr>
            <w:tcW w:w="0" w:type="auto"/>
            <w:vAlign w:val="center"/>
            <w:hideMark/>
          </w:tcPr>
          <w:p w14:paraId="04174A4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C8A239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16</w:t>
            </w:r>
          </w:p>
        </w:tc>
        <w:tc>
          <w:tcPr>
            <w:tcW w:w="0" w:type="auto"/>
            <w:vAlign w:val="center"/>
            <w:hideMark/>
          </w:tcPr>
          <w:p w14:paraId="2A83695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outcome events or summary measures</w:t>
            </w:r>
          </w:p>
        </w:tc>
        <w:tc>
          <w:tcPr>
            <w:tcW w:w="0" w:type="auto"/>
            <w:vAlign w:val="center"/>
            <w:hideMark/>
          </w:tcPr>
          <w:p w14:paraId="0E6CE52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3.2–3.5; Tables 3–4</w:t>
            </w:r>
          </w:p>
        </w:tc>
      </w:tr>
      <w:tr w:rsidR="000F2838" w:rsidRPr="00A6636A" w14:paraId="31D2EF10" w14:textId="77777777" w:rsidTr="000F2838">
        <w:trPr>
          <w:tblCellSpacing w:w="15" w:type="dxa"/>
        </w:trPr>
        <w:tc>
          <w:tcPr>
            <w:tcW w:w="0" w:type="auto"/>
            <w:vAlign w:val="center"/>
            <w:hideMark/>
          </w:tcPr>
          <w:p w14:paraId="4C2D85E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0975E65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17</w:t>
            </w:r>
          </w:p>
        </w:tc>
        <w:tc>
          <w:tcPr>
            <w:tcW w:w="0" w:type="auto"/>
            <w:vAlign w:val="center"/>
            <w:hideMark/>
          </w:tcPr>
          <w:p w14:paraId="0B11E9FA"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Report other analyses (e.g., subgroup analyses, sensitivity analyses, external validation analyses)</w:t>
            </w:r>
          </w:p>
        </w:tc>
        <w:tc>
          <w:tcPr>
            <w:tcW w:w="0" w:type="auto"/>
            <w:vAlign w:val="center"/>
            <w:hideMark/>
          </w:tcPr>
          <w:p w14:paraId="4949DDE8"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3.2–3.5; Supplementary Tables/Figures</w:t>
            </w:r>
          </w:p>
        </w:tc>
      </w:tr>
      <w:tr w:rsidR="000F2838" w:rsidRPr="00A6636A" w14:paraId="4FC064C9" w14:textId="77777777" w:rsidTr="000F2838">
        <w:trPr>
          <w:tblCellSpacing w:w="15" w:type="dxa"/>
        </w:trPr>
        <w:tc>
          <w:tcPr>
            <w:tcW w:w="0" w:type="auto"/>
            <w:vAlign w:val="center"/>
            <w:hideMark/>
          </w:tcPr>
          <w:p w14:paraId="042A143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Discussion</w:t>
            </w:r>
          </w:p>
        </w:tc>
        <w:tc>
          <w:tcPr>
            <w:tcW w:w="0" w:type="auto"/>
            <w:vAlign w:val="center"/>
            <w:hideMark/>
          </w:tcPr>
          <w:p w14:paraId="5D56BF9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18</w:t>
            </w:r>
          </w:p>
        </w:tc>
        <w:tc>
          <w:tcPr>
            <w:tcW w:w="0" w:type="auto"/>
            <w:vAlign w:val="center"/>
            <w:hideMark/>
          </w:tcPr>
          <w:p w14:paraId="64022CB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Summarize key results with reference to study objectives</w:t>
            </w:r>
          </w:p>
        </w:tc>
        <w:tc>
          <w:tcPr>
            <w:tcW w:w="0" w:type="auto"/>
            <w:vAlign w:val="center"/>
            <w:hideMark/>
          </w:tcPr>
          <w:p w14:paraId="4279A51F"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Discussion</w:t>
            </w:r>
          </w:p>
        </w:tc>
      </w:tr>
      <w:tr w:rsidR="000F2838" w:rsidRPr="00A6636A" w14:paraId="1C315E34" w14:textId="77777777" w:rsidTr="000F2838">
        <w:trPr>
          <w:tblCellSpacing w:w="15" w:type="dxa"/>
        </w:trPr>
        <w:tc>
          <w:tcPr>
            <w:tcW w:w="0" w:type="auto"/>
            <w:vAlign w:val="center"/>
            <w:hideMark/>
          </w:tcPr>
          <w:p w14:paraId="22E75AA6"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208D4DC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19</w:t>
            </w:r>
          </w:p>
        </w:tc>
        <w:tc>
          <w:tcPr>
            <w:tcW w:w="0" w:type="auto"/>
            <w:vAlign w:val="center"/>
            <w:hideMark/>
          </w:tcPr>
          <w:p w14:paraId="67EE6D7D"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 limitations of the study, taking into account sources of potential bias or imprecision</w:t>
            </w:r>
          </w:p>
        </w:tc>
        <w:tc>
          <w:tcPr>
            <w:tcW w:w="0" w:type="auto"/>
            <w:vAlign w:val="center"/>
            <w:hideMark/>
          </w:tcPr>
          <w:p w14:paraId="40EB413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 4.5</w:t>
            </w:r>
          </w:p>
        </w:tc>
      </w:tr>
      <w:tr w:rsidR="000F2838" w:rsidRPr="00A6636A" w14:paraId="43207393" w14:textId="77777777" w:rsidTr="000F2838">
        <w:trPr>
          <w:tblCellSpacing w:w="15" w:type="dxa"/>
        </w:trPr>
        <w:tc>
          <w:tcPr>
            <w:tcW w:w="0" w:type="auto"/>
            <w:vAlign w:val="center"/>
            <w:hideMark/>
          </w:tcPr>
          <w:p w14:paraId="2CF7C37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3812662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20</w:t>
            </w:r>
          </w:p>
        </w:tc>
        <w:tc>
          <w:tcPr>
            <w:tcW w:w="0" w:type="auto"/>
            <w:vAlign w:val="center"/>
            <w:hideMark/>
          </w:tcPr>
          <w:p w14:paraId="34E5A94E"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a cautious overall interpretation of results considering objectives, limitations, multiplicity of analyses, and relevant evidence</w:t>
            </w:r>
          </w:p>
        </w:tc>
        <w:tc>
          <w:tcPr>
            <w:tcW w:w="0" w:type="auto"/>
            <w:vAlign w:val="center"/>
            <w:hideMark/>
          </w:tcPr>
          <w:p w14:paraId="699CE595"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Discussion; Conclusion</w:t>
            </w:r>
          </w:p>
        </w:tc>
      </w:tr>
      <w:tr w:rsidR="000F2838" w:rsidRPr="00A6636A" w14:paraId="127BDFDF" w14:textId="77777777" w:rsidTr="000F2838">
        <w:trPr>
          <w:tblCellSpacing w:w="15" w:type="dxa"/>
        </w:trPr>
        <w:tc>
          <w:tcPr>
            <w:tcW w:w="0" w:type="auto"/>
            <w:vAlign w:val="center"/>
            <w:hideMark/>
          </w:tcPr>
          <w:p w14:paraId="4EFE9E33"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p>
        </w:tc>
        <w:tc>
          <w:tcPr>
            <w:tcW w:w="0" w:type="auto"/>
            <w:vAlign w:val="center"/>
            <w:hideMark/>
          </w:tcPr>
          <w:p w14:paraId="1907F587"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21</w:t>
            </w:r>
          </w:p>
        </w:tc>
        <w:tc>
          <w:tcPr>
            <w:tcW w:w="0" w:type="auto"/>
            <w:vAlign w:val="center"/>
            <w:hideMark/>
          </w:tcPr>
          <w:p w14:paraId="6162FE3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Discuss the generalizability (external validity) of the study results</w:t>
            </w:r>
          </w:p>
        </w:tc>
        <w:tc>
          <w:tcPr>
            <w:tcW w:w="0" w:type="auto"/>
            <w:vAlign w:val="center"/>
            <w:hideMark/>
          </w:tcPr>
          <w:p w14:paraId="2DBEF9A4"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Sections 4.4–4.5</w:t>
            </w:r>
          </w:p>
        </w:tc>
      </w:tr>
      <w:tr w:rsidR="000F2838" w:rsidRPr="00A6636A" w14:paraId="6678433E" w14:textId="77777777" w:rsidTr="000F2838">
        <w:trPr>
          <w:tblCellSpacing w:w="15" w:type="dxa"/>
        </w:trPr>
        <w:tc>
          <w:tcPr>
            <w:tcW w:w="0" w:type="auto"/>
            <w:vAlign w:val="center"/>
            <w:hideMark/>
          </w:tcPr>
          <w:p w14:paraId="354838F1"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Other Information</w:t>
            </w:r>
          </w:p>
        </w:tc>
        <w:tc>
          <w:tcPr>
            <w:tcW w:w="0" w:type="auto"/>
            <w:vAlign w:val="center"/>
            <w:hideMark/>
          </w:tcPr>
          <w:p w14:paraId="2EBD419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22</w:t>
            </w:r>
          </w:p>
        </w:tc>
        <w:tc>
          <w:tcPr>
            <w:tcW w:w="0" w:type="auto"/>
            <w:vAlign w:val="center"/>
            <w:hideMark/>
          </w:tcPr>
          <w:p w14:paraId="2D8A98CC"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Give the source of funding and the role of the funders for the present study</w:t>
            </w:r>
          </w:p>
        </w:tc>
        <w:tc>
          <w:tcPr>
            <w:tcW w:w="0" w:type="auto"/>
            <w:vAlign w:val="center"/>
            <w:hideMark/>
          </w:tcPr>
          <w:p w14:paraId="39149A8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Funding Statement / Declarations</w:t>
            </w:r>
          </w:p>
        </w:tc>
      </w:tr>
    </w:tbl>
    <w:p w14:paraId="2EB88F72"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Abbreviation:</w:t>
      </w:r>
      <w:r w:rsidRPr="00A6636A">
        <w:rPr>
          <w:rFonts w:ascii="Times New Roman" w:eastAsia="宋体" w:hAnsi="Times New Roman" w:cs="Times New Roman"/>
          <w:kern w:val="0"/>
          <w:szCs w:val="22"/>
          <w14:ligatures w14:val="none"/>
        </w:rPr>
        <w:t xml:space="preserve"> STROBE, Strengthening the Reporting of Observational Studies in Epidemiology.</w:t>
      </w:r>
    </w:p>
    <w:p w14:paraId="7963CDCB" w14:textId="77777777" w:rsidR="000F2838" w:rsidRPr="00A6636A" w:rsidRDefault="000F2838"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A participant flow diagram detailing screening, enrollment, exclusions, derivation cohort inclusion, paired-sampling completion, follow-up completeness, and external validation cohort selection is provided in Figure 1.</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This checklist is provided in accordance with BMC Geriatrics reporting requirements for observational studies.</w:t>
      </w:r>
    </w:p>
    <w:p w14:paraId="5236679F" w14:textId="77777777" w:rsidR="00AE5A5F" w:rsidRPr="00A6636A" w:rsidRDefault="00AE5A5F" w:rsidP="00A6636A">
      <w:pPr>
        <w:widowControl/>
        <w:spacing w:after="0" w:line="240" w:lineRule="auto"/>
        <w:outlineLvl w:val="2"/>
        <w:rPr>
          <w:rFonts w:ascii="Times New Roman" w:hAnsi="Times New Roman" w:cs="Times New Roman"/>
          <w:szCs w:val="22"/>
        </w:rPr>
      </w:pPr>
    </w:p>
    <w:p w14:paraId="4290CA23" w14:textId="058E8E72" w:rsidR="00AE5A5F" w:rsidRPr="002E51ED" w:rsidRDefault="00AE5A5F"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Supplementary Table S</w:t>
      </w:r>
      <w:r w:rsidR="00BE3BA2" w:rsidRPr="00A6636A">
        <w:rPr>
          <w:rFonts w:ascii="Times New Roman" w:eastAsia="宋体" w:hAnsi="Times New Roman" w:cs="Times New Roman"/>
          <w:b/>
          <w:bCs/>
          <w:kern w:val="0"/>
          <w:szCs w:val="22"/>
          <w14:ligatures w14:val="none"/>
        </w:rPr>
        <w:t>2</w:t>
      </w:r>
      <w:r w:rsidRPr="00A6636A">
        <w:rPr>
          <w:rFonts w:ascii="Times New Roman" w:eastAsia="宋体" w:hAnsi="Times New Roman" w:cs="Times New Roman"/>
          <w:b/>
          <w:bCs/>
          <w:kern w:val="0"/>
          <w:szCs w:val="22"/>
          <w14:ligatures w14:val="none"/>
        </w:rPr>
        <w:t xml:space="preserve">. </w:t>
      </w:r>
      <w:r w:rsidR="002E51ED" w:rsidRPr="002E51ED">
        <w:rPr>
          <w:rFonts w:ascii="Times New Roman" w:hAnsi="Times New Roman" w:cs="Times New Roman"/>
          <w:b/>
          <w:bCs/>
        </w:rPr>
        <w:t>Candidate Variables and Final LASSO Coefficients for IAS Construction</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9"/>
        <w:gridCol w:w="3114"/>
        <w:gridCol w:w="2260"/>
        <w:gridCol w:w="1353"/>
      </w:tblGrid>
      <w:tr w:rsidR="00AE5A5F" w:rsidRPr="00A6636A" w14:paraId="0AA388C0" w14:textId="77777777" w:rsidTr="00993A21">
        <w:trPr>
          <w:tblHeader/>
          <w:tblCellSpacing w:w="15" w:type="dxa"/>
        </w:trPr>
        <w:tc>
          <w:tcPr>
            <w:tcW w:w="0" w:type="auto"/>
            <w:vAlign w:val="center"/>
            <w:hideMark/>
          </w:tcPr>
          <w:p w14:paraId="47A780B3"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Candidate variable</w:t>
            </w:r>
          </w:p>
        </w:tc>
        <w:tc>
          <w:tcPr>
            <w:tcW w:w="0" w:type="auto"/>
            <w:vAlign w:val="center"/>
            <w:hideMark/>
          </w:tcPr>
          <w:p w14:paraId="000120A8"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Biological domain</w:t>
            </w:r>
          </w:p>
        </w:tc>
        <w:tc>
          <w:tcPr>
            <w:tcW w:w="0" w:type="auto"/>
            <w:vAlign w:val="center"/>
            <w:hideMark/>
          </w:tcPr>
          <w:p w14:paraId="464E8766"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Transformation</w:t>
            </w:r>
          </w:p>
        </w:tc>
        <w:tc>
          <w:tcPr>
            <w:tcW w:w="0" w:type="auto"/>
            <w:vAlign w:val="center"/>
            <w:hideMark/>
          </w:tcPr>
          <w:p w14:paraId="4DAD4100"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Final coefficient</w:t>
            </w:r>
          </w:p>
        </w:tc>
      </w:tr>
      <w:tr w:rsidR="00AE5A5F" w:rsidRPr="00A6636A" w14:paraId="369154B0" w14:textId="77777777" w:rsidTr="00993A21">
        <w:trPr>
          <w:tblCellSpacing w:w="15" w:type="dxa"/>
        </w:trPr>
        <w:tc>
          <w:tcPr>
            <w:tcW w:w="0" w:type="auto"/>
            <w:vAlign w:val="center"/>
            <w:hideMark/>
          </w:tcPr>
          <w:p w14:paraId="3EC1E8DE"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PD-1⁺CD4⁺ T cells</w:t>
            </w:r>
          </w:p>
        </w:tc>
        <w:tc>
          <w:tcPr>
            <w:tcW w:w="0" w:type="auto"/>
            <w:vAlign w:val="center"/>
            <w:hideMark/>
          </w:tcPr>
          <w:p w14:paraId="300F728D"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T-cell exhaustion</w:t>
            </w:r>
          </w:p>
        </w:tc>
        <w:tc>
          <w:tcPr>
            <w:tcW w:w="0" w:type="auto"/>
            <w:vAlign w:val="center"/>
            <w:hideMark/>
          </w:tcPr>
          <w:p w14:paraId="5BAA664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Z-score</w:t>
            </w:r>
          </w:p>
        </w:tc>
        <w:tc>
          <w:tcPr>
            <w:tcW w:w="0" w:type="auto"/>
            <w:vAlign w:val="center"/>
            <w:hideMark/>
          </w:tcPr>
          <w:p w14:paraId="3321E66B"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0.38</w:t>
            </w:r>
          </w:p>
        </w:tc>
      </w:tr>
      <w:tr w:rsidR="00AE5A5F" w:rsidRPr="00A6636A" w14:paraId="3ECE72A3" w14:textId="77777777" w:rsidTr="00993A21">
        <w:trPr>
          <w:tblCellSpacing w:w="15" w:type="dxa"/>
        </w:trPr>
        <w:tc>
          <w:tcPr>
            <w:tcW w:w="0" w:type="auto"/>
            <w:vAlign w:val="center"/>
            <w:hideMark/>
          </w:tcPr>
          <w:p w14:paraId="006AB82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CD28⁻CD8⁺ T cells</w:t>
            </w:r>
          </w:p>
        </w:tc>
        <w:tc>
          <w:tcPr>
            <w:tcW w:w="0" w:type="auto"/>
            <w:vAlign w:val="center"/>
            <w:hideMark/>
          </w:tcPr>
          <w:p w14:paraId="1927B6AB"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T-cell terminal differentiation/senescence</w:t>
            </w:r>
          </w:p>
        </w:tc>
        <w:tc>
          <w:tcPr>
            <w:tcW w:w="0" w:type="auto"/>
            <w:vAlign w:val="center"/>
            <w:hideMark/>
          </w:tcPr>
          <w:p w14:paraId="2397735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Z-score</w:t>
            </w:r>
          </w:p>
        </w:tc>
        <w:tc>
          <w:tcPr>
            <w:tcW w:w="0" w:type="auto"/>
            <w:vAlign w:val="center"/>
            <w:hideMark/>
          </w:tcPr>
          <w:p w14:paraId="042FF4C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0.33</w:t>
            </w:r>
          </w:p>
        </w:tc>
      </w:tr>
      <w:tr w:rsidR="00AE5A5F" w:rsidRPr="00A6636A" w14:paraId="1BEA9F00" w14:textId="77777777" w:rsidTr="00993A21">
        <w:trPr>
          <w:tblCellSpacing w:w="15" w:type="dxa"/>
        </w:trPr>
        <w:tc>
          <w:tcPr>
            <w:tcW w:w="0" w:type="auto"/>
            <w:vAlign w:val="center"/>
            <w:hideMark/>
          </w:tcPr>
          <w:p w14:paraId="1110AE79"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IL-6</w:t>
            </w:r>
          </w:p>
        </w:tc>
        <w:tc>
          <w:tcPr>
            <w:tcW w:w="0" w:type="auto"/>
            <w:vAlign w:val="center"/>
            <w:hideMark/>
          </w:tcPr>
          <w:p w14:paraId="48020C4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Systemic inflammation / inflammaging</w:t>
            </w:r>
          </w:p>
        </w:tc>
        <w:tc>
          <w:tcPr>
            <w:tcW w:w="0" w:type="auto"/>
            <w:vAlign w:val="center"/>
            <w:hideMark/>
          </w:tcPr>
          <w:p w14:paraId="119D1194"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log10 transformation + Z-score</w:t>
            </w:r>
          </w:p>
        </w:tc>
        <w:tc>
          <w:tcPr>
            <w:tcW w:w="0" w:type="auto"/>
            <w:vAlign w:val="center"/>
            <w:hideMark/>
          </w:tcPr>
          <w:p w14:paraId="51B806D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0.47</w:t>
            </w:r>
          </w:p>
        </w:tc>
      </w:tr>
    </w:tbl>
    <w:p w14:paraId="6E4BD742" w14:textId="77777777" w:rsidR="0052712C" w:rsidRPr="00A6636A" w:rsidRDefault="0052712C" w:rsidP="00A6636A">
      <w:pPr>
        <w:pStyle w:val="af2"/>
        <w:spacing w:before="0" w:beforeAutospacing="0" w:after="0" w:afterAutospacing="0"/>
        <w:rPr>
          <w:rFonts w:ascii="Times New Roman" w:hAnsi="Times New Roman" w:cs="Times New Roman"/>
          <w:sz w:val="22"/>
          <w:szCs w:val="22"/>
        </w:rPr>
      </w:pPr>
      <w:r w:rsidRPr="00A6636A">
        <w:rPr>
          <w:rStyle w:val="af3"/>
          <w:rFonts w:ascii="Times New Roman" w:hAnsi="Times New Roman" w:cs="Times New Roman"/>
          <w:sz w:val="22"/>
          <w:szCs w:val="22"/>
        </w:rPr>
        <w:t xml:space="preserve">Note: Only these three biologically prespecified biomarkers were entered into the LASSO model. No clinical variables, CRP, PCT, or outcome variables were included. Coefficients were not refitted after selection. The raw IAS was calculated as a weighted sum of standardized biomarkers: Raw IAS = 0.38 × </w:t>
      </w:r>
      <w:proofErr w:type="gramStart"/>
      <w:r w:rsidRPr="00A6636A">
        <w:rPr>
          <w:rStyle w:val="af3"/>
          <w:rFonts w:ascii="Times New Roman" w:hAnsi="Times New Roman" w:cs="Times New Roman"/>
          <w:sz w:val="22"/>
          <w:szCs w:val="22"/>
        </w:rPr>
        <w:t>Z(</w:t>
      </w:r>
      <w:proofErr w:type="gramEnd"/>
      <w:r w:rsidRPr="00A6636A">
        <w:rPr>
          <w:rStyle w:val="af3"/>
          <w:rFonts w:ascii="Times New Roman" w:hAnsi="Times New Roman" w:cs="Times New Roman"/>
          <w:sz w:val="22"/>
          <w:szCs w:val="22"/>
        </w:rPr>
        <w:t xml:space="preserve">PD-1⁺CD4⁺ T cells) + 0.33 </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 xml:space="preserve"> </w:t>
      </w:r>
      <w:proofErr w:type="gramStart"/>
      <w:r w:rsidRPr="00A6636A">
        <w:rPr>
          <w:rStyle w:val="af3"/>
          <w:rFonts w:ascii="Times New Roman" w:hAnsi="Times New Roman" w:cs="Times New Roman"/>
          <w:sz w:val="22"/>
          <w:szCs w:val="22"/>
        </w:rPr>
        <w:t>Z(</w:t>
      </w:r>
      <w:proofErr w:type="gramEnd"/>
      <w:r w:rsidRPr="00A6636A">
        <w:rPr>
          <w:rStyle w:val="af3"/>
          <w:rFonts w:ascii="Times New Roman" w:hAnsi="Times New Roman" w:cs="Times New Roman"/>
          <w:sz w:val="22"/>
          <w:szCs w:val="22"/>
        </w:rPr>
        <w:t xml:space="preserve">CD28⁻CD8⁺ T cells) + 0.47 </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 xml:space="preserve"> Z(log₁₀IL-6). For clinical interpretability and to avoid </w:t>
      </w:r>
      <w:r w:rsidRPr="00A6636A">
        <w:rPr>
          <w:rStyle w:val="af3"/>
          <w:rFonts w:ascii="Times New Roman" w:hAnsi="Times New Roman" w:cs="Times New Roman"/>
          <w:sz w:val="22"/>
          <w:szCs w:val="22"/>
        </w:rPr>
        <w:lastRenderedPageBreak/>
        <w:t>negative values, the raw IAS was linearly rescaled to a 0</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10 scale using min</w:t>
      </w:r>
      <w:r w:rsidRPr="00A6636A">
        <w:rPr>
          <w:rStyle w:val="af3"/>
          <w:rFonts w:ascii="Times New Roman" w:eastAsia="等线" w:hAnsi="Times New Roman" w:cs="Times New Roman"/>
          <w:sz w:val="22"/>
          <w:szCs w:val="22"/>
        </w:rPr>
        <w:t>–</w:t>
      </w:r>
      <w:r w:rsidRPr="00A6636A">
        <w:rPr>
          <w:rStyle w:val="af3"/>
          <w:rFonts w:ascii="Times New Roman" w:hAnsi="Times New Roman" w:cs="Times New Roman"/>
          <w:sz w:val="22"/>
          <w:szCs w:val="22"/>
        </w:rPr>
        <w:t>max normalization based on the derivation cohort. The high-versus-low IAS threshold of 5.30 was determined from the rescaled IAS using ROC analysis for 90-day all-cause mortality with the Youden index and was applied unchanged to all subsequent analyses, including external validation.</w:t>
      </w:r>
    </w:p>
    <w:p w14:paraId="7C75D49E" w14:textId="4D99A169" w:rsidR="00AE5A5F" w:rsidRPr="00A6636A" w:rsidRDefault="00AE5A5F" w:rsidP="00A6636A">
      <w:pPr>
        <w:pStyle w:val="af2"/>
        <w:spacing w:before="0" w:beforeAutospacing="0" w:after="0" w:afterAutospacing="0"/>
        <w:rPr>
          <w:rFonts w:ascii="Times New Roman" w:hAnsi="Times New Roman" w:cs="Times New Roman"/>
          <w:sz w:val="22"/>
          <w:szCs w:val="22"/>
        </w:rPr>
      </w:pPr>
    </w:p>
    <w:p w14:paraId="1A095F6B" w14:textId="02C712CA" w:rsidR="00BA6400" w:rsidRPr="002E51ED" w:rsidRDefault="00BA6400"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hAnsi="Times New Roman" w:cs="Times New Roman"/>
          <w:szCs w:val="22"/>
        </w:rPr>
        <w:t>Supplementary Table S</w:t>
      </w:r>
      <w:r w:rsidR="00BE3BA2" w:rsidRPr="00A6636A">
        <w:rPr>
          <w:rFonts w:ascii="Times New Roman" w:hAnsi="Times New Roman" w:cs="Times New Roman"/>
          <w:szCs w:val="22"/>
        </w:rPr>
        <w:t>3</w:t>
      </w:r>
      <w:r w:rsidRPr="00A6636A">
        <w:rPr>
          <w:rFonts w:ascii="Times New Roman" w:hAnsi="Times New Roman" w:cs="Times New Roman"/>
          <w:szCs w:val="22"/>
        </w:rPr>
        <w:t xml:space="preserve">. </w:t>
      </w:r>
      <w:r w:rsidR="002E51ED" w:rsidRPr="002E51ED">
        <w:rPr>
          <w:rFonts w:ascii="Times New Roman" w:hAnsi="Times New Roman" w:cs="Times New Roman"/>
          <w:b/>
          <w:bCs/>
        </w:rPr>
        <w:t>Baseline Characteristics of the Derivation and External Validation Cohorts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201"/>
        <w:gridCol w:w="2183"/>
        <w:gridCol w:w="2171"/>
        <w:gridCol w:w="741"/>
      </w:tblGrid>
      <w:tr w:rsidR="00BA6400" w:rsidRPr="00A6636A" w14:paraId="218C6834" w14:textId="77777777" w:rsidTr="00B54374">
        <w:trPr>
          <w:tblHeader/>
          <w:tblCellSpacing w:w="15" w:type="dxa"/>
        </w:trPr>
        <w:tc>
          <w:tcPr>
            <w:tcW w:w="0" w:type="auto"/>
            <w:vAlign w:val="center"/>
            <w:hideMark/>
          </w:tcPr>
          <w:p w14:paraId="749E42CA"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Variable</w:t>
            </w:r>
          </w:p>
        </w:tc>
        <w:tc>
          <w:tcPr>
            <w:tcW w:w="0" w:type="auto"/>
            <w:vAlign w:val="center"/>
            <w:hideMark/>
          </w:tcPr>
          <w:p w14:paraId="7675450D"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Derivation cohort (n=219)</w:t>
            </w:r>
          </w:p>
        </w:tc>
        <w:tc>
          <w:tcPr>
            <w:tcW w:w="0" w:type="auto"/>
            <w:vAlign w:val="center"/>
            <w:hideMark/>
          </w:tcPr>
          <w:p w14:paraId="0BE705BA"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Validation cohort (n=136)</w:t>
            </w:r>
          </w:p>
        </w:tc>
        <w:tc>
          <w:tcPr>
            <w:tcW w:w="0" w:type="auto"/>
            <w:vAlign w:val="center"/>
            <w:hideMark/>
          </w:tcPr>
          <w:p w14:paraId="38D369BE" w14:textId="77777777" w:rsidR="00BA6400" w:rsidRPr="00A6636A" w:rsidRDefault="00BA6400"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P value</w:t>
            </w:r>
          </w:p>
        </w:tc>
      </w:tr>
      <w:tr w:rsidR="00BA6400" w:rsidRPr="00A6636A" w14:paraId="0E269929" w14:textId="77777777" w:rsidTr="00B54374">
        <w:trPr>
          <w:tblCellSpacing w:w="15" w:type="dxa"/>
        </w:trPr>
        <w:tc>
          <w:tcPr>
            <w:tcW w:w="0" w:type="auto"/>
            <w:vAlign w:val="center"/>
            <w:hideMark/>
          </w:tcPr>
          <w:p w14:paraId="228665F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Age (years), mean ± SD</w:t>
            </w:r>
          </w:p>
        </w:tc>
        <w:tc>
          <w:tcPr>
            <w:tcW w:w="0" w:type="auto"/>
            <w:vAlign w:val="center"/>
            <w:hideMark/>
          </w:tcPr>
          <w:p w14:paraId="19035F3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72.7 ± 6.2</w:t>
            </w:r>
          </w:p>
        </w:tc>
        <w:tc>
          <w:tcPr>
            <w:tcW w:w="0" w:type="auto"/>
            <w:vAlign w:val="center"/>
            <w:hideMark/>
          </w:tcPr>
          <w:p w14:paraId="3169C08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73.4 ± 7.1</w:t>
            </w:r>
          </w:p>
        </w:tc>
        <w:tc>
          <w:tcPr>
            <w:tcW w:w="0" w:type="auto"/>
            <w:vAlign w:val="center"/>
            <w:hideMark/>
          </w:tcPr>
          <w:p w14:paraId="410C4101"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0.344</w:t>
            </w:r>
          </w:p>
        </w:tc>
      </w:tr>
      <w:tr w:rsidR="00BA6400" w:rsidRPr="00A6636A" w14:paraId="089CDAF6" w14:textId="77777777" w:rsidTr="00B54374">
        <w:trPr>
          <w:tblCellSpacing w:w="15" w:type="dxa"/>
        </w:trPr>
        <w:tc>
          <w:tcPr>
            <w:tcW w:w="0" w:type="auto"/>
            <w:vAlign w:val="center"/>
            <w:hideMark/>
          </w:tcPr>
          <w:p w14:paraId="79CE6C8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Male, n (%)</w:t>
            </w:r>
          </w:p>
        </w:tc>
        <w:tc>
          <w:tcPr>
            <w:tcW w:w="0" w:type="auto"/>
            <w:vAlign w:val="center"/>
            <w:hideMark/>
          </w:tcPr>
          <w:p w14:paraId="7F27089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150 (68.5)</w:t>
            </w:r>
          </w:p>
        </w:tc>
        <w:tc>
          <w:tcPr>
            <w:tcW w:w="0" w:type="auto"/>
            <w:vAlign w:val="center"/>
            <w:hideMark/>
          </w:tcPr>
          <w:p w14:paraId="178202B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89 (65.4)</w:t>
            </w:r>
          </w:p>
        </w:tc>
        <w:tc>
          <w:tcPr>
            <w:tcW w:w="0" w:type="auto"/>
            <w:vAlign w:val="center"/>
            <w:hideMark/>
          </w:tcPr>
          <w:p w14:paraId="71B0042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0.551</w:t>
            </w:r>
          </w:p>
        </w:tc>
      </w:tr>
      <w:tr w:rsidR="00BA6400" w:rsidRPr="00A6636A" w14:paraId="632376A6" w14:textId="77777777" w:rsidTr="00B54374">
        <w:trPr>
          <w:tblCellSpacing w:w="15" w:type="dxa"/>
        </w:trPr>
        <w:tc>
          <w:tcPr>
            <w:tcW w:w="0" w:type="auto"/>
            <w:vAlign w:val="center"/>
            <w:hideMark/>
          </w:tcPr>
          <w:p w14:paraId="0488D43B"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Smoking history, n (%)</w:t>
            </w:r>
          </w:p>
        </w:tc>
        <w:tc>
          <w:tcPr>
            <w:tcW w:w="0" w:type="auto"/>
            <w:vAlign w:val="center"/>
            <w:hideMark/>
          </w:tcPr>
          <w:p w14:paraId="10428C2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126 (57.5)</w:t>
            </w:r>
          </w:p>
        </w:tc>
        <w:tc>
          <w:tcPr>
            <w:tcW w:w="0" w:type="auto"/>
            <w:vAlign w:val="center"/>
            <w:hideMark/>
          </w:tcPr>
          <w:p w14:paraId="6406F71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75 (55.1)</w:t>
            </w:r>
          </w:p>
        </w:tc>
        <w:tc>
          <w:tcPr>
            <w:tcW w:w="0" w:type="auto"/>
            <w:vAlign w:val="center"/>
            <w:hideMark/>
          </w:tcPr>
          <w:p w14:paraId="7A4278D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0.659</w:t>
            </w:r>
          </w:p>
        </w:tc>
      </w:tr>
      <w:tr w:rsidR="00BA6400" w:rsidRPr="00A6636A" w14:paraId="37AFDDCF" w14:textId="77777777" w:rsidTr="00B54374">
        <w:trPr>
          <w:tblCellSpacing w:w="15" w:type="dxa"/>
        </w:trPr>
        <w:tc>
          <w:tcPr>
            <w:tcW w:w="0" w:type="auto"/>
            <w:vAlign w:val="center"/>
            <w:hideMark/>
          </w:tcPr>
          <w:p w14:paraId="628B9957"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Chronic heart failure comorbidity, n (%)</w:t>
            </w:r>
          </w:p>
        </w:tc>
        <w:tc>
          <w:tcPr>
            <w:tcW w:w="0" w:type="auto"/>
            <w:vAlign w:val="center"/>
            <w:hideMark/>
          </w:tcPr>
          <w:p w14:paraId="2086930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73 (33.3)</w:t>
            </w:r>
          </w:p>
        </w:tc>
        <w:tc>
          <w:tcPr>
            <w:tcW w:w="0" w:type="auto"/>
            <w:vAlign w:val="center"/>
            <w:hideMark/>
          </w:tcPr>
          <w:p w14:paraId="65C3F12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36 (26.5)</w:t>
            </w:r>
          </w:p>
        </w:tc>
        <w:tc>
          <w:tcPr>
            <w:tcW w:w="0" w:type="auto"/>
            <w:vAlign w:val="center"/>
            <w:hideMark/>
          </w:tcPr>
          <w:p w14:paraId="29081F92"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0.173</w:t>
            </w:r>
          </w:p>
        </w:tc>
      </w:tr>
      <w:tr w:rsidR="00BA6400" w:rsidRPr="00A6636A" w14:paraId="3CFAA81C" w14:textId="77777777" w:rsidTr="00B54374">
        <w:trPr>
          <w:tblCellSpacing w:w="15" w:type="dxa"/>
        </w:trPr>
        <w:tc>
          <w:tcPr>
            <w:tcW w:w="0" w:type="auto"/>
            <w:vAlign w:val="center"/>
            <w:hideMark/>
          </w:tcPr>
          <w:p w14:paraId="70DD29C2"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CRP (mg/L), median (IQR)</w:t>
            </w:r>
          </w:p>
        </w:tc>
        <w:tc>
          <w:tcPr>
            <w:tcW w:w="0" w:type="auto"/>
            <w:vAlign w:val="center"/>
            <w:hideMark/>
          </w:tcPr>
          <w:p w14:paraId="6F97F65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56.7 (32.6–78.9)</w:t>
            </w:r>
          </w:p>
        </w:tc>
        <w:tc>
          <w:tcPr>
            <w:tcW w:w="0" w:type="auto"/>
            <w:vAlign w:val="center"/>
            <w:hideMark/>
          </w:tcPr>
          <w:p w14:paraId="33D1E24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61.2 (34.6–80.3)</w:t>
            </w:r>
          </w:p>
        </w:tc>
        <w:tc>
          <w:tcPr>
            <w:tcW w:w="0" w:type="auto"/>
            <w:vAlign w:val="center"/>
            <w:hideMark/>
          </w:tcPr>
          <w:p w14:paraId="15E2E86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0.541</w:t>
            </w:r>
          </w:p>
        </w:tc>
      </w:tr>
      <w:tr w:rsidR="00BA6400" w:rsidRPr="00A6636A" w14:paraId="6F3F7159" w14:textId="77777777" w:rsidTr="00B54374">
        <w:trPr>
          <w:tblCellSpacing w:w="15" w:type="dxa"/>
        </w:trPr>
        <w:tc>
          <w:tcPr>
            <w:tcW w:w="0" w:type="auto"/>
            <w:vAlign w:val="center"/>
            <w:hideMark/>
          </w:tcPr>
          <w:p w14:paraId="77101B3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PCT (ng/mL), median (IQR)</w:t>
            </w:r>
          </w:p>
        </w:tc>
        <w:tc>
          <w:tcPr>
            <w:tcW w:w="0" w:type="auto"/>
            <w:vAlign w:val="center"/>
            <w:hideMark/>
          </w:tcPr>
          <w:p w14:paraId="3FF07C59"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5.62 (3.81–6.35)</w:t>
            </w:r>
          </w:p>
        </w:tc>
        <w:tc>
          <w:tcPr>
            <w:tcW w:w="0" w:type="auto"/>
            <w:vAlign w:val="center"/>
            <w:hideMark/>
          </w:tcPr>
          <w:p w14:paraId="07DF2FE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5.01 (3.65–5.90)</w:t>
            </w:r>
          </w:p>
        </w:tc>
        <w:tc>
          <w:tcPr>
            <w:tcW w:w="0" w:type="auto"/>
            <w:vAlign w:val="center"/>
            <w:hideMark/>
          </w:tcPr>
          <w:p w14:paraId="183CCAD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0.425</w:t>
            </w:r>
          </w:p>
        </w:tc>
      </w:tr>
      <w:tr w:rsidR="00BA6400" w:rsidRPr="00A6636A" w14:paraId="5D0D5384" w14:textId="77777777" w:rsidTr="00B54374">
        <w:trPr>
          <w:tblCellSpacing w:w="15" w:type="dxa"/>
        </w:trPr>
        <w:tc>
          <w:tcPr>
            <w:tcW w:w="0" w:type="auto"/>
            <w:vAlign w:val="center"/>
            <w:hideMark/>
          </w:tcPr>
          <w:p w14:paraId="6FEC673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IL-6 (</w:t>
            </w:r>
            <w:proofErr w:type="spellStart"/>
            <w:r w:rsidRPr="00A6636A">
              <w:rPr>
                <w:rFonts w:ascii="Times New Roman" w:eastAsia="宋体" w:hAnsi="Times New Roman" w:cs="Times New Roman"/>
                <w:kern w:val="0"/>
                <w:szCs w:val="22"/>
                <w14:ligatures w14:val="none"/>
              </w:rPr>
              <w:t>pg</w:t>
            </w:r>
            <w:proofErr w:type="spellEnd"/>
            <w:r w:rsidRPr="00A6636A">
              <w:rPr>
                <w:rFonts w:ascii="Times New Roman" w:eastAsia="宋体" w:hAnsi="Times New Roman" w:cs="Times New Roman"/>
                <w:kern w:val="0"/>
                <w:szCs w:val="22"/>
                <w14:ligatures w14:val="none"/>
              </w:rPr>
              <w:t>/mL), median (IQR)</w:t>
            </w:r>
          </w:p>
        </w:tc>
        <w:tc>
          <w:tcPr>
            <w:tcW w:w="0" w:type="auto"/>
            <w:vAlign w:val="center"/>
            <w:hideMark/>
          </w:tcPr>
          <w:p w14:paraId="5B402A1A"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127.6 (98.5–172.5)</w:t>
            </w:r>
          </w:p>
        </w:tc>
        <w:tc>
          <w:tcPr>
            <w:tcW w:w="0" w:type="auto"/>
            <w:vAlign w:val="center"/>
            <w:hideMark/>
          </w:tcPr>
          <w:p w14:paraId="479C1D2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130.1 (86.7–181.2)</w:t>
            </w:r>
          </w:p>
        </w:tc>
        <w:tc>
          <w:tcPr>
            <w:tcW w:w="0" w:type="auto"/>
            <w:vAlign w:val="center"/>
            <w:hideMark/>
          </w:tcPr>
          <w:p w14:paraId="4B176F15"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0.678</w:t>
            </w:r>
          </w:p>
        </w:tc>
      </w:tr>
      <w:tr w:rsidR="00BA6400" w:rsidRPr="00A6636A" w14:paraId="466916CA" w14:textId="77777777" w:rsidTr="00B54374">
        <w:trPr>
          <w:tblCellSpacing w:w="15" w:type="dxa"/>
        </w:trPr>
        <w:tc>
          <w:tcPr>
            <w:tcW w:w="0" w:type="auto"/>
            <w:vAlign w:val="center"/>
            <w:hideMark/>
          </w:tcPr>
          <w:p w14:paraId="6349D57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CD28⁻CD8⁺ T cells (%), mean ± SD</w:t>
            </w:r>
          </w:p>
        </w:tc>
        <w:tc>
          <w:tcPr>
            <w:tcW w:w="0" w:type="auto"/>
            <w:vAlign w:val="center"/>
            <w:hideMark/>
          </w:tcPr>
          <w:p w14:paraId="228EAF9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35.7 ± 11.8</w:t>
            </w:r>
          </w:p>
        </w:tc>
        <w:tc>
          <w:tcPr>
            <w:tcW w:w="0" w:type="auto"/>
            <w:vAlign w:val="center"/>
            <w:hideMark/>
          </w:tcPr>
          <w:p w14:paraId="56F1FAC8"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37.6 ± 10.1</w:t>
            </w:r>
          </w:p>
        </w:tc>
        <w:tc>
          <w:tcPr>
            <w:tcW w:w="0" w:type="auto"/>
            <w:vAlign w:val="center"/>
            <w:hideMark/>
          </w:tcPr>
          <w:p w14:paraId="1C2EB1D6"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0.108</w:t>
            </w:r>
          </w:p>
        </w:tc>
      </w:tr>
      <w:tr w:rsidR="00BA6400" w:rsidRPr="00A6636A" w14:paraId="1070E425" w14:textId="77777777" w:rsidTr="00B54374">
        <w:trPr>
          <w:tblCellSpacing w:w="15" w:type="dxa"/>
        </w:trPr>
        <w:tc>
          <w:tcPr>
            <w:tcW w:w="0" w:type="auto"/>
            <w:vAlign w:val="center"/>
            <w:hideMark/>
          </w:tcPr>
          <w:p w14:paraId="489C182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PD-1⁺CD4⁺ T cells (%), mean ± SD</w:t>
            </w:r>
          </w:p>
        </w:tc>
        <w:tc>
          <w:tcPr>
            <w:tcW w:w="0" w:type="auto"/>
            <w:vAlign w:val="center"/>
            <w:hideMark/>
          </w:tcPr>
          <w:p w14:paraId="27566E2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16.0 ± 5.6</w:t>
            </w:r>
          </w:p>
        </w:tc>
        <w:tc>
          <w:tcPr>
            <w:tcW w:w="0" w:type="auto"/>
            <w:vAlign w:val="center"/>
            <w:hideMark/>
          </w:tcPr>
          <w:p w14:paraId="39CD731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15.2 ± 6.0</w:t>
            </w:r>
          </w:p>
        </w:tc>
        <w:tc>
          <w:tcPr>
            <w:tcW w:w="0" w:type="auto"/>
            <w:vAlign w:val="center"/>
            <w:hideMark/>
          </w:tcPr>
          <w:p w14:paraId="19C407EE"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0.211</w:t>
            </w:r>
          </w:p>
        </w:tc>
      </w:tr>
      <w:tr w:rsidR="00BA6400" w:rsidRPr="00A6636A" w14:paraId="2A83212E" w14:textId="77777777" w:rsidTr="00B54374">
        <w:trPr>
          <w:tblCellSpacing w:w="15" w:type="dxa"/>
        </w:trPr>
        <w:tc>
          <w:tcPr>
            <w:tcW w:w="0" w:type="auto"/>
            <w:vAlign w:val="center"/>
            <w:hideMark/>
          </w:tcPr>
          <w:p w14:paraId="55ED1923"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CD4⁺/CD8⁺ ratio, mean ± SD</w:t>
            </w:r>
          </w:p>
        </w:tc>
        <w:tc>
          <w:tcPr>
            <w:tcW w:w="0" w:type="auto"/>
            <w:vAlign w:val="center"/>
            <w:hideMark/>
          </w:tcPr>
          <w:p w14:paraId="03EA2850"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1.43 ± 0.56</w:t>
            </w:r>
          </w:p>
        </w:tc>
        <w:tc>
          <w:tcPr>
            <w:tcW w:w="0" w:type="auto"/>
            <w:vAlign w:val="center"/>
            <w:hideMark/>
          </w:tcPr>
          <w:p w14:paraId="49193B4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1.40 ± 0.51</w:t>
            </w:r>
          </w:p>
        </w:tc>
        <w:tc>
          <w:tcPr>
            <w:tcW w:w="0" w:type="auto"/>
            <w:vAlign w:val="center"/>
            <w:hideMark/>
          </w:tcPr>
          <w:p w14:paraId="6805330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0.604</w:t>
            </w:r>
          </w:p>
        </w:tc>
      </w:tr>
      <w:tr w:rsidR="00BA6400" w:rsidRPr="00A6636A" w14:paraId="59B86508" w14:textId="77777777" w:rsidTr="00B54374">
        <w:trPr>
          <w:tblCellSpacing w:w="15" w:type="dxa"/>
        </w:trPr>
        <w:tc>
          <w:tcPr>
            <w:tcW w:w="0" w:type="auto"/>
            <w:vAlign w:val="center"/>
            <w:hideMark/>
          </w:tcPr>
          <w:p w14:paraId="039CBDC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NLR, mean ± SD</w:t>
            </w:r>
          </w:p>
        </w:tc>
        <w:tc>
          <w:tcPr>
            <w:tcW w:w="0" w:type="auto"/>
            <w:vAlign w:val="center"/>
            <w:hideMark/>
          </w:tcPr>
          <w:p w14:paraId="2F2A1E04"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4.74 ± 2.26</w:t>
            </w:r>
          </w:p>
        </w:tc>
        <w:tc>
          <w:tcPr>
            <w:tcW w:w="0" w:type="auto"/>
            <w:vAlign w:val="center"/>
            <w:hideMark/>
          </w:tcPr>
          <w:p w14:paraId="7DCE504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4.81 ± 2.32</w:t>
            </w:r>
          </w:p>
        </w:tc>
        <w:tc>
          <w:tcPr>
            <w:tcW w:w="0" w:type="auto"/>
            <w:vAlign w:val="center"/>
            <w:hideMark/>
          </w:tcPr>
          <w:p w14:paraId="6EEB736F"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0.780</w:t>
            </w:r>
          </w:p>
        </w:tc>
      </w:tr>
      <w:tr w:rsidR="00BA6400" w:rsidRPr="00A6636A" w14:paraId="6A02D3D6" w14:textId="77777777" w:rsidTr="00B54374">
        <w:trPr>
          <w:tblCellSpacing w:w="15" w:type="dxa"/>
        </w:trPr>
        <w:tc>
          <w:tcPr>
            <w:tcW w:w="0" w:type="auto"/>
            <w:vAlign w:val="center"/>
            <w:hideMark/>
          </w:tcPr>
          <w:p w14:paraId="1208B98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Length of hospital stay (days), mean ± SD</w:t>
            </w:r>
          </w:p>
        </w:tc>
        <w:tc>
          <w:tcPr>
            <w:tcW w:w="0" w:type="auto"/>
            <w:vAlign w:val="center"/>
            <w:hideMark/>
          </w:tcPr>
          <w:p w14:paraId="73C3214C"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10.4 ± 4.1</w:t>
            </w:r>
          </w:p>
        </w:tc>
        <w:tc>
          <w:tcPr>
            <w:tcW w:w="0" w:type="auto"/>
            <w:vAlign w:val="center"/>
            <w:hideMark/>
          </w:tcPr>
          <w:p w14:paraId="1FE160F7"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10.3 ± 4.4</w:t>
            </w:r>
          </w:p>
        </w:tc>
        <w:tc>
          <w:tcPr>
            <w:tcW w:w="0" w:type="auto"/>
            <w:vAlign w:val="center"/>
            <w:hideMark/>
          </w:tcPr>
          <w:p w14:paraId="24519D0D" w14:textId="77777777" w:rsidR="00BA6400" w:rsidRPr="00A6636A" w:rsidRDefault="00BA6400"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0.831</w:t>
            </w:r>
          </w:p>
        </w:tc>
      </w:tr>
    </w:tbl>
    <w:p w14:paraId="0985A9F6" w14:textId="77777777" w:rsidR="00BA6400" w:rsidRPr="00A6636A" w:rsidRDefault="00BA6400" w:rsidP="00A6636A">
      <w:pPr>
        <w:spacing w:after="0" w:line="240" w:lineRule="auto"/>
        <w:rPr>
          <w:rFonts w:ascii="Times New Roman" w:hAnsi="Times New Roman" w:cs="Times New Roman"/>
          <w:szCs w:val="22"/>
        </w:rPr>
      </w:pPr>
      <w:r w:rsidRPr="00A6636A">
        <w:rPr>
          <w:rFonts w:ascii="Times New Roman" w:hAnsi="Times New Roman" w:cs="Times New Roman"/>
          <w:szCs w:val="22"/>
        </w:rPr>
        <w:t>Continuous variables are presented as mean ± standard deviation (SD) or median (interquartile range, IQR), as appropriate. Categorical variables are presented as number (percentage). Comparisons between groups were performed using Student’s t-test or Mann–Whitney U test for continuous variables and χ² test for categorical variables.</w:t>
      </w:r>
    </w:p>
    <w:p w14:paraId="3FEA7979" w14:textId="77777777" w:rsidR="00BA6400" w:rsidRPr="00A6636A" w:rsidRDefault="00BA6400" w:rsidP="00A6636A">
      <w:pPr>
        <w:spacing w:after="0" w:line="240" w:lineRule="auto"/>
        <w:rPr>
          <w:rFonts w:ascii="Times New Roman" w:eastAsia="宋体" w:hAnsi="Times New Roman" w:cs="Times New Roman"/>
          <w:b/>
          <w:bCs/>
          <w:kern w:val="36"/>
          <w:szCs w:val="22"/>
          <w14:ligatures w14:val="none"/>
        </w:rPr>
      </w:pPr>
    </w:p>
    <w:p w14:paraId="54FF2E0B" w14:textId="77777777" w:rsidR="00B844A4" w:rsidRPr="00A6636A"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0C3CC628" w14:textId="77777777" w:rsidR="00B844A4" w:rsidRPr="00A6636A"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6A4EC83A" w14:textId="77777777" w:rsidR="00B844A4" w:rsidRDefault="00B844A4" w:rsidP="00A6636A">
      <w:pPr>
        <w:widowControl/>
        <w:spacing w:after="0" w:line="240" w:lineRule="auto"/>
        <w:outlineLvl w:val="2"/>
        <w:rPr>
          <w:rFonts w:ascii="Times New Roman" w:eastAsia="宋体" w:hAnsi="Times New Roman" w:cs="Times New Roman"/>
          <w:b/>
          <w:bCs/>
          <w:kern w:val="0"/>
          <w:szCs w:val="22"/>
          <w14:ligatures w14:val="none"/>
        </w:rPr>
      </w:pPr>
    </w:p>
    <w:p w14:paraId="03194131"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7E9E9448"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6447B3C1" w14:textId="77777777" w:rsid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66E3093B" w14:textId="77777777" w:rsidR="00A6636A" w:rsidRPr="00A6636A" w:rsidRDefault="00A6636A" w:rsidP="00A6636A">
      <w:pPr>
        <w:widowControl/>
        <w:spacing w:after="0" w:line="240" w:lineRule="auto"/>
        <w:outlineLvl w:val="2"/>
        <w:rPr>
          <w:rFonts w:ascii="Times New Roman" w:eastAsia="宋体" w:hAnsi="Times New Roman" w:cs="Times New Roman"/>
          <w:b/>
          <w:bCs/>
          <w:kern w:val="0"/>
          <w:szCs w:val="22"/>
          <w14:ligatures w14:val="none"/>
        </w:rPr>
      </w:pPr>
    </w:p>
    <w:p w14:paraId="5E77186D" w14:textId="77777777" w:rsidR="005744BD" w:rsidRPr="00A6636A" w:rsidRDefault="005744BD" w:rsidP="00A6636A">
      <w:pPr>
        <w:widowControl/>
        <w:spacing w:after="0" w:line="240" w:lineRule="auto"/>
        <w:outlineLvl w:val="2"/>
        <w:rPr>
          <w:rFonts w:ascii="Times New Roman" w:eastAsia="宋体" w:hAnsi="Times New Roman" w:cs="Times New Roman"/>
          <w:b/>
          <w:bCs/>
          <w:kern w:val="0"/>
          <w:szCs w:val="22"/>
          <w14:ligatures w14:val="none"/>
        </w:rPr>
      </w:pPr>
    </w:p>
    <w:p w14:paraId="480C799A" w14:textId="25B41915" w:rsidR="00AE5A5F" w:rsidRPr="002E51ED" w:rsidRDefault="00AE5A5F" w:rsidP="00A6636A">
      <w:pPr>
        <w:widowControl/>
        <w:spacing w:after="0" w:line="240" w:lineRule="auto"/>
        <w:outlineLvl w:val="2"/>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lastRenderedPageBreak/>
        <w:t>Supplementary Table S4.</w:t>
      </w:r>
      <w:r w:rsidRPr="002E51ED">
        <w:rPr>
          <w:rFonts w:ascii="Times New Roman" w:eastAsia="宋体" w:hAnsi="Times New Roman" w:cs="Times New Roman"/>
          <w:b/>
          <w:bCs/>
          <w:kern w:val="0"/>
          <w:szCs w:val="22"/>
          <w14:ligatures w14:val="none"/>
        </w:rPr>
        <w:t xml:space="preserve"> </w:t>
      </w:r>
      <w:r w:rsidR="002E51ED" w:rsidRPr="002E51ED">
        <w:rPr>
          <w:rFonts w:ascii="Times New Roman" w:hAnsi="Times New Roman" w:cs="Times New Roman"/>
          <w:b/>
          <w:bCs/>
        </w:rPr>
        <w:t>Clinical Outcome Event Counts in the Derivation and External Validation Cohorts</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755"/>
        <w:gridCol w:w="2418"/>
        <w:gridCol w:w="3123"/>
      </w:tblGrid>
      <w:tr w:rsidR="00AE5A5F" w:rsidRPr="00A6636A" w14:paraId="65A4AB09" w14:textId="77777777" w:rsidTr="00AE5A5F">
        <w:trPr>
          <w:tblHeader/>
          <w:tblCellSpacing w:w="15" w:type="dxa"/>
        </w:trPr>
        <w:tc>
          <w:tcPr>
            <w:tcW w:w="0" w:type="auto"/>
            <w:vAlign w:val="center"/>
            <w:hideMark/>
          </w:tcPr>
          <w:p w14:paraId="21A1E064"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Outcome</w:t>
            </w:r>
          </w:p>
        </w:tc>
        <w:tc>
          <w:tcPr>
            <w:tcW w:w="0" w:type="auto"/>
            <w:vAlign w:val="center"/>
            <w:hideMark/>
          </w:tcPr>
          <w:p w14:paraId="5A2A0ED4"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Derivation cohort (n = 219)</w:t>
            </w:r>
          </w:p>
        </w:tc>
        <w:tc>
          <w:tcPr>
            <w:tcW w:w="0" w:type="auto"/>
            <w:vAlign w:val="center"/>
            <w:hideMark/>
          </w:tcPr>
          <w:p w14:paraId="1A87C531" w14:textId="77777777" w:rsidR="00AE5A5F" w:rsidRPr="00A6636A" w:rsidRDefault="00AE5A5F" w:rsidP="00A6636A">
            <w:pPr>
              <w:widowControl/>
              <w:spacing w:after="0" w:line="240" w:lineRule="auto"/>
              <w:jc w:val="center"/>
              <w:rPr>
                <w:rFonts w:ascii="Times New Roman" w:eastAsia="宋体" w:hAnsi="Times New Roman" w:cs="Times New Roman"/>
                <w:b/>
                <w:bCs/>
                <w:kern w:val="0"/>
                <w:szCs w:val="22"/>
                <w14:ligatures w14:val="none"/>
              </w:rPr>
            </w:pPr>
            <w:r w:rsidRPr="00A6636A">
              <w:rPr>
                <w:rFonts w:ascii="Times New Roman" w:eastAsia="宋体" w:hAnsi="Times New Roman" w:cs="Times New Roman"/>
                <w:b/>
                <w:bCs/>
                <w:kern w:val="0"/>
                <w:szCs w:val="22"/>
                <w14:ligatures w14:val="none"/>
              </w:rPr>
              <w:t>External validation cohort (n = 136)</w:t>
            </w:r>
          </w:p>
        </w:tc>
      </w:tr>
      <w:tr w:rsidR="00AE5A5F" w:rsidRPr="00A6636A" w14:paraId="44C3F119" w14:textId="77777777" w:rsidTr="00AE5A5F">
        <w:trPr>
          <w:tblCellSpacing w:w="15" w:type="dxa"/>
        </w:trPr>
        <w:tc>
          <w:tcPr>
            <w:tcW w:w="0" w:type="auto"/>
            <w:vAlign w:val="center"/>
            <w:hideMark/>
          </w:tcPr>
          <w:p w14:paraId="794267FC"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30-day readmission, n (%)</w:t>
            </w:r>
          </w:p>
        </w:tc>
        <w:tc>
          <w:tcPr>
            <w:tcW w:w="0" w:type="auto"/>
            <w:vAlign w:val="center"/>
            <w:hideMark/>
          </w:tcPr>
          <w:p w14:paraId="039C28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34 (15.5%)</w:t>
            </w:r>
          </w:p>
        </w:tc>
        <w:tc>
          <w:tcPr>
            <w:tcW w:w="0" w:type="auto"/>
            <w:vAlign w:val="center"/>
            <w:hideMark/>
          </w:tcPr>
          <w:p w14:paraId="18BA79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21 (15.4%)</w:t>
            </w:r>
          </w:p>
        </w:tc>
      </w:tr>
      <w:tr w:rsidR="00AE5A5F" w:rsidRPr="00A6636A" w14:paraId="7C65510F" w14:textId="77777777" w:rsidTr="00AE5A5F">
        <w:trPr>
          <w:tblCellSpacing w:w="15" w:type="dxa"/>
        </w:trPr>
        <w:tc>
          <w:tcPr>
            <w:tcW w:w="0" w:type="auto"/>
            <w:vAlign w:val="center"/>
            <w:hideMark/>
          </w:tcPr>
          <w:p w14:paraId="2C051716"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90-day all-cause mortality, n (%)</w:t>
            </w:r>
          </w:p>
        </w:tc>
        <w:tc>
          <w:tcPr>
            <w:tcW w:w="0" w:type="auto"/>
            <w:vAlign w:val="center"/>
            <w:hideMark/>
          </w:tcPr>
          <w:p w14:paraId="5A537A03"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41 (18.7%)</w:t>
            </w:r>
          </w:p>
        </w:tc>
        <w:tc>
          <w:tcPr>
            <w:tcW w:w="0" w:type="auto"/>
            <w:vAlign w:val="center"/>
            <w:hideMark/>
          </w:tcPr>
          <w:p w14:paraId="4F7CA8D2"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24 (17.6%)</w:t>
            </w:r>
          </w:p>
        </w:tc>
      </w:tr>
    </w:tbl>
    <w:p w14:paraId="55E3A54F" w14:textId="77777777" w:rsidR="00AE5A5F" w:rsidRPr="00A6636A" w:rsidRDefault="00AE5A5F"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Note:</w:t>
      </w:r>
      <w:r w:rsidRPr="00A6636A">
        <w:rPr>
          <w:rFonts w:ascii="Times New Roman" w:eastAsia="宋体" w:hAnsi="Times New Roman" w:cs="Times New Roman"/>
          <w:kern w:val="0"/>
          <w:szCs w:val="22"/>
          <w14:ligatures w14:val="none"/>
        </w:rPr>
        <w:t xml:space="preserve"> Clinical outcome event counts are reported to improve transparency regarding prognostic model stability, external validation performance, and events-per-variable considerations. Outcome rates in the external validation cohort were comparable to those in the derivation cohort, supporting the generalizability of IAS performance across independent populations. Mortality and readmission events in the derivation cohort formed the basis for prognostic analyses, including Cox proportional hazards modeling and discrimination analyses.</w:t>
      </w:r>
    </w:p>
    <w:p w14:paraId="4DDF57D6" w14:textId="77777777" w:rsidR="005744BD" w:rsidRPr="00A6636A" w:rsidRDefault="005744BD" w:rsidP="00A6636A">
      <w:pPr>
        <w:widowControl/>
        <w:spacing w:after="0" w:line="240" w:lineRule="auto"/>
        <w:outlineLvl w:val="2"/>
        <w:rPr>
          <w:rFonts w:ascii="Times New Roman" w:eastAsia="宋体" w:hAnsi="Times New Roman" w:cs="Times New Roman"/>
          <w:b/>
          <w:bCs/>
          <w:kern w:val="0"/>
          <w:szCs w:val="22"/>
          <w14:ligatures w14:val="none"/>
        </w:rPr>
      </w:pPr>
    </w:p>
    <w:p w14:paraId="5623578F" w14:textId="77777777" w:rsidR="00C50840" w:rsidRPr="00A6636A" w:rsidRDefault="00C50840" w:rsidP="00A6636A">
      <w:pPr>
        <w:widowControl/>
        <w:spacing w:after="0" w:line="240" w:lineRule="auto"/>
        <w:outlineLvl w:val="2"/>
        <w:rPr>
          <w:rFonts w:ascii="Times New Roman" w:eastAsia="宋体" w:hAnsi="Times New Roman" w:cs="Times New Roman"/>
          <w:b/>
          <w:bCs/>
          <w:kern w:val="0"/>
          <w:szCs w:val="22"/>
          <w14:ligatures w14:val="none"/>
        </w:rPr>
      </w:pPr>
    </w:p>
    <w:p w14:paraId="35EBE360" w14:textId="77777777" w:rsidR="00EA28DC" w:rsidRPr="00A6636A" w:rsidRDefault="00EA28DC" w:rsidP="00A6636A">
      <w:pPr>
        <w:spacing w:after="0" w:line="240" w:lineRule="auto"/>
        <w:jc w:val="center"/>
        <w:rPr>
          <w:rFonts w:ascii="Times New Roman" w:eastAsia="宋体" w:hAnsi="Times New Roman" w:cs="Times New Roman"/>
          <w:szCs w:val="22"/>
        </w:rPr>
      </w:pPr>
      <w:r w:rsidRPr="00A6636A">
        <w:rPr>
          <w:rFonts w:ascii="Times New Roman" w:hAnsi="Times New Roman" w:cs="Times New Roman"/>
          <w:noProof/>
          <w:szCs w:val="22"/>
        </w:rPr>
        <w:drawing>
          <wp:inline distT="0" distB="0" distL="0" distR="0" wp14:anchorId="260D2815" wp14:editId="61C766DF">
            <wp:extent cx="5274310" cy="2813685"/>
            <wp:effectExtent l="0" t="0" r="2540" b="5715"/>
            <wp:docPr id="3719365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744AADAC" w14:textId="5438F642" w:rsidR="003A2FD1" w:rsidRPr="00A6636A" w:rsidRDefault="003A2FD1" w:rsidP="00A6636A">
      <w:pPr>
        <w:widowControl/>
        <w:spacing w:after="0" w:line="240" w:lineRule="auto"/>
        <w:rPr>
          <w:rFonts w:ascii="Times New Roman" w:eastAsia="宋体" w:hAnsi="Times New Roman" w:cs="Times New Roman"/>
          <w:b/>
          <w:bCs/>
          <w:kern w:val="0"/>
          <w:szCs w:val="22"/>
          <w14:ligatures w14:val="none"/>
        </w:rPr>
      </w:pPr>
      <w:r w:rsidRPr="00A6636A">
        <w:rPr>
          <w:rFonts w:ascii="Times New Roman" w:hAnsi="Times New Roman" w:cs="Times New Roman"/>
          <w:b/>
          <w:bCs/>
          <w:szCs w:val="22"/>
        </w:rPr>
        <w:t>Supplementary Figure S1. Calibration performance of the</w:t>
      </w:r>
      <w:r w:rsidRPr="00DB6562">
        <w:rPr>
          <w:rFonts w:ascii="Times New Roman" w:hAnsi="Times New Roman" w:cs="Times New Roman"/>
          <w:b/>
          <w:bCs/>
          <w:szCs w:val="22"/>
        </w:rPr>
        <w:t xml:space="preserve"> </w:t>
      </w:r>
      <w:r w:rsidR="00DB6562" w:rsidRPr="00DB6562">
        <w:rPr>
          <w:rFonts w:ascii="Times New Roman" w:hAnsi="Times New Roman" w:cs="Times New Roman"/>
          <w:b/>
          <w:bCs/>
          <w:highlight w:val="yellow"/>
        </w:rPr>
        <w:t>Immune–Inflammatory Vulnerability Index</w:t>
      </w:r>
      <w:r w:rsidRPr="00A6636A">
        <w:rPr>
          <w:rFonts w:ascii="Times New Roman" w:hAnsi="Times New Roman" w:cs="Times New Roman"/>
          <w:b/>
          <w:bCs/>
          <w:szCs w:val="22"/>
        </w:rPr>
        <w:t xml:space="preserve"> (IAS) in the derivation and external validation cohorts.</w:t>
      </w:r>
      <w:r w:rsidRPr="00A6636A">
        <w:rPr>
          <w:rFonts w:ascii="Times New Roman" w:eastAsia="宋体" w:hAnsi="Times New Roman" w:cs="Times New Roman"/>
          <w:b/>
          <w:bCs/>
          <w:kern w:val="0"/>
          <w:szCs w:val="22"/>
          <w14:ligatures w14:val="none"/>
        </w:rPr>
        <w:t xml:space="preserve"> </w:t>
      </w:r>
    </w:p>
    <w:p w14:paraId="56A4DD77" w14:textId="3752887B"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(A)</w:t>
      </w:r>
      <w:r w:rsidRPr="00A6636A">
        <w:rPr>
          <w:rFonts w:ascii="Times New Roman" w:eastAsia="宋体" w:hAnsi="Times New Roman" w:cs="Times New Roman"/>
          <w:kern w:val="0"/>
          <w:szCs w:val="22"/>
          <w14:ligatures w14:val="none"/>
        </w:rPr>
        <w:t xml:space="preserve"> Calibration curve in the training cohort, showing the agreement between predicted and observed event probabilities. The dotted diagonal line represents ideal calibration. Circles indicate apparent performance across deciles of predicted risk, and the dashed line represents the bootstrap-corrected calibration curve based on 1,000 resamples.</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(B)</w:t>
      </w:r>
      <w:r w:rsidRPr="00A6636A">
        <w:rPr>
          <w:rFonts w:ascii="Times New Roman" w:eastAsia="宋体" w:hAnsi="Times New Roman" w:cs="Times New Roman"/>
          <w:kern w:val="0"/>
          <w:szCs w:val="22"/>
          <w14:ligatures w14:val="none"/>
        </w:rPr>
        <w:t xml:space="preserve"> Calibration curve in the external validation cohort. Observed outcome frequencies across deciles of predicted risk are plotted against predicted probabilities, with the smoothed curve illustrating overall calibration performance.</w:t>
      </w:r>
    </w:p>
    <w:p w14:paraId="0DD0FF1E" w14:textId="77777777" w:rsidR="00EA28DC" w:rsidRPr="00A6636A" w:rsidRDefault="00EA28DC" w:rsidP="00A6636A">
      <w:pPr>
        <w:keepNext/>
        <w:keepLines/>
        <w:shd w:val="clear" w:color="auto" w:fill="FFFFFF"/>
        <w:spacing w:after="0" w:line="240" w:lineRule="auto"/>
        <w:jc w:val="center"/>
        <w:outlineLvl w:val="0"/>
        <w:rPr>
          <w:rFonts w:ascii="Times New Roman" w:eastAsia="宋体" w:hAnsi="Times New Roman" w:cs="Times New Roman"/>
          <w:szCs w:val="22"/>
        </w:rPr>
      </w:pPr>
      <w:r w:rsidRPr="00A6636A">
        <w:rPr>
          <w:rFonts w:ascii="Times New Roman" w:hAnsi="Times New Roman" w:cs="Times New Roman"/>
          <w:noProof/>
          <w:szCs w:val="22"/>
        </w:rPr>
        <w:lastRenderedPageBreak/>
        <w:drawing>
          <wp:inline distT="0" distB="0" distL="0" distR="0" wp14:anchorId="39C27086" wp14:editId="736393A7">
            <wp:extent cx="5274310" cy="2813685"/>
            <wp:effectExtent l="0" t="0" r="2540" b="5715"/>
            <wp:docPr id="190578167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2813685"/>
                    </a:xfrm>
                    <a:prstGeom prst="rect">
                      <a:avLst/>
                    </a:prstGeom>
                    <a:noFill/>
                    <a:ln>
                      <a:noFill/>
                    </a:ln>
                  </pic:spPr>
                </pic:pic>
              </a:graphicData>
            </a:graphic>
          </wp:inline>
        </w:drawing>
      </w:r>
    </w:p>
    <w:p w14:paraId="63557EBA" w14:textId="1086BDA2"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b/>
          <w:bCs/>
          <w:kern w:val="0"/>
          <w:szCs w:val="22"/>
          <w14:ligatures w14:val="none"/>
        </w:rPr>
        <w:t>Supplementary Figure S2.</w:t>
      </w:r>
      <w:r w:rsidRPr="00A6636A">
        <w:rPr>
          <w:rFonts w:ascii="Times New Roman" w:eastAsia="宋体" w:hAnsi="Times New Roman" w:cs="Times New Roman"/>
          <w:kern w:val="0"/>
          <w:szCs w:val="22"/>
          <w14:ligatures w14:val="none"/>
        </w:rPr>
        <w:t xml:space="preserve"> </w:t>
      </w:r>
      <w:r w:rsidRPr="00A6636A">
        <w:rPr>
          <w:rFonts w:ascii="Times New Roman" w:eastAsia="宋体" w:hAnsi="Times New Roman" w:cs="Times New Roman"/>
          <w:b/>
          <w:bCs/>
          <w:kern w:val="0"/>
          <w:szCs w:val="22"/>
          <w14:ligatures w14:val="none"/>
        </w:rPr>
        <w:t>Decision curve analysis (DCA) comparing the clinical net benefit of the</w:t>
      </w:r>
      <w:r w:rsidR="00DB6562" w:rsidRPr="00DB6562">
        <w:t xml:space="preserve"> </w:t>
      </w:r>
      <w:r w:rsidR="00DB6562" w:rsidRPr="00DB6562">
        <w:rPr>
          <w:rFonts w:ascii="Times New Roman" w:hAnsi="Times New Roman" w:cs="Times New Roman"/>
          <w:b/>
          <w:bCs/>
          <w:highlight w:val="yellow"/>
        </w:rPr>
        <w:t>Immune–Inflammatory Vulnerability Index</w:t>
      </w:r>
      <w:r w:rsidRPr="00A6636A">
        <w:rPr>
          <w:rFonts w:ascii="Times New Roman" w:eastAsia="宋体" w:hAnsi="Times New Roman" w:cs="Times New Roman"/>
          <w:b/>
          <w:bCs/>
          <w:kern w:val="0"/>
          <w:szCs w:val="22"/>
          <w14:ligatures w14:val="none"/>
        </w:rPr>
        <w:t xml:space="preserve"> (IAS) with conventional risk scores in the training and external validation cohorts.</w:t>
      </w:r>
      <w:r w:rsidRPr="00A6636A">
        <w:rPr>
          <w:rFonts w:ascii="Times New Roman" w:eastAsia="宋体" w:hAnsi="Times New Roman" w:cs="Times New Roman"/>
          <w:b/>
          <w:bCs/>
          <w:kern w:val="0"/>
          <w:szCs w:val="22"/>
          <w14:ligatures w14:val="none"/>
        </w:rPr>
        <w:br/>
        <w:t>(A)</w:t>
      </w:r>
      <w:r w:rsidRPr="00A6636A">
        <w:rPr>
          <w:rFonts w:ascii="Times New Roman" w:eastAsia="宋体" w:hAnsi="Times New Roman" w:cs="Times New Roman"/>
          <w:kern w:val="0"/>
          <w:szCs w:val="22"/>
          <w14:ligatures w14:val="none"/>
        </w:rPr>
        <w:t xml:space="preserve"> DCA in the training cohort.</w:t>
      </w:r>
      <w:r w:rsidRPr="00A6636A">
        <w:rPr>
          <w:rFonts w:ascii="Times New Roman" w:eastAsia="宋体" w:hAnsi="Times New Roman" w:cs="Times New Roman"/>
          <w:kern w:val="0"/>
          <w:szCs w:val="22"/>
          <w14:ligatures w14:val="none"/>
        </w:rPr>
        <w:br/>
      </w:r>
      <w:r w:rsidRPr="00A6636A">
        <w:rPr>
          <w:rFonts w:ascii="Times New Roman" w:eastAsia="宋体" w:hAnsi="Times New Roman" w:cs="Times New Roman"/>
          <w:b/>
          <w:bCs/>
          <w:kern w:val="0"/>
          <w:szCs w:val="22"/>
          <w14:ligatures w14:val="none"/>
        </w:rPr>
        <w:t>(B)</w:t>
      </w:r>
      <w:r w:rsidRPr="00A6636A">
        <w:rPr>
          <w:rFonts w:ascii="Times New Roman" w:eastAsia="宋体" w:hAnsi="Times New Roman" w:cs="Times New Roman"/>
          <w:kern w:val="0"/>
          <w:szCs w:val="22"/>
          <w14:ligatures w14:val="none"/>
        </w:rPr>
        <w:t xml:space="preserve"> DCA in the external validation cohort.</w:t>
      </w:r>
    </w:p>
    <w:p w14:paraId="61EB9703" w14:textId="77777777" w:rsidR="00EA28DC" w:rsidRPr="00A6636A" w:rsidRDefault="00EA28DC" w:rsidP="00A6636A">
      <w:pPr>
        <w:widowControl/>
        <w:spacing w:after="0" w:line="240" w:lineRule="auto"/>
        <w:rPr>
          <w:rFonts w:ascii="Times New Roman" w:eastAsia="宋体" w:hAnsi="Times New Roman" w:cs="Times New Roman"/>
          <w:kern w:val="0"/>
          <w:szCs w:val="22"/>
          <w14:ligatures w14:val="none"/>
        </w:rPr>
      </w:pPr>
      <w:r w:rsidRPr="00A6636A">
        <w:rPr>
          <w:rFonts w:ascii="Times New Roman" w:eastAsia="宋体" w:hAnsi="Times New Roman" w:cs="Times New Roman"/>
          <w:kern w:val="0"/>
          <w:szCs w:val="22"/>
          <w14:ligatures w14:val="none"/>
        </w:rPr>
        <w:t>Across a wide range of threshold probabilities (0.10–0.80), IAS consistently demonstrates a higher net benefit compared with the “treat-all” and “treat-none” strategies, as well as established clinical scores (BODE and DECAF), indicating superior clinical utility for risk stratification and decision-making.</w:t>
      </w:r>
    </w:p>
    <w:p w14:paraId="291B6009" w14:textId="77777777" w:rsidR="00EA28DC" w:rsidRPr="00A6636A" w:rsidRDefault="00EA28DC" w:rsidP="00A6636A">
      <w:pPr>
        <w:spacing w:after="0" w:line="240" w:lineRule="auto"/>
        <w:rPr>
          <w:rFonts w:ascii="Times New Roman" w:hAnsi="Times New Roman" w:cs="Times New Roman"/>
          <w:szCs w:val="22"/>
        </w:rPr>
      </w:pPr>
    </w:p>
    <w:sectPr w:rsidR="00EA28DC" w:rsidRPr="00A6636A">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4393C" w14:textId="77777777" w:rsidR="00BE184F" w:rsidRDefault="00BE184F" w:rsidP="00BA6400">
      <w:pPr>
        <w:spacing w:after="0" w:line="240" w:lineRule="auto"/>
        <w:rPr>
          <w:rFonts w:hint="eastAsia"/>
        </w:rPr>
      </w:pPr>
      <w:r>
        <w:separator/>
      </w:r>
    </w:p>
  </w:endnote>
  <w:endnote w:type="continuationSeparator" w:id="0">
    <w:p w14:paraId="0892742B" w14:textId="77777777" w:rsidR="00BE184F" w:rsidRDefault="00BE184F" w:rsidP="00BA640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298973"/>
      <w:docPartObj>
        <w:docPartGallery w:val="Page Numbers (Bottom of Page)"/>
        <w:docPartUnique/>
      </w:docPartObj>
    </w:sdtPr>
    <w:sdtContent>
      <w:p w14:paraId="3A8436D3" w14:textId="6A4562A5" w:rsidR="00A6636A" w:rsidRDefault="00A6636A">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3CD5A37E" w14:textId="77777777" w:rsidR="00A6636A" w:rsidRDefault="00A6636A">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C15FF9" w14:textId="77777777" w:rsidR="00BE184F" w:rsidRDefault="00BE184F" w:rsidP="00BA6400">
      <w:pPr>
        <w:spacing w:after="0" w:line="240" w:lineRule="auto"/>
        <w:rPr>
          <w:rFonts w:hint="eastAsia"/>
        </w:rPr>
      </w:pPr>
      <w:r>
        <w:separator/>
      </w:r>
    </w:p>
  </w:footnote>
  <w:footnote w:type="continuationSeparator" w:id="0">
    <w:p w14:paraId="0D22272C" w14:textId="77777777" w:rsidR="00BE184F" w:rsidRDefault="00BE184F" w:rsidP="00BA6400">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8DC"/>
    <w:rsid w:val="000F2838"/>
    <w:rsid w:val="00226310"/>
    <w:rsid w:val="002E51ED"/>
    <w:rsid w:val="003A2FD1"/>
    <w:rsid w:val="0043395F"/>
    <w:rsid w:val="00454678"/>
    <w:rsid w:val="00470547"/>
    <w:rsid w:val="004C1CAA"/>
    <w:rsid w:val="0052712C"/>
    <w:rsid w:val="005744BD"/>
    <w:rsid w:val="00584E10"/>
    <w:rsid w:val="005B16A8"/>
    <w:rsid w:val="005E24D0"/>
    <w:rsid w:val="00844DD0"/>
    <w:rsid w:val="00860769"/>
    <w:rsid w:val="008A289B"/>
    <w:rsid w:val="00915608"/>
    <w:rsid w:val="009D4EA3"/>
    <w:rsid w:val="00A6636A"/>
    <w:rsid w:val="00A75178"/>
    <w:rsid w:val="00AC47FC"/>
    <w:rsid w:val="00AE5A5F"/>
    <w:rsid w:val="00B03581"/>
    <w:rsid w:val="00B844A4"/>
    <w:rsid w:val="00B95659"/>
    <w:rsid w:val="00BA6400"/>
    <w:rsid w:val="00BE184F"/>
    <w:rsid w:val="00BE3BA2"/>
    <w:rsid w:val="00C0120B"/>
    <w:rsid w:val="00C50840"/>
    <w:rsid w:val="00C75F7A"/>
    <w:rsid w:val="00D85B58"/>
    <w:rsid w:val="00DB6562"/>
    <w:rsid w:val="00DF5EEC"/>
    <w:rsid w:val="00E47C2F"/>
    <w:rsid w:val="00EA2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B6BD79"/>
  <w15:chartTrackingRefBased/>
  <w15:docId w15:val="{821D8843-5513-451C-87CF-88F59E3C4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28DC"/>
    <w:pPr>
      <w:widowControl w:val="0"/>
    </w:pPr>
  </w:style>
  <w:style w:type="paragraph" w:styleId="1">
    <w:name w:val="heading 1"/>
    <w:basedOn w:val="a"/>
    <w:next w:val="a"/>
    <w:link w:val="10"/>
    <w:uiPriority w:val="9"/>
    <w:qFormat/>
    <w:rsid w:val="00EA28D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EA28D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EA28D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EA28D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EA28D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EA28D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EA28D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EA28D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EA28D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EA28D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EA28D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EA28D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EA28DC"/>
    <w:rPr>
      <w:rFonts w:cstheme="majorBidi"/>
      <w:color w:val="2F5496" w:themeColor="accent1" w:themeShade="BF"/>
      <w:sz w:val="28"/>
      <w:szCs w:val="28"/>
    </w:rPr>
  </w:style>
  <w:style w:type="character" w:customStyle="1" w:styleId="50">
    <w:name w:val="标题 5 字符"/>
    <w:basedOn w:val="a0"/>
    <w:link w:val="5"/>
    <w:uiPriority w:val="9"/>
    <w:semiHidden/>
    <w:rsid w:val="00EA28DC"/>
    <w:rPr>
      <w:rFonts w:cstheme="majorBidi"/>
      <w:color w:val="2F5496" w:themeColor="accent1" w:themeShade="BF"/>
      <w:sz w:val="24"/>
    </w:rPr>
  </w:style>
  <w:style w:type="character" w:customStyle="1" w:styleId="60">
    <w:name w:val="标题 6 字符"/>
    <w:basedOn w:val="a0"/>
    <w:link w:val="6"/>
    <w:uiPriority w:val="9"/>
    <w:semiHidden/>
    <w:rsid w:val="00EA28DC"/>
    <w:rPr>
      <w:rFonts w:cstheme="majorBidi"/>
      <w:b/>
      <w:bCs/>
      <w:color w:val="2F5496" w:themeColor="accent1" w:themeShade="BF"/>
    </w:rPr>
  </w:style>
  <w:style w:type="character" w:customStyle="1" w:styleId="70">
    <w:name w:val="标题 7 字符"/>
    <w:basedOn w:val="a0"/>
    <w:link w:val="7"/>
    <w:uiPriority w:val="9"/>
    <w:semiHidden/>
    <w:rsid w:val="00EA28DC"/>
    <w:rPr>
      <w:rFonts w:cstheme="majorBidi"/>
      <w:b/>
      <w:bCs/>
      <w:color w:val="595959" w:themeColor="text1" w:themeTint="A6"/>
    </w:rPr>
  </w:style>
  <w:style w:type="character" w:customStyle="1" w:styleId="80">
    <w:name w:val="标题 8 字符"/>
    <w:basedOn w:val="a0"/>
    <w:link w:val="8"/>
    <w:uiPriority w:val="9"/>
    <w:semiHidden/>
    <w:rsid w:val="00EA28DC"/>
    <w:rPr>
      <w:rFonts w:cstheme="majorBidi"/>
      <w:color w:val="595959" w:themeColor="text1" w:themeTint="A6"/>
    </w:rPr>
  </w:style>
  <w:style w:type="character" w:customStyle="1" w:styleId="90">
    <w:name w:val="标题 9 字符"/>
    <w:basedOn w:val="a0"/>
    <w:link w:val="9"/>
    <w:uiPriority w:val="9"/>
    <w:semiHidden/>
    <w:rsid w:val="00EA28DC"/>
    <w:rPr>
      <w:rFonts w:eastAsiaTheme="majorEastAsia" w:cstheme="majorBidi"/>
      <w:color w:val="595959" w:themeColor="text1" w:themeTint="A6"/>
    </w:rPr>
  </w:style>
  <w:style w:type="paragraph" w:styleId="a3">
    <w:name w:val="Title"/>
    <w:basedOn w:val="a"/>
    <w:next w:val="a"/>
    <w:link w:val="a4"/>
    <w:uiPriority w:val="10"/>
    <w:qFormat/>
    <w:rsid w:val="00EA28D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EA28D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28D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EA28D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28DC"/>
    <w:pPr>
      <w:spacing w:before="160"/>
      <w:jc w:val="center"/>
    </w:pPr>
    <w:rPr>
      <w:i/>
      <w:iCs/>
      <w:color w:val="404040" w:themeColor="text1" w:themeTint="BF"/>
    </w:rPr>
  </w:style>
  <w:style w:type="character" w:customStyle="1" w:styleId="a8">
    <w:name w:val="引用 字符"/>
    <w:basedOn w:val="a0"/>
    <w:link w:val="a7"/>
    <w:uiPriority w:val="29"/>
    <w:rsid w:val="00EA28DC"/>
    <w:rPr>
      <w:i/>
      <w:iCs/>
      <w:color w:val="404040" w:themeColor="text1" w:themeTint="BF"/>
    </w:rPr>
  </w:style>
  <w:style w:type="paragraph" w:styleId="a9">
    <w:name w:val="List Paragraph"/>
    <w:basedOn w:val="a"/>
    <w:uiPriority w:val="34"/>
    <w:qFormat/>
    <w:rsid w:val="00EA28DC"/>
    <w:pPr>
      <w:ind w:left="720"/>
      <w:contextualSpacing/>
    </w:pPr>
  </w:style>
  <w:style w:type="character" w:styleId="aa">
    <w:name w:val="Intense Emphasis"/>
    <w:basedOn w:val="a0"/>
    <w:uiPriority w:val="21"/>
    <w:qFormat/>
    <w:rsid w:val="00EA28DC"/>
    <w:rPr>
      <w:i/>
      <w:iCs/>
      <w:color w:val="2F5496" w:themeColor="accent1" w:themeShade="BF"/>
    </w:rPr>
  </w:style>
  <w:style w:type="paragraph" w:styleId="ab">
    <w:name w:val="Intense Quote"/>
    <w:basedOn w:val="a"/>
    <w:next w:val="a"/>
    <w:link w:val="ac"/>
    <w:uiPriority w:val="30"/>
    <w:qFormat/>
    <w:rsid w:val="00EA28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EA28DC"/>
    <w:rPr>
      <w:i/>
      <w:iCs/>
      <w:color w:val="2F5496" w:themeColor="accent1" w:themeShade="BF"/>
    </w:rPr>
  </w:style>
  <w:style w:type="character" w:styleId="ad">
    <w:name w:val="Intense Reference"/>
    <w:basedOn w:val="a0"/>
    <w:uiPriority w:val="32"/>
    <w:qFormat/>
    <w:rsid w:val="00EA28DC"/>
    <w:rPr>
      <w:b/>
      <w:bCs/>
      <w:smallCaps/>
      <w:color w:val="2F5496" w:themeColor="accent1" w:themeShade="BF"/>
      <w:spacing w:val="5"/>
    </w:rPr>
  </w:style>
  <w:style w:type="paragraph" w:styleId="ae">
    <w:name w:val="header"/>
    <w:basedOn w:val="a"/>
    <w:link w:val="af"/>
    <w:uiPriority w:val="99"/>
    <w:unhideWhenUsed/>
    <w:rsid w:val="00BA6400"/>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BA6400"/>
    <w:rPr>
      <w:sz w:val="18"/>
      <w:szCs w:val="18"/>
    </w:rPr>
  </w:style>
  <w:style w:type="paragraph" w:styleId="af0">
    <w:name w:val="footer"/>
    <w:basedOn w:val="a"/>
    <w:link w:val="af1"/>
    <w:uiPriority w:val="99"/>
    <w:unhideWhenUsed/>
    <w:rsid w:val="00BA6400"/>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BA6400"/>
    <w:rPr>
      <w:sz w:val="18"/>
      <w:szCs w:val="18"/>
    </w:rPr>
  </w:style>
  <w:style w:type="paragraph" w:styleId="af2">
    <w:name w:val="Normal (Web)"/>
    <w:basedOn w:val="a"/>
    <w:uiPriority w:val="99"/>
    <w:unhideWhenUsed/>
    <w:rsid w:val="00D85B58"/>
    <w:pPr>
      <w:widowControl/>
      <w:spacing w:before="100" w:beforeAutospacing="1" w:after="100" w:afterAutospacing="1" w:line="240" w:lineRule="auto"/>
    </w:pPr>
    <w:rPr>
      <w:rFonts w:ascii="宋体" w:eastAsia="宋体" w:hAnsi="宋体" w:cs="宋体"/>
      <w:kern w:val="0"/>
      <w:sz w:val="24"/>
      <w14:ligatures w14:val="none"/>
    </w:rPr>
  </w:style>
  <w:style w:type="character" w:styleId="af3">
    <w:name w:val="Strong"/>
    <w:basedOn w:val="a0"/>
    <w:uiPriority w:val="22"/>
    <w:qFormat/>
    <w:rsid w:val="00D85B5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6</Pages>
  <Words>1171</Words>
  <Characters>6675</Characters>
  <Application>Microsoft Office Word</Application>
  <DocSecurity>0</DocSecurity>
  <Lines>55</Lines>
  <Paragraphs>15</Paragraphs>
  <ScaleCrop>false</ScaleCrop>
  <Company/>
  <LinksUpToDate>false</LinksUpToDate>
  <CharactersWithSpaces>7831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huiyi wu</dc:creator>
  <cp:keywords/>
  <dc:description/>
  <cp:lastModifiedBy>huiyi wu</cp:lastModifiedBy>
  <cp:revision>223</cp:revision>
  <dcterms:created xsi:type="dcterms:W3CDTF">2026-04-12T02:20:00Z</dcterms:created>
  <dcterms:modified xsi:type="dcterms:W3CDTF">2026-06-07T08:15:00Z</dcterms:modified>
</cp:coreProperties>
</file>