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5866F0">
      <w:pPr>
        <w:widowControl/>
        <w:pBdr>
          <w:bottom w:val="single" w:color="4F81BD" w:sz="8" w:space="4"/>
        </w:pBdr>
        <w:spacing w:after="300" w:line="240" w:lineRule="auto"/>
        <w:contextualSpacing/>
        <w:jc w:val="center"/>
        <w:rPr>
          <w:rFonts w:ascii="Calibri" w:hAnsi="Calibri" w:eastAsia="MS Gothic" w:cs="Times New Roman"/>
          <w:b/>
          <w:color w:val="17365D"/>
          <w:spacing w:val="5"/>
          <w:kern w:val="28"/>
          <w:sz w:val="28"/>
          <w:szCs w:val="52"/>
          <w:lang w:eastAsia="en-US"/>
          <w14:ligatures w14:val="none"/>
        </w:rPr>
      </w:pPr>
      <w:bookmarkStart w:id="0" w:name="_GoBack"/>
      <w:bookmarkEnd w:id="0"/>
      <w:r>
        <w:rPr>
          <w:rFonts w:ascii="Calibri" w:hAnsi="Calibri" w:eastAsia="MS Gothic" w:cs="Times New Roman"/>
          <w:b/>
          <w:color w:val="17365D"/>
          <w:spacing w:val="5"/>
          <w:kern w:val="28"/>
          <w:sz w:val="28"/>
          <w:szCs w:val="52"/>
          <w:lang w:eastAsia="en-US"/>
          <w14:ligatures w14:val="none"/>
        </w:rPr>
        <w:t>Additional file 1. Supplementary Material</w:t>
      </w:r>
    </w:p>
    <w:p w14:paraId="0971FB81">
      <w:pPr>
        <w:widowControl/>
        <w:spacing w:after="40" w:line="240" w:lineRule="auto"/>
        <w:jc w:val="center"/>
        <w:rPr>
          <w:rFonts w:ascii="Times New Roman" w:hAnsi="Times New Roman" w:eastAsia="Times New Roman" w:cs="Times New Roman"/>
          <w:kern w:val="0"/>
          <w:sz w:val="20"/>
          <w:szCs w:val="22"/>
          <w:lang w:eastAsia="en-US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0"/>
          <w:szCs w:val="22"/>
          <w:lang w:eastAsia="en-US"/>
          <w14:ligatures w14:val="none"/>
        </w:rPr>
        <w:t>An Interpretable Prediction Model for Severe Sepsis-Associated Acute Kidney Injury in Older ICU Patients With Sepsis: A Prospective Multicenter Cohort Study</w:t>
      </w:r>
    </w:p>
    <w:p w14:paraId="74CA3025">
      <w:pPr>
        <w:keepNext/>
        <w:keepLines/>
        <w:widowControl/>
        <w:spacing w:before="480" w:after="40" w:line="276" w:lineRule="auto"/>
        <w:outlineLvl w:val="0"/>
        <w:rPr>
          <w:rFonts w:ascii="Calibri" w:hAnsi="Calibri" w:eastAsia="MS Gothic" w:cs="Times New Roman"/>
          <w:b/>
          <w:bCs/>
          <w:color w:val="365F91"/>
          <w:kern w:val="0"/>
          <w:sz w:val="24"/>
          <w:szCs w:val="28"/>
          <w:lang w:eastAsia="en-US"/>
          <w14:ligatures w14:val="none"/>
        </w:rPr>
      </w:pPr>
      <w:r>
        <w:rPr>
          <w:rFonts w:ascii="Calibri" w:hAnsi="Calibri" w:eastAsia="MS Gothic" w:cs="Times New Roman"/>
          <w:b/>
          <w:bCs/>
          <w:color w:val="365F91"/>
          <w:kern w:val="0"/>
          <w:sz w:val="24"/>
          <w:szCs w:val="28"/>
          <w:lang w:eastAsia="en-US"/>
          <w14:ligatures w14:val="none"/>
        </w:rPr>
        <w:t>Supplementary Tables</w:t>
      </w:r>
    </w:p>
    <w:p w14:paraId="0BA5E2B2">
      <w:pPr>
        <w:widowControl/>
        <w:spacing w:after="40" w:line="240" w:lineRule="auto"/>
        <w:rPr>
          <w:rFonts w:ascii="Times New Roman" w:hAnsi="Times New Roman" w:eastAsia="Times New Roman" w:cs="Times New Roman"/>
          <w:kern w:val="0"/>
          <w:sz w:val="20"/>
          <w:szCs w:val="22"/>
          <w:lang w:eastAsia="en-US"/>
          <w14:ligatures w14:val="none"/>
        </w:rPr>
      </w:pPr>
      <w:r>
        <w:rPr>
          <w:rFonts w:ascii="Times New Roman" w:hAnsi="Times New Roman" w:eastAsia="Times New Roman" w:cs="Times New Roman"/>
          <w:b/>
          <w:kern w:val="0"/>
          <w:sz w:val="20"/>
          <w:szCs w:val="22"/>
          <w:lang w:eastAsia="en-US"/>
          <w14:ligatures w14:val="none"/>
        </w:rPr>
        <w:t>Supplementary Table 1. Baseline characteristics of the training and internal temporal validation cohorts.</w:t>
      </w:r>
    </w:p>
    <w:tbl>
      <w:tblPr>
        <w:tblStyle w:val="1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8"/>
        <w:gridCol w:w="2468"/>
        <w:gridCol w:w="2496"/>
        <w:gridCol w:w="1010"/>
      </w:tblGrid>
      <w:tr w14:paraId="36C29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75F685D3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kern w:val="0"/>
                <w:sz w:val="12"/>
                <w:szCs w:val="22"/>
                <w:lang w:eastAsia="en-US"/>
                <w14:ligatures w14:val="none"/>
              </w:rPr>
              <w:t>Variables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0D78F494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kern w:val="0"/>
                <w:sz w:val="12"/>
                <w:szCs w:val="22"/>
                <w:lang w:eastAsia="en-US"/>
                <w14:ligatures w14:val="none"/>
              </w:rPr>
              <w:t>Training cohort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744B8E3B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kern w:val="0"/>
                <w:sz w:val="12"/>
                <w:szCs w:val="22"/>
                <w:lang w:eastAsia="en-US"/>
                <w14:ligatures w14:val="none"/>
              </w:rPr>
              <w:t>Validation cohort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119C5DAE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kern w:val="0"/>
                <w:sz w:val="12"/>
                <w:szCs w:val="22"/>
                <w:lang w:eastAsia="en-US"/>
                <w14:ligatures w14:val="none"/>
              </w:rPr>
              <w:t>p-value</w:t>
            </w:r>
          </w:p>
        </w:tc>
      </w:tr>
      <w:tr w14:paraId="7F65E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A49DE2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Demographics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9D061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CBD495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A72C93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</w:p>
        </w:tc>
      </w:tr>
      <w:tr w14:paraId="6A649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AB90C4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Age, years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D6347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73.00 [69.00; 79.00]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367DD9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73.00 [68.00; 80.00]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86CC9E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0.888</w:t>
            </w:r>
          </w:p>
        </w:tc>
      </w:tr>
      <w:tr w14:paraId="2EEDD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C9BB5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Male sex, n (%)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E2F58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574 (66.4%)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B0C78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258 (69.5%)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0A5F11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0.290</w:t>
            </w:r>
          </w:p>
        </w:tc>
      </w:tr>
      <w:tr w14:paraId="604A9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A73770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Comorbidities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06B641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8AAB1C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346A9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</w:p>
        </w:tc>
      </w:tr>
      <w:tr w14:paraId="64DCA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E2AE3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Diabetes mellitus, n (%)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0057B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307 (35.5%)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BF104F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121 (32.6%)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E16B42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0.361</w:t>
            </w:r>
          </w:p>
        </w:tc>
      </w:tr>
      <w:tr w14:paraId="72C40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0E26C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Chronic kidney disease, n (%)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1B5473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241 (27.9%)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83AC7F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94 (25.3%)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7D737C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0.402</w:t>
            </w:r>
          </w:p>
        </w:tc>
      </w:tr>
      <w:tr w14:paraId="4A91C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1B9EC8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Hematological disease, n (%)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74BAD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58 (6.7%)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F10B3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23 (6.2%)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008F99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0.803</w:t>
            </w:r>
          </w:p>
        </w:tc>
      </w:tr>
      <w:tr w14:paraId="1CED4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BE5D8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COPD, n (%)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D6EA1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87 (10.1%)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C9E431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34 (9.2%)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43ED23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0.677</w:t>
            </w:r>
          </w:p>
        </w:tc>
      </w:tr>
      <w:tr w14:paraId="21BF6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1CC64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Malignancy, n (%)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B0580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215 (24.9%)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2ECBED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107 (28.8%)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2276E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0.157</w:t>
            </w:r>
          </w:p>
        </w:tc>
      </w:tr>
      <w:tr w14:paraId="6E63F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C5E01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Severity and clinical status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F28AE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8464C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AD9619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</w:p>
        </w:tc>
      </w:tr>
      <w:tr w14:paraId="18BB4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2D2E55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APACHE II score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57230E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15.00 [12.00; 18.00]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8C86C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15.00 [13.00; 19.00]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5DA621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0.465</w:t>
            </w:r>
          </w:p>
        </w:tc>
      </w:tr>
      <w:tr w14:paraId="16E22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437C1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SOFA score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7BCB5E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9.00 [7.00; 11.00]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35B057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9.00 [7.00; 11.00]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BAAF40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0.351</w:t>
            </w:r>
          </w:p>
        </w:tc>
      </w:tr>
      <w:tr w14:paraId="4C382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D3F230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Infection sites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FF1AE4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7759E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8119A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</w:p>
        </w:tc>
      </w:tr>
      <w:tr w14:paraId="29E11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3CC22E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Abdominal infection, n (%)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F21603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288 (33.3%)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432683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98 (26.4%)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295CFD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0.019</w:t>
            </w:r>
          </w:p>
        </w:tc>
      </w:tr>
      <w:tr w14:paraId="31D27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15FB4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Bloodstream infection, n (%)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15FAB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200 (23.1%)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5016D0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112 (30.2%)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7EE6D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0.010</w:t>
            </w:r>
          </w:p>
        </w:tc>
      </w:tr>
      <w:tr w14:paraId="4DAFE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F7725B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Laboratory markers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EB0BD7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1F777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EF918F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</w:p>
        </w:tc>
      </w:tr>
      <w:tr w14:paraId="66BAF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801B62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WBC, ×10^9/L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A778D0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10.97 [7.74; 15.44]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D280EE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11.46 [8.06; 15.74]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A8FB3C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0.203</w:t>
            </w:r>
          </w:p>
        </w:tc>
      </w:tr>
      <w:tr w14:paraId="000AF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0B990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Neutrophils, ×10^9/L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3B9091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9.52 [6.28; 13.70]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600E9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9.85 [6.59; 13.89]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FDDCC3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0.182</w:t>
            </w:r>
          </w:p>
        </w:tc>
      </w:tr>
      <w:tr w14:paraId="56FE7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562CF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Monocytes, ×10^9/L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6C73B8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0.46 [0.27; 0.71]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A03D20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0.48 [0.29; 0.72]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5C1F3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0.370</w:t>
            </w:r>
          </w:p>
        </w:tc>
      </w:tr>
      <w:tr w14:paraId="6187D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7B6F90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Lactate, mmol/L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73EA0F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2.86 [2.01; 3.77]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E7404E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2.77 [1.94; 3.74]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9AB7BF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0.642</w:t>
            </w:r>
          </w:p>
        </w:tc>
      </w:tr>
      <w:tr w14:paraId="69A5B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89C21B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PCT, ng/mL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E84499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2.32 [0.97; 8.90]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C83AB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2.16 [0.81; 7.09]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3E1AF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0.139</w:t>
            </w:r>
          </w:p>
        </w:tc>
      </w:tr>
      <w:tr w14:paraId="1998E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767B04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CRP, mg/L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5A1076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107.00 [58.61; 191.70]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647B3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107.00 [49.60; 160.00]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6966C8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0.055</w:t>
            </w:r>
          </w:p>
        </w:tc>
      </w:tr>
      <w:tr w14:paraId="2E5EF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E411C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Albumin, g/L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E494B5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32.16 [30.00; 35.00]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9ACCF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32.75 [29.68; 35.00]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75EDC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0.861</w:t>
            </w:r>
          </w:p>
        </w:tc>
      </w:tr>
      <w:tr w14:paraId="4D275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E8227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PaO2/FiO2 ratio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3CD23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290.00 [230.00; 362.00]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18FAF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293.33 [231.11; 371.43]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C1E97D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0.743</w:t>
            </w:r>
          </w:p>
        </w:tc>
      </w:tr>
      <w:tr w14:paraId="5F50E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D22E4D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Immune markers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473D67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0B74F4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929AFE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</w:p>
        </w:tc>
      </w:tr>
      <w:tr w14:paraId="0F23C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10DEE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IL-6, pg/mL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1041A5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65.29 [32.61; 131.90]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33D24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57.88 [29.13; 121.60]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D84FD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0.118</w:t>
            </w:r>
          </w:p>
        </w:tc>
      </w:tr>
      <w:tr w14:paraId="3DD27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D400E8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NK-cell percentage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3B3A1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14.87 [11.43; 19.57]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7ED7D2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14.59 [11.85; 19.28]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2A4CD6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0.750</w:t>
            </w:r>
          </w:p>
        </w:tc>
      </w:tr>
      <w:tr w14:paraId="4AD7F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C851E8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CD4+ T-cell percentage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FB1DDB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41.61 [34.68; 49.49]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B51599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41.83 [35.70; 49.42]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0A93E1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0.929</w:t>
            </w:r>
          </w:p>
        </w:tc>
      </w:tr>
      <w:tr w14:paraId="27349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70E20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CD8+ T-cell percentage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25C534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22.73 [16.72; 31.40]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B4517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24.40 [18.80; 33.90]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665E18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0.018</w:t>
            </w:r>
          </w:p>
        </w:tc>
      </w:tr>
      <w:tr w14:paraId="7A7DC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C99D2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B-cell percentage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5E003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14.05 [8.60; 20.60]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F9AF2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13.83 [8.10; 20.10]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58172C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0.800</w:t>
            </w:r>
          </w:p>
        </w:tc>
      </w:tr>
      <w:tr w14:paraId="28E9D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DA1B53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CD4+/CD8+ T-cell ratio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572A60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1.88 [1.15; 2.76]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017BF1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1.76 [1.11; 2.51]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FCA8EF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0.061</w:t>
            </w:r>
          </w:p>
        </w:tc>
      </w:tr>
      <w:tr w14:paraId="6368E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0115AC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C3, g/L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A94272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0.81 [0.69; 0.96]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66FCE2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0.84 [0.70; 0.98]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005279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0.076</w:t>
            </w:r>
          </w:p>
        </w:tc>
      </w:tr>
      <w:tr w14:paraId="0CFEF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5E10E3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C4, g/L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A9EA4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0.17 [0.12; 0.21]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4F309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0.17 [0.12; 0.21]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C8B0B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0.778</w:t>
            </w:r>
          </w:p>
        </w:tc>
      </w:tr>
    </w:tbl>
    <w:p w14:paraId="2C977405">
      <w:pPr>
        <w:widowControl/>
        <w:spacing w:after="40" w:line="240" w:lineRule="auto"/>
        <w:rPr>
          <w:rFonts w:ascii="Times New Roman" w:hAnsi="Times New Roman" w:eastAsia="Times New Roman" w:cs="Times New Roman"/>
          <w:kern w:val="0"/>
          <w:sz w:val="20"/>
          <w:szCs w:val="22"/>
          <w:lang w:eastAsia="en-US"/>
          <w14:ligatures w14:val="none"/>
        </w:rPr>
      </w:pPr>
      <w:r>
        <w:rPr>
          <w:rFonts w:ascii="Times New Roman" w:hAnsi="Times New Roman" w:eastAsia="Times New Roman" w:cs="Times New Roman"/>
          <w:i/>
          <w:kern w:val="0"/>
          <w:sz w:val="20"/>
          <w:szCs w:val="22"/>
          <w:lang w:eastAsia="en-US"/>
          <w14:ligatures w14:val="none"/>
        </w:rPr>
        <w:t>Note: Continuous variables are presented as median [Q1; Q3], whereas categorical variables are expressed as n (%). Between-group comparisons were performed using the Wilcoxon rank-sum test or Fisher's exact test. APACHE II, Acute Physiology and Chronic Health Evaluation II; SOFA, Sequential Organ Failure Assessment; CKD, chronic kidney disease; COPD, chronic obstructive pulmonary disease; WBC, white blood cell count; PCT, procalcitonin; CRP, C-reactive protein.</w:t>
      </w:r>
    </w:p>
    <w:p w14:paraId="494AB5DD">
      <w:pPr>
        <w:widowControl/>
        <w:spacing w:after="200" w:line="276" w:lineRule="auto"/>
        <w:rPr>
          <w:rFonts w:ascii="Times New Roman" w:hAnsi="Times New Roman" w:eastAsia="Times New Roman" w:cs="Times New Roman"/>
          <w:kern w:val="0"/>
          <w:sz w:val="20"/>
          <w:szCs w:val="22"/>
          <w:lang w:eastAsia="en-US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0"/>
          <w:szCs w:val="22"/>
          <w:lang w:eastAsia="en-US"/>
          <w14:ligatures w14:val="none"/>
        </w:rPr>
        <w:br w:type="page"/>
      </w:r>
    </w:p>
    <w:p w14:paraId="522FB527">
      <w:pPr>
        <w:widowControl/>
        <w:spacing w:after="40" w:line="240" w:lineRule="auto"/>
        <w:rPr>
          <w:rFonts w:ascii="Times New Roman" w:hAnsi="Times New Roman" w:eastAsia="Times New Roman" w:cs="Times New Roman"/>
          <w:kern w:val="0"/>
          <w:sz w:val="20"/>
          <w:szCs w:val="22"/>
          <w:lang w:eastAsia="en-US"/>
          <w14:ligatures w14:val="none"/>
        </w:rPr>
      </w:pPr>
      <w:r>
        <w:rPr>
          <w:rFonts w:ascii="Times New Roman" w:hAnsi="Times New Roman" w:eastAsia="Times New Roman" w:cs="Times New Roman"/>
          <w:b/>
          <w:kern w:val="0"/>
          <w:sz w:val="20"/>
          <w:szCs w:val="22"/>
          <w:lang w:eastAsia="en-US"/>
          <w14:ligatures w14:val="none"/>
        </w:rPr>
        <w:t>Supplementary Table 2. Baseline characteristics of patients with non-severe and severe SA-AKI in the training cohort.</w:t>
      </w:r>
    </w:p>
    <w:tbl>
      <w:tblPr>
        <w:tblStyle w:val="1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8"/>
        <w:gridCol w:w="2506"/>
        <w:gridCol w:w="2458"/>
        <w:gridCol w:w="1010"/>
      </w:tblGrid>
      <w:tr w14:paraId="76121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0B457928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kern w:val="0"/>
                <w:sz w:val="12"/>
                <w:szCs w:val="22"/>
                <w:lang w:eastAsia="en-US"/>
                <w14:ligatures w14:val="none"/>
              </w:rPr>
              <w:t>Variables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03459ACC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kern w:val="0"/>
                <w:sz w:val="12"/>
                <w:szCs w:val="22"/>
                <w:lang w:eastAsia="en-US"/>
                <w14:ligatures w14:val="none"/>
              </w:rPr>
              <w:t>Non-severe SA-AKI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20503E7B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kern w:val="0"/>
                <w:sz w:val="12"/>
                <w:szCs w:val="22"/>
                <w:lang w:eastAsia="en-US"/>
                <w14:ligatures w14:val="none"/>
              </w:rPr>
              <w:t>Severe SA-AKI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4179BB45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kern w:val="0"/>
                <w:sz w:val="12"/>
                <w:szCs w:val="22"/>
                <w:lang w:eastAsia="en-US"/>
                <w14:ligatures w14:val="none"/>
              </w:rPr>
              <w:t>p-value</w:t>
            </w:r>
          </w:p>
        </w:tc>
      </w:tr>
      <w:tr w14:paraId="623CB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ACCC7C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Demographics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D6C9E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CAC63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E1448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</w:p>
        </w:tc>
      </w:tr>
      <w:tr w14:paraId="412EF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7025F2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Age, years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CA6F5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73.00 [69.00; 79.00]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DCA03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73.00 [68.00; 78.50]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BBA18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0.314</w:t>
            </w:r>
          </w:p>
        </w:tc>
      </w:tr>
      <w:tr w14:paraId="27125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43D73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Male sex, n (%)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64476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438 (63.6%)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DD3AFB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136 (77.3%)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2CA067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&lt;0.001</w:t>
            </w:r>
          </w:p>
        </w:tc>
      </w:tr>
      <w:tr w14:paraId="04E97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09E7A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Comorbidities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C57FC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9811B9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ECC25F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</w:p>
        </w:tc>
      </w:tr>
      <w:tr w14:paraId="1FBAC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B04E9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Diabetes mellitus, n (%)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8121F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243 (35.3%)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DC00EF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64 (36.4%)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1CAA38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0.792</w:t>
            </w:r>
          </w:p>
        </w:tc>
      </w:tr>
      <w:tr w14:paraId="7E1F5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859301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Chronic kidney disease, n (%)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57FB5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153 (22.2%)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0FD46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88 (50.0%)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613AF4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&lt;0.001</w:t>
            </w:r>
          </w:p>
        </w:tc>
      </w:tr>
      <w:tr w14:paraId="7A3AB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695D1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Hematological disease, n (%)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E26B4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48 (7.0%)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1F8E92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10 (5.7%)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D664F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0.616</w:t>
            </w:r>
          </w:p>
        </w:tc>
      </w:tr>
      <w:tr w14:paraId="4FF0A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B5723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COPD, n (%)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A9BE0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66 (9.6%)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AC91F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21 (11.9%)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2A7EB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0.399</w:t>
            </w:r>
          </w:p>
        </w:tc>
      </w:tr>
      <w:tr w14:paraId="04A7D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52F06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Malignancy, n (%)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59E108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190 (27.6%)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1AC04F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25 (14.2%)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0465A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&lt;0.001</w:t>
            </w:r>
          </w:p>
        </w:tc>
      </w:tr>
      <w:tr w14:paraId="0A2D8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DEAC8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Severity and clinical status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94DC24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CE109E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05871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</w:p>
        </w:tc>
      </w:tr>
      <w:tr w14:paraId="2F1A1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CAB306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APACHE II score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429B09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15.00 [12.00; 18.00]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428867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18.00 [15.00; 20.50]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77B2FA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&lt;0.001</w:t>
            </w:r>
          </w:p>
        </w:tc>
      </w:tr>
      <w:tr w14:paraId="10511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DF742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SOFA score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3566D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8.00 [6.00; 10.00]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756F5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11.00 [9.00; 13.00]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FDA28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&lt;0.001</w:t>
            </w:r>
          </w:p>
        </w:tc>
      </w:tr>
      <w:tr w14:paraId="4388D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43E1F6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Infection sites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0546F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F41DC2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689FF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</w:p>
        </w:tc>
      </w:tr>
      <w:tr w14:paraId="5A5A7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FCA04B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Abdominal infection, n (%)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E4625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242 (35.1%)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5DEAC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46 (26.1%)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C2F2C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0.025</w:t>
            </w:r>
          </w:p>
        </w:tc>
      </w:tr>
      <w:tr w14:paraId="219C6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23AD3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Bloodstream infection, n (%)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7A491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154 (22.4%)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12870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46 (26.1%)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941C2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0.316</w:t>
            </w:r>
          </w:p>
        </w:tc>
      </w:tr>
      <w:tr w14:paraId="2D9FD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1CB5DA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Laboratory markers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910FC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D7481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B545B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</w:p>
        </w:tc>
      </w:tr>
      <w:tr w14:paraId="6FBBC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5079CC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WBC, ×10^9/L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5D6915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10.58 [7.64; 14.62]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94FDE1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12.51 [8.09; 17.67]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DC83DE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0.003</w:t>
            </w:r>
          </w:p>
        </w:tc>
      </w:tr>
      <w:tr w14:paraId="3A30A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F75986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Neutrophils, ×10^9/L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219B5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9.21 [6.26; 13.11]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111F27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11.06 [6.30; 16.07]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E4F250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0.007</w:t>
            </w:r>
          </w:p>
        </w:tc>
      </w:tr>
      <w:tr w14:paraId="6C5F9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28161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Monocytes, ×10^9/L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FA4D58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0.46 [0.27; 0.69]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75DA0B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0.49 [0.26; 0.84]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AD73B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0.319</w:t>
            </w:r>
          </w:p>
        </w:tc>
      </w:tr>
      <w:tr w14:paraId="41B57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55315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Lactate, mmol/L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F11C21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2.70 [1.92; 3.55]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0ED1E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3.46 [2.60; 4.26]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25442E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&lt;0.001</w:t>
            </w:r>
          </w:p>
        </w:tc>
      </w:tr>
      <w:tr w14:paraId="3ACD5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FAE5BE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PCT, ng/mL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4CA103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2.07 [0.83; 7.17]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9B4A6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4.03 [1.44; 18.33]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425DD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&lt;0.001</w:t>
            </w:r>
          </w:p>
        </w:tc>
      </w:tr>
      <w:tr w14:paraId="31B0C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123A9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CRP, mg/L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1FF36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107.00 [55.00; 185.06]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C874FC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118.61 [80.94; 209.77]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3CD47E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0.008</w:t>
            </w:r>
          </w:p>
        </w:tc>
      </w:tr>
      <w:tr w14:paraId="09FCC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EF4B9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Albumin, g/L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0F3E3E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32.36 [30.00; 35.00]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D38C9D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31.54 [28.13; 35.13]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C656CD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0.032</w:t>
            </w:r>
          </w:p>
        </w:tc>
      </w:tr>
      <w:tr w14:paraId="4910A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B6D6EB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PaO2/FiO2 ratio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5FD222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294.29 [234.86; 366.67]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D3740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277.76 [219.36; 340.00]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D3E02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0.055</w:t>
            </w:r>
          </w:p>
        </w:tc>
      </w:tr>
      <w:tr w14:paraId="2C0EA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C032D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Immune markers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82A359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C16A8B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12ED5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</w:p>
        </w:tc>
      </w:tr>
      <w:tr w14:paraId="72A74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CB8BC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IL-6, pg/mL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87D8F7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53.89 [29.20; 105.48]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9B5F50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137.59 [79.97; 281.03]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A442E7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&lt;0.001</w:t>
            </w:r>
          </w:p>
        </w:tc>
      </w:tr>
      <w:tr w14:paraId="1DDC8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26B1D1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NK-cell percentage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805DF1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15.70 [12.43; 20.28]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A0B72C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11.27 [8.19; 15.07]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FFDE9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&lt;0.001</w:t>
            </w:r>
          </w:p>
        </w:tc>
      </w:tr>
      <w:tr w14:paraId="4CF6B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0949D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CD4+ T-cell percentage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221F3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43.94 [36.46; 50.89]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4D5C17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34.58 [29.54; 41.02]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2BF03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&lt;0.001</w:t>
            </w:r>
          </w:p>
        </w:tc>
      </w:tr>
      <w:tr w14:paraId="1969F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99BA2F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CD8+ T-cell percentage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86708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22.52 [16.80; 31.40]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55C19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23.45 [16.71; 31.39]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0AFBC8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0.740</w:t>
            </w:r>
          </w:p>
        </w:tc>
      </w:tr>
      <w:tr w14:paraId="7C9EB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A32F83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B-cell percentage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27B78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14.10 [8.80; 20.30]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27A45A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13.94 [7.00; 23.55]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8F0E7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0.409</w:t>
            </w:r>
          </w:p>
        </w:tc>
      </w:tr>
      <w:tr w14:paraId="4DD59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E40038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CD4+/CD8+ T-cell ratio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E95975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1.87 [1.14; 2.69]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19B3C0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1.91 [1.22; 2.89]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182D9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0.437</w:t>
            </w:r>
          </w:p>
        </w:tc>
      </w:tr>
      <w:tr w14:paraId="19923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239D98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C3, g/L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617C20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0.85 [0.72; 0.98]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E3C266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0.71 [0.58; 0.81]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596AE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&lt;0.001</w:t>
            </w:r>
          </w:p>
        </w:tc>
      </w:tr>
      <w:tr w14:paraId="78B81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878C1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C4, g/L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FD333E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0.17 [0.13; 0.22]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A3B508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0.15 [0.11; 0.19]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4AFC5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2"/>
                <w:lang w:eastAsia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12"/>
                <w:szCs w:val="22"/>
                <w:lang w:eastAsia="en-US"/>
                <w14:ligatures w14:val="none"/>
              </w:rPr>
              <w:t>&lt;0.001</w:t>
            </w:r>
          </w:p>
        </w:tc>
      </w:tr>
    </w:tbl>
    <w:p w14:paraId="4A5BA6B9">
      <w:pPr>
        <w:widowControl/>
        <w:spacing w:after="40" w:line="240" w:lineRule="auto"/>
        <w:rPr>
          <w:rFonts w:ascii="Times New Roman" w:hAnsi="Times New Roman" w:eastAsia="Times New Roman" w:cs="Times New Roman"/>
          <w:kern w:val="0"/>
          <w:sz w:val="20"/>
          <w:szCs w:val="22"/>
          <w:lang w:eastAsia="en-US"/>
          <w14:ligatures w14:val="none"/>
        </w:rPr>
      </w:pPr>
      <w:r>
        <w:rPr>
          <w:rFonts w:ascii="Times New Roman" w:hAnsi="Times New Roman" w:eastAsia="Times New Roman" w:cs="Times New Roman"/>
          <w:i/>
          <w:kern w:val="0"/>
          <w:sz w:val="20"/>
          <w:szCs w:val="22"/>
          <w:lang w:eastAsia="en-US"/>
          <w14:ligatures w14:val="none"/>
        </w:rPr>
        <w:t>Note: Continuous and categorical variables are presented as median [Q1; Q3] and as n (%), respectively. Between-group comparisons were performed using the Wilcoxon rank-sum test or Fisher's exact test. APACHE II, Acute Physiology and Chronic Health Evaluation II; SOFA, Sequential Organ Failure Assessment; CKD, chronic kidney disease; COPD, chronic obstructive pulmonary disease; WBC, white blood cell count; PCT, procalcitonin; CRP, C-reactive protein.</w:t>
      </w:r>
    </w:p>
    <w:p w14:paraId="3917E70B">
      <w:pPr>
        <w:widowControl/>
        <w:spacing w:after="200" w:line="276" w:lineRule="auto"/>
        <w:rPr>
          <w:rFonts w:ascii="Times New Roman" w:hAnsi="Times New Roman" w:eastAsia="Times New Roman" w:cs="Times New Roman"/>
          <w:kern w:val="0"/>
          <w:sz w:val="20"/>
          <w:szCs w:val="22"/>
          <w:lang w:eastAsia="en-US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0"/>
          <w:szCs w:val="22"/>
          <w:lang w:eastAsia="en-US"/>
          <w14:ligatures w14:val="none"/>
        </w:rPr>
        <w:br w:type="page"/>
      </w:r>
    </w:p>
    <w:p w14:paraId="36B72E30">
      <w:pPr>
        <w:keepNext/>
        <w:keepLines/>
        <w:widowControl/>
        <w:spacing w:before="480" w:after="40" w:line="276" w:lineRule="auto"/>
        <w:outlineLvl w:val="0"/>
        <w:rPr>
          <w:rFonts w:ascii="Calibri" w:hAnsi="Calibri" w:eastAsia="MS Gothic" w:cs="Times New Roman"/>
          <w:b/>
          <w:bCs/>
          <w:color w:val="365F91"/>
          <w:kern w:val="0"/>
          <w:sz w:val="24"/>
          <w:szCs w:val="28"/>
          <w:lang w:eastAsia="en-US"/>
          <w14:ligatures w14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50750AF">
      <w:pPr>
        <w:keepNext/>
        <w:keepLines/>
        <w:widowControl/>
        <w:spacing w:before="480" w:after="40" w:line="276" w:lineRule="auto"/>
        <w:outlineLvl w:val="0"/>
        <w:rPr>
          <w:rFonts w:ascii="Calibri" w:hAnsi="Calibri" w:eastAsia="MS Gothic" w:cs="Times New Roman"/>
          <w:b/>
          <w:bCs/>
          <w:color w:val="365F91"/>
          <w:kern w:val="0"/>
          <w:sz w:val="24"/>
          <w:szCs w:val="28"/>
          <w:lang w:eastAsia="en-US"/>
          <w14:ligatures w14:val="none"/>
        </w:rPr>
      </w:pPr>
      <w:r>
        <w:rPr>
          <w:rFonts w:ascii="Calibri" w:hAnsi="Calibri" w:eastAsia="MS Gothic" w:cs="Times New Roman"/>
          <w:b/>
          <w:bCs/>
          <w:color w:val="365F91"/>
          <w:kern w:val="0"/>
          <w:sz w:val="24"/>
          <w:szCs w:val="28"/>
          <w:lang w:eastAsia="en-US"/>
          <w14:ligatures w14:val="none"/>
        </w:rPr>
        <w:t>Supplementary Figures</w:t>
      </w:r>
    </w:p>
    <w:p w14:paraId="64AF328C">
      <w:pPr>
        <w:widowControl/>
        <w:spacing w:after="40" w:line="240" w:lineRule="auto"/>
        <w:jc w:val="center"/>
        <w:rPr>
          <w:rFonts w:ascii="Times New Roman" w:hAnsi="Times New Roman" w:eastAsia="Times New Roman" w:cs="Times New Roman"/>
          <w:kern w:val="0"/>
          <w:sz w:val="20"/>
          <w:szCs w:val="22"/>
          <w:lang w:eastAsia="en-US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0"/>
          <w:szCs w:val="22"/>
          <w:lang w:eastAsia="en-US"/>
          <w14:ligatures w14:val="none"/>
        </w:rPr>
        <w:t>Supplementary Figure 1. Univariable logistic regression analysis of candidate variables associated with severe SA-AKI in the training cohort.</w:t>
      </w:r>
    </w:p>
    <w:p w14:paraId="3033110F">
      <w:pPr>
        <w:widowControl/>
        <w:spacing w:after="0" w:line="276" w:lineRule="auto"/>
        <w:jc w:val="center"/>
        <w:rPr>
          <w:rFonts w:ascii="Times New Roman" w:hAnsi="Times New Roman" w:eastAsia="Times New Roman" w:cs="Times New Roman"/>
          <w:kern w:val="0"/>
          <w:sz w:val="20"/>
          <w:szCs w:val="22"/>
          <w:lang w:eastAsia="en-US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0"/>
          <w:szCs w:val="22"/>
          <w:lang w:eastAsia="en-US"/>
          <w14:ligatures w14:val="none"/>
        </w:rPr>
        <w:drawing>
          <wp:inline distT="0" distB="0" distL="0" distR="0">
            <wp:extent cx="7863205" cy="4100830"/>
            <wp:effectExtent l="0" t="0" r="4445" b="0"/>
            <wp:docPr id="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63205" cy="410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22B04">
      <w:pPr>
        <w:widowControl/>
        <w:spacing w:after="200" w:line="276" w:lineRule="auto"/>
        <w:rPr>
          <w:rFonts w:ascii="Times New Roman" w:hAnsi="Times New Roman" w:eastAsia="Times New Roman" w:cs="Times New Roman"/>
          <w:kern w:val="0"/>
          <w:sz w:val="20"/>
          <w:szCs w:val="22"/>
          <w:lang w:eastAsia="en-US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0"/>
          <w:szCs w:val="22"/>
          <w:lang w:eastAsia="en-US"/>
          <w14:ligatures w14:val="none"/>
        </w:rPr>
        <w:br w:type="page"/>
      </w:r>
    </w:p>
    <w:p w14:paraId="6FF89065">
      <w:pPr>
        <w:widowControl/>
        <w:spacing w:after="40" w:line="240" w:lineRule="auto"/>
        <w:jc w:val="center"/>
        <w:rPr>
          <w:rFonts w:ascii="Times New Roman" w:hAnsi="Times New Roman" w:eastAsia="Times New Roman" w:cs="Times New Roman"/>
          <w:kern w:val="0"/>
          <w:sz w:val="20"/>
          <w:szCs w:val="22"/>
          <w:lang w:eastAsia="en-US"/>
          <w14:ligatures w14:val="none"/>
        </w:rPr>
        <w:sectPr>
          <w:pgSz w:w="16838" w:h="11906" w:orient="landscape"/>
          <w:pgMar w:top="1800" w:right="1440" w:bottom="1800" w:left="1440" w:header="850" w:footer="994" w:gutter="0"/>
          <w:cols w:space="425" w:num="1"/>
          <w:docGrid w:type="linesAndChars" w:linePitch="312" w:charSpace="0"/>
        </w:sectPr>
      </w:pPr>
    </w:p>
    <w:p w14:paraId="63D905A1">
      <w:pPr>
        <w:widowControl/>
        <w:spacing w:after="40" w:line="240" w:lineRule="auto"/>
        <w:jc w:val="center"/>
        <w:rPr>
          <w:rFonts w:ascii="Times New Roman" w:hAnsi="Times New Roman" w:eastAsia="Times New Roman" w:cs="Times New Roman"/>
          <w:kern w:val="0"/>
          <w:sz w:val="20"/>
          <w:szCs w:val="22"/>
          <w:lang w:eastAsia="en-US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0"/>
          <w:szCs w:val="22"/>
          <w:lang w:eastAsia="en-US"/>
          <w14:ligatures w14:val="none"/>
        </w:rPr>
        <w:t>Supplementary Figure 2. Spearman correlation heatmap of key candidate variables in the training cohort.</w:t>
      </w:r>
    </w:p>
    <w:p w14:paraId="17B9CEC7">
      <w:pPr>
        <w:widowControl/>
        <w:spacing w:after="0" w:line="276" w:lineRule="auto"/>
        <w:jc w:val="center"/>
        <w:rPr>
          <w:rFonts w:ascii="Times New Roman" w:hAnsi="Times New Roman" w:eastAsia="Times New Roman" w:cs="Times New Roman"/>
          <w:kern w:val="0"/>
          <w:sz w:val="20"/>
          <w:szCs w:val="22"/>
          <w:lang w:eastAsia="en-US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0"/>
          <w:szCs w:val="22"/>
          <w:lang w:eastAsia="en-US"/>
          <w14:ligatures w14:val="none"/>
        </w:rPr>
        <w:drawing>
          <wp:inline distT="0" distB="0" distL="0" distR="0">
            <wp:extent cx="5948680" cy="5133975"/>
            <wp:effectExtent l="0" t="0" r="0" b="9525"/>
            <wp:docPr id="1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8680" cy="513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3E613D">
      <w:pPr>
        <w:widowControl/>
        <w:spacing w:after="200" w:line="276" w:lineRule="auto"/>
        <w:rPr>
          <w:rFonts w:ascii="Times New Roman" w:hAnsi="Times New Roman" w:eastAsia="Times New Roman" w:cs="Times New Roman"/>
          <w:kern w:val="0"/>
          <w:sz w:val="20"/>
          <w:szCs w:val="22"/>
          <w:lang w:eastAsia="en-US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0"/>
          <w:szCs w:val="22"/>
          <w:lang w:eastAsia="en-US"/>
          <w14:ligatures w14:val="none"/>
        </w:rPr>
        <w:br w:type="page"/>
      </w:r>
    </w:p>
    <w:p w14:paraId="4A253CCC">
      <w:pPr>
        <w:widowControl/>
        <w:spacing w:after="40" w:line="240" w:lineRule="auto"/>
        <w:jc w:val="center"/>
        <w:rPr>
          <w:rFonts w:ascii="Times New Roman" w:hAnsi="Times New Roman" w:eastAsia="Times New Roman" w:cs="Times New Roman"/>
          <w:kern w:val="0"/>
          <w:sz w:val="20"/>
          <w:szCs w:val="22"/>
          <w:lang w:eastAsia="en-US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0"/>
          <w:szCs w:val="22"/>
          <w:lang w:eastAsia="en-US"/>
          <w14:ligatures w14:val="none"/>
        </w:rPr>
        <w:t>Supplementary Figure 3. Selection of the optimal number of predictors. Panel A shows discrimination across candidate models; Panel B shows the validation Brier score; Panel C shows the maximum VIF; Panel D shows validation ROC curves around the selected model size.</w:t>
      </w:r>
    </w:p>
    <w:p w14:paraId="119A3D92">
      <w:pPr>
        <w:widowControl/>
        <w:spacing w:after="0" w:line="276" w:lineRule="auto"/>
        <w:jc w:val="center"/>
        <w:rPr>
          <w:rFonts w:ascii="Times New Roman" w:hAnsi="Times New Roman" w:eastAsia="Times New Roman" w:cs="Times New Roman"/>
          <w:kern w:val="0"/>
          <w:sz w:val="20"/>
          <w:szCs w:val="22"/>
          <w:lang w:eastAsia="en-US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0"/>
          <w:szCs w:val="22"/>
          <w:lang w:eastAsia="en-US"/>
          <w14:ligatures w14:val="none"/>
        </w:rPr>
        <w:drawing>
          <wp:inline distT="0" distB="0" distL="0" distR="0">
            <wp:extent cx="7863205" cy="5924550"/>
            <wp:effectExtent l="0" t="0" r="4445" b="0"/>
            <wp:docPr id="1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63205" cy="592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5EECA6"/>
    <w:sectPr>
      <w:pgSz w:w="16838" w:h="11906" w:orient="landscape"/>
      <w:pgMar w:top="1800" w:right="1440" w:bottom="1800" w:left="1440" w:header="850" w:footer="994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4D5"/>
    <w:rsid w:val="0005262E"/>
    <w:rsid w:val="000C32B9"/>
    <w:rsid w:val="000D5AEB"/>
    <w:rsid w:val="00177539"/>
    <w:rsid w:val="0027752D"/>
    <w:rsid w:val="00307BF4"/>
    <w:rsid w:val="00A844D5"/>
    <w:rsid w:val="00C32187"/>
    <w:rsid w:val="00E21D1B"/>
    <w:rsid w:val="00E52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footer"/>
    <w:basedOn w:val="1"/>
    <w:link w:val="37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4">
    <w:name w:val="head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6">
    <w:name w:val="Table Grid"/>
    <w:basedOn w:val="12"/>
    <w:uiPriority w:val="59"/>
    <w:pPr>
      <w:spacing w:after="0" w:line="240" w:lineRule="auto"/>
    </w:pPr>
    <w:rPr>
      <w:rFonts w:ascii="Cambria" w:hAnsi="Cambria" w:eastAsia="Times New Roman" w:cs="Times New Roman"/>
      <w:kern w:val="0"/>
      <w:szCs w:val="22"/>
      <w:lang w:eastAsia="en-US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7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Heading 3 Char"/>
    <w:basedOn w:val="11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Heading 4 Char"/>
    <w:basedOn w:val="11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Heading 5 Char"/>
    <w:basedOn w:val="11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Heading 6 Char"/>
    <w:basedOn w:val="11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Heading 7 Char"/>
    <w:basedOn w:val="11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Heading 8 Char"/>
    <w:basedOn w:val="11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Heading 9 Char"/>
    <w:basedOn w:val="11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Title Char"/>
    <w:basedOn w:val="11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Subtitle Char"/>
    <w:basedOn w:val="11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Quote Char"/>
    <w:basedOn w:val="11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Intense Quote Char"/>
    <w:basedOn w:val="11"/>
    <w:link w:val="33"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Header Char"/>
    <w:basedOn w:val="11"/>
    <w:link w:val="14"/>
    <w:uiPriority w:val="99"/>
    <w:rPr>
      <w:sz w:val="18"/>
      <w:szCs w:val="18"/>
    </w:rPr>
  </w:style>
  <w:style w:type="character" w:customStyle="1" w:styleId="37">
    <w:name w:val="Footer Char"/>
    <w:basedOn w:val="11"/>
    <w:link w:val="1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822</Words>
  <Characters>4692</Characters>
  <Lines>39</Lines>
  <Paragraphs>11</Paragraphs>
  <TotalTime>3</TotalTime>
  <ScaleCrop>false</ScaleCrop>
  <LinksUpToDate>false</LinksUpToDate>
  <CharactersWithSpaces>5503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2026-05-17T14:54:00Z</dcterms:created>
  <dc:creator>wenliang ma</dc:creator>
  <cp:lastModifiedBy>e739760</cp:lastModifiedBy>
  <dcterms:modified xsi:type="dcterms:W3CDTF">2026-06-25T05:38:24Z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1033-12.1.0.26372</vt:lpwstr>
  </property>
  <property fmtid="{D5CDD505-2E9C-101B-9397-08002B2CF9AE}" pid="3" name="ICV">
    <vt:lpwstr>4FB0A0B4775643A2AD4F239FEA7C7D87_13</vt:lpwstr>
  </property>
</Properties>
</file>