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86800" w14:textId="77777777" w:rsidR="00DA2CE3" w:rsidRPr="00D377F7" w:rsidRDefault="00DA2CE3" w:rsidP="00DA2CE3">
      <w:r w:rsidRPr="00D377F7">
        <w:rPr>
          <w:b/>
          <w:bCs/>
        </w:rPr>
        <w:t xml:space="preserve">Supplementary Table </w:t>
      </w:r>
      <w:r>
        <w:rPr>
          <w:b/>
          <w:bCs/>
        </w:rPr>
        <w:t>1</w:t>
      </w:r>
      <w:r w:rsidRPr="00D377F7">
        <w:rPr>
          <w:b/>
          <w:bCs/>
        </w:rPr>
        <w:t>. Full multivariable logistic regression models for clinical outcomes</w:t>
      </w:r>
      <w:r w:rsidRPr="00D377F7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2"/>
        <w:gridCol w:w="2976"/>
        <w:gridCol w:w="2131"/>
        <w:gridCol w:w="1037"/>
        <w:gridCol w:w="854"/>
      </w:tblGrid>
      <w:tr w:rsidR="00DA2CE3" w:rsidRPr="00D377F7" w14:paraId="6BFE4FC9" w14:textId="77777777" w:rsidTr="00CE2C4B">
        <w:tc>
          <w:tcPr>
            <w:tcW w:w="0" w:type="auto"/>
            <w:hideMark/>
          </w:tcPr>
          <w:p w14:paraId="761AA06A" w14:textId="77777777" w:rsidR="00DA2CE3" w:rsidRPr="00D377F7" w:rsidRDefault="00DA2CE3" w:rsidP="00CE2C4B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Clinical outcome</w:t>
            </w:r>
          </w:p>
        </w:tc>
        <w:tc>
          <w:tcPr>
            <w:tcW w:w="0" w:type="auto"/>
            <w:hideMark/>
          </w:tcPr>
          <w:p w14:paraId="7688E93B" w14:textId="77777777" w:rsidR="00DA2CE3" w:rsidRPr="00D377F7" w:rsidRDefault="00DA2CE3" w:rsidP="00CE2C4B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Predictor</w:t>
            </w:r>
          </w:p>
        </w:tc>
        <w:tc>
          <w:tcPr>
            <w:tcW w:w="0" w:type="auto"/>
            <w:hideMark/>
          </w:tcPr>
          <w:p w14:paraId="7D687DD5" w14:textId="77777777" w:rsidR="00DA2CE3" w:rsidRPr="00D377F7" w:rsidRDefault="00DA2CE3" w:rsidP="00CE2C4B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Adjusted Odds Ratio (aOR)</w:t>
            </w:r>
          </w:p>
        </w:tc>
        <w:tc>
          <w:tcPr>
            <w:tcW w:w="0" w:type="auto"/>
            <w:hideMark/>
          </w:tcPr>
          <w:p w14:paraId="2CB048E5" w14:textId="77777777" w:rsidR="00DA2CE3" w:rsidRPr="00D377F7" w:rsidRDefault="00DA2CE3" w:rsidP="00CE2C4B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0" w:type="auto"/>
            <w:hideMark/>
          </w:tcPr>
          <w:p w14:paraId="01E93E0E" w14:textId="77777777" w:rsidR="00DA2CE3" w:rsidRPr="00D377F7" w:rsidRDefault="00DA2CE3" w:rsidP="00CE2C4B">
            <w:pPr>
              <w:spacing w:after="160" w:line="278" w:lineRule="auto"/>
              <w:rPr>
                <w:b/>
                <w:bCs/>
                <w:sz w:val="20"/>
                <w:szCs w:val="20"/>
              </w:rPr>
            </w:pPr>
            <w:r w:rsidRPr="00233F4C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D377F7">
              <w:rPr>
                <w:b/>
                <w:bCs/>
                <w:sz w:val="20"/>
                <w:szCs w:val="20"/>
              </w:rPr>
              <w:t>-value</w:t>
            </w:r>
          </w:p>
        </w:tc>
      </w:tr>
      <w:tr w:rsidR="00DA2CE3" w:rsidRPr="00D377F7" w14:paraId="287378C0" w14:textId="77777777" w:rsidTr="00CE2C4B">
        <w:tc>
          <w:tcPr>
            <w:tcW w:w="0" w:type="auto"/>
            <w:hideMark/>
          </w:tcPr>
          <w:p w14:paraId="1647D4C6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In-hospital death</w:t>
            </w:r>
          </w:p>
        </w:tc>
        <w:tc>
          <w:tcPr>
            <w:tcW w:w="0" w:type="auto"/>
            <w:hideMark/>
          </w:tcPr>
          <w:p w14:paraId="5CBA78FC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CFS 5–6</w:t>
            </w:r>
          </w:p>
        </w:tc>
        <w:tc>
          <w:tcPr>
            <w:tcW w:w="0" w:type="auto"/>
            <w:hideMark/>
          </w:tcPr>
          <w:p w14:paraId="78C03934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1.32</w:t>
            </w:r>
          </w:p>
        </w:tc>
        <w:tc>
          <w:tcPr>
            <w:tcW w:w="0" w:type="auto"/>
            <w:hideMark/>
          </w:tcPr>
          <w:p w14:paraId="015F820C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0.34–5.17</w:t>
            </w:r>
          </w:p>
        </w:tc>
        <w:tc>
          <w:tcPr>
            <w:tcW w:w="0" w:type="auto"/>
            <w:hideMark/>
          </w:tcPr>
          <w:p w14:paraId="480CA71A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0.692</w:t>
            </w:r>
          </w:p>
        </w:tc>
      </w:tr>
      <w:tr w:rsidR="00DA2CE3" w:rsidRPr="00D377F7" w14:paraId="5C6FE412" w14:textId="77777777" w:rsidTr="00CE2C4B">
        <w:tc>
          <w:tcPr>
            <w:tcW w:w="0" w:type="auto"/>
            <w:hideMark/>
          </w:tcPr>
          <w:p w14:paraId="70EC16B1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C2F864E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CFS 7–9</w:t>
            </w:r>
          </w:p>
        </w:tc>
        <w:tc>
          <w:tcPr>
            <w:tcW w:w="0" w:type="auto"/>
            <w:hideMark/>
          </w:tcPr>
          <w:p w14:paraId="36401782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3.88</w:t>
            </w:r>
          </w:p>
        </w:tc>
        <w:tc>
          <w:tcPr>
            <w:tcW w:w="0" w:type="auto"/>
            <w:hideMark/>
          </w:tcPr>
          <w:p w14:paraId="53D2A068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1.24–12.17</w:t>
            </w:r>
          </w:p>
        </w:tc>
        <w:tc>
          <w:tcPr>
            <w:tcW w:w="0" w:type="auto"/>
            <w:hideMark/>
          </w:tcPr>
          <w:p w14:paraId="526088E0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0.020</w:t>
            </w:r>
          </w:p>
        </w:tc>
      </w:tr>
      <w:tr w:rsidR="00DA2CE3" w:rsidRPr="00D377F7" w14:paraId="4B2B3B5F" w14:textId="77777777" w:rsidTr="00CE2C4B">
        <w:tc>
          <w:tcPr>
            <w:tcW w:w="0" w:type="auto"/>
            <w:hideMark/>
          </w:tcPr>
          <w:p w14:paraId="4B8D798E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D7D0F76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233F4C">
              <w:rPr>
                <w:sz w:val="20"/>
                <w:szCs w:val="20"/>
              </w:rPr>
              <w:t>Complex multimorbidity (≥3 conditions)</w:t>
            </w:r>
          </w:p>
        </w:tc>
        <w:tc>
          <w:tcPr>
            <w:tcW w:w="0" w:type="auto"/>
            <w:hideMark/>
          </w:tcPr>
          <w:p w14:paraId="11C6D14D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1.61</w:t>
            </w:r>
          </w:p>
        </w:tc>
        <w:tc>
          <w:tcPr>
            <w:tcW w:w="0" w:type="auto"/>
            <w:hideMark/>
          </w:tcPr>
          <w:p w14:paraId="135829A1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0.69–3.76</w:t>
            </w:r>
          </w:p>
        </w:tc>
        <w:tc>
          <w:tcPr>
            <w:tcW w:w="0" w:type="auto"/>
            <w:hideMark/>
          </w:tcPr>
          <w:p w14:paraId="3841B0DF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0.269</w:t>
            </w:r>
          </w:p>
        </w:tc>
      </w:tr>
      <w:tr w:rsidR="00DA2CE3" w:rsidRPr="00D377F7" w14:paraId="0D94E8BD" w14:textId="77777777" w:rsidTr="00CE2C4B">
        <w:tc>
          <w:tcPr>
            <w:tcW w:w="0" w:type="auto"/>
            <w:hideMark/>
          </w:tcPr>
          <w:p w14:paraId="5491759D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B59FA86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Polypharmacy</w:t>
            </w:r>
          </w:p>
        </w:tc>
        <w:tc>
          <w:tcPr>
            <w:tcW w:w="0" w:type="auto"/>
            <w:hideMark/>
          </w:tcPr>
          <w:p w14:paraId="75ECD57F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0.45</w:t>
            </w:r>
          </w:p>
        </w:tc>
        <w:tc>
          <w:tcPr>
            <w:tcW w:w="0" w:type="auto"/>
            <w:hideMark/>
          </w:tcPr>
          <w:p w14:paraId="19C75BDB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0.20–1.01</w:t>
            </w:r>
          </w:p>
        </w:tc>
        <w:tc>
          <w:tcPr>
            <w:tcW w:w="0" w:type="auto"/>
            <w:hideMark/>
          </w:tcPr>
          <w:p w14:paraId="101B97A2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0.054</w:t>
            </w:r>
          </w:p>
        </w:tc>
      </w:tr>
      <w:tr w:rsidR="00DA2CE3" w:rsidRPr="00D377F7" w14:paraId="37584533" w14:textId="77777777" w:rsidTr="00CE2C4B">
        <w:tc>
          <w:tcPr>
            <w:tcW w:w="0" w:type="auto"/>
            <w:hideMark/>
          </w:tcPr>
          <w:p w14:paraId="24B147B2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0183182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Age, year</w:t>
            </w:r>
          </w:p>
        </w:tc>
        <w:tc>
          <w:tcPr>
            <w:tcW w:w="0" w:type="auto"/>
            <w:hideMark/>
          </w:tcPr>
          <w:p w14:paraId="7B302AC1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1.05</w:t>
            </w:r>
          </w:p>
        </w:tc>
        <w:tc>
          <w:tcPr>
            <w:tcW w:w="0" w:type="auto"/>
            <w:hideMark/>
          </w:tcPr>
          <w:p w14:paraId="01E528DA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1.00–1.11</w:t>
            </w:r>
          </w:p>
        </w:tc>
        <w:tc>
          <w:tcPr>
            <w:tcW w:w="0" w:type="auto"/>
            <w:hideMark/>
          </w:tcPr>
          <w:p w14:paraId="4F5CD4B0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0.040</w:t>
            </w:r>
          </w:p>
        </w:tc>
      </w:tr>
      <w:tr w:rsidR="00DA2CE3" w:rsidRPr="00D377F7" w14:paraId="5DAE4C3F" w14:textId="77777777" w:rsidTr="00CE2C4B">
        <w:tc>
          <w:tcPr>
            <w:tcW w:w="0" w:type="auto"/>
            <w:hideMark/>
          </w:tcPr>
          <w:p w14:paraId="5063772A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2DF6498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Gender</w:t>
            </w:r>
          </w:p>
        </w:tc>
        <w:tc>
          <w:tcPr>
            <w:tcW w:w="0" w:type="auto"/>
            <w:hideMark/>
          </w:tcPr>
          <w:p w14:paraId="1F22E8FF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1.28</w:t>
            </w:r>
          </w:p>
        </w:tc>
        <w:tc>
          <w:tcPr>
            <w:tcW w:w="0" w:type="auto"/>
            <w:hideMark/>
          </w:tcPr>
          <w:p w14:paraId="195146F2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0.58–2.84</w:t>
            </w:r>
          </w:p>
        </w:tc>
        <w:tc>
          <w:tcPr>
            <w:tcW w:w="0" w:type="auto"/>
            <w:hideMark/>
          </w:tcPr>
          <w:p w14:paraId="5E1B7041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0.538</w:t>
            </w:r>
          </w:p>
        </w:tc>
      </w:tr>
      <w:tr w:rsidR="00DA2CE3" w:rsidRPr="00D377F7" w14:paraId="7ED108B5" w14:textId="77777777" w:rsidTr="00CE2C4B">
        <w:tc>
          <w:tcPr>
            <w:tcW w:w="0" w:type="auto"/>
            <w:hideMark/>
          </w:tcPr>
          <w:p w14:paraId="02AFF68A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Cumulative 30-day mortality</w:t>
            </w:r>
          </w:p>
        </w:tc>
        <w:tc>
          <w:tcPr>
            <w:tcW w:w="0" w:type="auto"/>
            <w:hideMark/>
          </w:tcPr>
          <w:p w14:paraId="3391C3F5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CFS 5–6</w:t>
            </w:r>
          </w:p>
        </w:tc>
        <w:tc>
          <w:tcPr>
            <w:tcW w:w="0" w:type="auto"/>
            <w:hideMark/>
          </w:tcPr>
          <w:p w14:paraId="7A174DD8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2.04</w:t>
            </w:r>
          </w:p>
        </w:tc>
        <w:tc>
          <w:tcPr>
            <w:tcW w:w="0" w:type="auto"/>
            <w:hideMark/>
          </w:tcPr>
          <w:p w14:paraId="6B123F04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0.75–5.50</w:t>
            </w:r>
          </w:p>
        </w:tc>
        <w:tc>
          <w:tcPr>
            <w:tcW w:w="0" w:type="auto"/>
            <w:hideMark/>
          </w:tcPr>
          <w:p w14:paraId="36087DDB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0.161</w:t>
            </w:r>
          </w:p>
        </w:tc>
      </w:tr>
      <w:tr w:rsidR="00DA2CE3" w:rsidRPr="00D377F7" w14:paraId="5C6B7CD9" w14:textId="77777777" w:rsidTr="00CE2C4B">
        <w:tc>
          <w:tcPr>
            <w:tcW w:w="0" w:type="auto"/>
            <w:hideMark/>
          </w:tcPr>
          <w:p w14:paraId="3447F2E7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73E582B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CFS 7–9</w:t>
            </w:r>
          </w:p>
        </w:tc>
        <w:tc>
          <w:tcPr>
            <w:tcW w:w="0" w:type="auto"/>
            <w:hideMark/>
          </w:tcPr>
          <w:p w14:paraId="3DC931B4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5.24</w:t>
            </w:r>
          </w:p>
        </w:tc>
        <w:tc>
          <w:tcPr>
            <w:tcW w:w="0" w:type="auto"/>
            <w:hideMark/>
          </w:tcPr>
          <w:p w14:paraId="6A849630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2.16–12.70</w:t>
            </w:r>
          </w:p>
        </w:tc>
        <w:tc>
          <w:tcPr>
            <w:tcW w:w="0" w:type="auto"/>
            <w:hideMark/>
          </w:tcPr>
          <w:p w14:paraId="7B829A6F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&lt;0.01</w:t>
            </w:r>
          </w:p>
        </w:tc>
      </w:tr>
      <w:tr w:rsidR="00DA2CE3" w:rsidRPr="00D377F7" w14:paraId="33EE4B87" w14:textId="77777777" w:rsidTr="00CE2C4B">
        <w:tc>
          <w:tcPr>
            <w:tcW w:w="0" w:type="auto"/>
            <w:hideMark/>
          </w:tcPr>
          <w:p w14:paraId="22A179A9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7C5004B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233F4C">
              <w:rPr>
                <w:sz w:val="20"/>
                <w:szCs w:val="20"/>
              </w:rPr>
              <w:t>Complex multimorbidity (≥3 conditions)</w:t>
            </w:r>
          </w:p>
        </w:tc>
        <w:tc>
          <w:tcPr>
            <w:tcW w:w="0" w:type="auto"/>
            <w:hideMark/>
          </w:tcPr>
          <w:p w14:paraId="4BA9040E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2.12</w:t>
            </w:r>
          </w:p>
        </w:tc>
        <w:tc>
          <w:tcPr>
            <w:tcW w:w="0" w:type="auto"/>
            <w:hideMark/>
          </w:tcPr>
          <w:p w14:paraId="2E0D5984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1.09–4.10</w:t>
            </w:r>
          </w:p>
        </w:tc>
        <w:tc>
          <w:tcPr>
            <w:tcW w:w="0" w:type="auto"/>
            <w:hideMark/>
          </w:tcPr>
          <w:p w14:paraId="512FDAEB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0.026</w:t>
            </w:r>
          </w:p>
        </w:tc>
      </w:tr>
      <w:tr w:rsidR="00DA2CE3" w:rsidRPr="00D377F7" w14:paraId="25C0C9AA" w14:textId="77777777" w:rsidTr="00CE2C4B">
        <w:tc>
          <w:tcPr>
            <w:tcW w:w="0" w:type="auto"/>
            <w:hideMark/>
          </w:tcPr>
          <w:p w14:paraId="57D451EF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7581A24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Polypharmacy</w:t>
            </w:r>
          </w:p>
        </w:tc>
        <w:tc>
          <w:tcPr>
            <w:tcW w:w="0" w:type="auto"/>
            <w:hideMark/>
          </w:tcPr>
          <w:p w14:paraId="59EF8229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0.38</w:t>
            </w:r>
          </w:p>
        </w:tc>
        <w:tc>
          <w:tcPr>
            <w:tcW w:w="0" w:type="auto"/>
            <w:hideMark/>
          </w:tcPr>
          <w:p w14:paraId="546149BE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0.20–0.73</w:t>
            </w:r>
          </w:p>
        </w:tc>
        <w:tc>
          <w:tcPr>
            <w:tcW w:w="0" w:type="auto"/>
            <w:hideMark/>
          </w:tcPr>
          <w:p w14:paraId="3356D89D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&lt;0.01</w:t>
            </w:r>
          </w:p>
        </w:tc>
      </w:tr>
      <w:tr w:rsidR="00DA2CE3" w:rsidRPr="00D377F7" w14:paraId="2562772C" w14:textId="77777777" w:rsidTr="00CE2C4B">
        <w:tc>
          <w:tcPr>
            <w:tcW w:w="0" w:type="auto"/>
            <w:hideMark/>
          </w:tcPr>
          <w:p w14:paraId="7005554C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7A63CF2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Age, year</w:t>
            </w:r>
          </w:p>
        </w:tc>
        <w:tc>
          <w:tcPr>
            <w:tcW w:w="0" w:type="auto"/>
            <w:hideMark/>
          </w:tcPr>
          <w:p w14:paraId="5F7CDEF6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1.03</w:t>
            </w:r>
          </w:p>
        </w:tc>
        <w:tc>
          <w:tcPr>
            <w:tcW w:w="0" w:type="auto"/>
            <w:hideMark/>
          </w:tcPr>
          <w:p w14:paraId="54827568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0.99–1.07</w:t>
            </w:r>
          </w:p>
        </w:tc>
        <w:tc>
          <w:tcPr>
            <w:tcW w:w="0" w:type="auto"/>
            <w:hideMark/>
          </w:tcPr>
          <w:p w14:paraId="2BDF0228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0.116</w:t>
            </w:r>
          </w:p>
        </w:tc>
      </w:tr>
      <w:tr w:rsidR="00DA2CE3" w:rsidRPr="00D377F7" w14:paraId="224F0B75" w14:textId="77777777" w:rsidTr="00CE2C4B">
        <w:tc>
          <w:tcPr>
            <w:tcW w:w="0" w:type="auto"/>
            <w:hideMark/>
          </w:tcPr>
          <w:p w14:paraId="4D82A721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8527628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Gender</w:t>
            </w:r>
          </w:p>
        </w:tc>
        <w:tc>
          <w:tcPr>
            <w:tcW w:w="0" w:type="auto"/>
            <w:hideMark/>
          </w:tcPr>
          <w:p w14:paraId="7E8B95D9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1.61</w:t>
            </w:r>
          </w:p>
        </w:tc>
        <w:tc>
          <w:tcPr>
            <w:tcW w:w="0" w:type="auto"/>
            <w:hideMark/>
          </w:tcPr>
          <w:p w14:paraId="4C00A450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0.88–2.96</w:t>
            </w:r>
          </w:p>
        </w:tc>
        <w:tc>
          <w:tcPr>
            <w:tcW w:w="0" w:type="auto"/>
            <w:hideMark/>
          </w:tcPr>
          <w:p w14:paraId="4FAC5BEA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0.125</w:t>
            </w:r>
          </w:p>
        </w:tc>
      </w:tr>
      <w:tr w:rsidR="00DA2CE3" w:rsidRPr="00D377F7" w14:paraId="54998CC6" w14:textId="77777777" w:rsidTr="00CE2C4B">
        <w:tc>
          <w:tcPr>
            <w:tcW w:w="0" w:type="auto"/>
            <w:hideMark/>
          </w:tcPr>
          <w:p w14:paraId="4D774D1D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Cumulative 90-day mortality</w:t>
            </w:r>
          </w:p>
        </w:tc>
        <w:tc>
          <w:tcPr>
            <w:tcW w:w="0" w:type="auto"/>
            <w:hideMark/>
          </w:tcPr>
          <w:p w14:paraId="74D6218E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CFS 5–6</w:t>
            </w:r>
          </w:p>
        </w:tc>
        <w:tc>
          <w:tcPr>
            <w:tcW w:w="0" w:type="auto"/>
            <w:hideMark/>
          </w:tcPr>
          <w:p w14:paraId="55D2447D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1.09</w:t>
            </w:r>
          </w:p>
        </w:tc>
        <w:tc>
          <w:tcPr>
            <w:tcW w:w="0" w:type="auto"/>
            <w:hideMark/>
          </w:tcPr>
          <w:p w14:paraId="7E9A4BA5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0.48–2.44</w:t>
            </w:r>
          </w:p>
        </w:tc>
        <w:tc>
          <w:tcPr>
            <w:tcW w:w="0" w:type="auto"/>
            <w:hideMark/>
          </w:tcPr>
          <w:p w14:paraId="0054E9CA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0.839</w:t>
            </w:r>
          </w:p>
        </w:tc>
      </w:tr>
      <w:tr w:rsidR="00DA2CE3" w:rsidRPr="00D377F7" w14:paraId="6C8B763B" w14:textId="77777777" w:rsidTr="00CE2C4B">
        <w:tc>
          <w:tcPr>
            <w:tcW w:w="0" w:type="auto"/>
            <w:hideMark/>
          </w:tcPr>
          <w:p w14:paraId="21BA7015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86AA9ED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CFS 7–9</w:t>
            </w:r>
          </w:p>
        </w:tc>
        <w:tc>
          <w:tcPr>
            <w:tcW w:w="0" w:type="auto"/>
            <w:hideMark/>
          </w:tcPr>
          <w:p w14:paraId="7F05A9D5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3.35</w:t>
            </w:r>
          </w:p>
        </w:tc>
        <w:tc>
          <w:tcPr>
            <w:tcW w:w="0" w:type="auto"/>
            <w:hideMark/>
          </w:tcPr>
          <w:p w14:paraId="17514E30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1.68–6.69</w:t>
            </w:r>
          </w:p>
        </w:tc>
        <w:tc>
          <w:tcPr>
            <w:tcW w:w="0" w:type="auto"/>
            <w:hideMark/>
          </w:tcPr>
          <w:p w14:paraId="25313A04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&lt;0.01</w:t>
            </w:r>
          </w:p>
        </w:tc>
      </w:tr>
      <w:tr w:rsidR="00DA2CE3" w:rsidRPr="00D377F7" w14:paraId="090CF50C" w14:textId="77777777" w:rsidTr="00CE2C4B">
        <w:tc>
          <w:tcPr>
            <w:tcW w:w="0" w:type="auto"/>
            <w:hideMark/>
          </w:tcPr>
          <w:p w14:paraId="3D4399EA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5746FCF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233F4C">
              <w:rPr>
                <w:sz w:val="20"/>
                <w:szCs w:val="20"/>
              </w:rPr>
              <w:t>Complex multimorbidity (≥3 conditions)</w:t>
            </w:r>
          </w:p>
        </w:tc>
        <w:tc>
          <w:tcPr>
            <w:tcW w:w="0" w:type="auto"/>
            <w:hideMark/>
          </w:tcPr>
          <w:p w14:paraId="3EF2552E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2.42</w:t>
            </w:r>
          </w:p>
        </w:tc>
        <w:tc>
          <w:tcPr>
            <w:tcW w:w="0" w:type="auto"/>
            <w:hideMark/>
          </w:tcPr>
          <w:p w14:paraId="71BA9EA6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1.34–4.35</w:t>
            </w:r>
          </w:p>
        </w:tc>
        <w:tc>
          <w:tcPr>
            <w:tcW w:w="0" w:type="auto"/>
            <w:hideMark/>
          </w:tcPr>
          <w:p w14:paraId="1F653773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&lt;0.01</w:t>
            </w:r>
          </w:p>
        </w:tc>
      </w:tr>
      <w:tr w:rsidR="00DA2CE3" w:rsidRPr="00D377F7" w14:paraId="47DBCEFC" w14:textId="77777777" w:rsidTr="00CE2C4B">
        <w:tc>
          <w:tcPr>
            <w:tcW w:w="0" w:type="auto"/>
            <w:hideMark/>
          </w:tcPr>
          <w:p w14:paraId="51217EA9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D05072B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Polypharmacy</w:t>
            </w:r>
          </w:p>
        </w:tc>
        <w:tc>
          <w:tcPr>
            <w:tcW w:w="0" w:type="auto"/>
            <w:hideMark/>
          </w:tcPr>
          <w:p w14:paraId="14F0B412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0.51</w:t>
            </w:r>
          </w:p>
        </w:tc>
        <w:tc>
          <w:tcPr>
            <w:tcW w:w="0" w:type="auto"/>
            <w:hideMark/>
          </w:tcPr>
          <w:p w14:paraId="7138D9E6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0.28–0.91</w:t>
            </w:r>
          </w:p>
        </w:tc>
        <w:tc>
          <w:tcPr>
            <w:tcW w:w="0" w:type="auto"/>
            <w:hideMark/>
          </w:tcPr>
          <w:p w14:paraId="2D0C31B6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0.023</w:t>
            </w:r>
          </w:p>
        </w:tc>
      </w:tr>
      <w:tr w:rsidR="00DA2CE3" w:rsidRPr="00D377F7" w14:paraId="67B0FE89" w14:textId="77777777" w:rsidTr="00CE2C4B">
        <w:tc>
          <w:tcPr>
            <w:tcW w:w="0" w:type="auto"/>
            <w:hideMark/>
          </w:tcPr>
          <w:p w14:paraId="56A07868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53805F8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Age, year</w:t>
            </w:r>
          </w:p>
        </w:tc>
        <w:tc>
          <w:tcPr>
            <w:tcW w:w="0" w:type="auto"/>
            <w:hideMark/>
          </w:tcPr>
          <w:p w14:paraId="3149F348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1.02</w:t>
            </w:r>
          </w:p>
        </w:tc>
        <w:tc>
          <w:tcPr>
            <w:tcW w:w="0" w:type="auto"/>
            <w:hideMark/>
          </w:tcPr>
          <w:p w14:paraId="7D06D21E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0.99–1.06</w:t>
            </w:r>
          </w:p>
        </w:tc>
        <w:tc>
          <w:tcPr>
            <w:tcW w:w="0" w:type="auto"/>
            <w:hideMark/>
          </w:tcPr>
          <w:p w14:paraId="09B7B540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0.223</w:t>
            </w:r>
          </w:p>
        </w:tc>
      </w:tr>
      <w:tr w:rsidR="00DA2CE3" w:rsidRPr="00D377F7" w14:paraId="57023239" w14:textId="77777777" w:rsidTr="00CE2C4B">
        <w:tc>
          <w:tcPr>
            <w:tcW w:w="0" w:type="auto"/>
            <w:hideMark/>
          </w:tcPr>
          <w:p w14:paraId="0C21C702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6DC4729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Gender</w:t>
            </w:r>
          </w:p>
        </w:tc>
        <w:tc>
          <w:tcPr>
            <w:tcW w:w="0" w:type="auto"/>
            <w:hideMark/>
          </w:tcPr>
          <w:p w14:paraId="4BA2A28C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1.44</w:t>
            </w:r>
          </w:p>
        </w:tc>
        <w:tc>
          <w:tcPr>
            <w:tcW w:w="0" w:type="auto"/>
            <w:hideMark/>
          </w:tcPr>
          <w:p w14:paraId="3942A69B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0.84–2.49</w:t>
            </w:r>
          </w:p>
        </w:tc>
        <w:tc>
          <w:tcPr>
            <w:tcW w:w="0" w:type="auto"/>
            <w:hideMark/>
          </w:tcPr>
          <w:p w14:paraId="4CFE68AA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0.186</w:t>
            </w:r>
          </w:p>
        </w:tc>
      </w:tr>
      <w:tr w:rsidR="00DA2CE3" w:rsidRPr="009E14F8" w14:paraId="566E98C7" w14:textId="77777777" w:rsidTr="00CE2C4B">
        <w:tc>
          <w:tcPr>
            <w:tcW w:w="0" w:type="auto"/>
            <w:hideMark/>
          </w:tcPr>
          <w:p w14:paraId="0A4DA733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30-day readmission</w:t>
            </w:r>
          </w:p>
        </w:tc>
        <w:tc>
          <w:tcPr>
            <w:tcW w:w="0" w:type="auto"/>
            <w:hideMark/>
          </w:tcPr>
          <w:p w14:paraId="601417FB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rPr>
                <w:sz w:val="20"/>
                <w:szCs w:val="20"/>
              </w:rPr>
              <w:t>CFS 5–6</w:t>
            </w:r>
          </w:p>
        </w:tc>
        <w:tc>
          <w:tcPr>
            <w:tcW w:w="0" w:type="auto"/>
            <w:vAlign w:val="center"/>
            <w:hideMark/>
          </w:tcPr>
          <w:p w14:paraId="7DE8EAD2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0.73</w:t>
            </w:r>
          </w:p>
        </w:tc>
        <w:tc>
          <w:tcPr>
            <w:tcW w:w="0" w:type="auto"/>
            <w:vAlign w:val="center"/>
            <w:hideMark/>
          </w:tcPr>
          <w:p w14:paraId="6B85770B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0.40–1.33</w:t>
            </w:r>
          </w:p>
        </w:tc>
        <w:tc>
          <w:tcPr>
            <w:tcW w:w="0" w:type="auto"/>
            <w:vAlign w:val="center"/>
            <w:hideMark/>
          </w:tcPr>
          <w:p w14:paraId="7A34CB77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0.300</w:t>
            </w:r>
          </w:p>
        </w:tc>
      </w:tr>
      <w:tr w:rsidR="00DA2CE3" w:rsidRPr="009E14F8" w14:paraId="31FE82F4" w14:textId="77777777" w:rsidTr="00CE2C4B">
        <w:tc>
          <w:tcPr>
            <w:tcW w:w="0" w:type="auto"/>
            <w:hideMark/>
          </w:tcPr>
          <w:p w14:paraId="6BE7F091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C04E88E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rPr>
                <w:sz w:val="20"/>
                <w:szCs w:val="20"/>
              </w:rPr>
              <w:t>CFS 7–9</w:t>
            </w:r>
          </w:p>
        </w:tc>
        <w:tc>
          <w:tcPr>
            <w:tcW w:w="0" w:type="auto"/>
            <w:vAlign w:val="center"/>
            <w:hideMark/>
          </w:tcPr>
          <w:p w14:paraId="235A6F6C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0.81</w:t>
            </w:r>
          </w:p>
        </w:tc>
        <w:tc>
          <w:tcPr>
            <w:tcW w:w="0" w:type="auto"/>
            <w:vAlign w:val="center"/>
            <w:hideMark/>
          </w:tcPr>
          <w:p w14:paraId="5F7141EC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0.45–1.47</w:t>
            </w:r>
          </w:p>
        </w:tc>
        <w:tc>
          <w:tcPr>
            <w:tcW w:w="0" w:type="auto"/>
            <w:vAlign w:val="center"/>
            <w:hideMark/>
          </w:tcPr>
          <w:p w14:paraId="16FAE3B6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0.487</w:t>
            </w:r>
          </w:p>
        </w:tc>
      </w:tr>
      <w:tr w:rsidR="00DA2CE3" w:rsidRPr="009E14F8" w14:paraId="2141D6D3" w14:textId="77777777" w:rsidTr="00CE2C4B">
        <w:tc>
          <w:tcPr>
            <w:tcW w:w="0" w:type="auto"/>
            <w:hideMark/>
          </w:tcPr>
          <w:p w14:paraId="0BF28936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286836D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rPr>
                <w:sz w:val="20"/>
                <w:szCs w:val="20"/>
              </w:rPr>
              <w:t>Complex multimorbidity (≥3 conditions)</w:t>
            </w:r>
          </w:p>
        </w:tc>
        <w:tc>
          <w:tcPr>
            <w:tcW w:w="0" w:type="auto"/>
            <w:vAlign w:val="center"/>
            <w:hideMark/>
          </w:tcPr>
          <w:p w14:paraId="2D6CF040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rPr>
                <w:b/>
                <w:bCs/>
              </w:rPr>
              <w:t>1.92</w:t>
            </w:r>
          </w:p>
        </w:tc>
        <w:tc>
          <w:tcPr>
            <w:tcW w:w="0" w:type="auto"/>
            <w:vAlign w:val="center"/>
            <w:hideMark/>
          </w:tcPr>
          <w:p w14:paraId="47498045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1.14–3.24</w:t>
            </w:r>
          </w:p>
        </w:tc>
        <w:tc>
          <w:tcPr>
            <w:tcW w:w="0" w:type="auto"/>
            <w:vAlign w:val="center"/>
            <w:hideMark/>
          </w:tcPr>
          <w:p w14:paraId="69CAB9AB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rPr>
                <w:b/>
                <w:bCs/>
              </w:rPr>
              <w:t>0.015</w:t>
            </w:r>
          </w:p>
        </w:tc>
      </w:tr>
      <w:tr w:rsidR="00DA2CE3" w:rsidRPr="009E14F8" w14:paraId="6FE50A88" w14:textId="77777777" w:rsidTr="00CE2C4B">
        <w:tc>
          <w:tcPr>
            <w:tcW w:w="0" w:type="auto"/>
            <w:hideMark/>
          </w:tcPr>
          <w:p w14:paraId="75DB203C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27097DA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rPr>
                <w:sz w:val="20"/>
                <w:szCs w:val="20"/>
              </w:rPr>
              <w:t>Polypharmacy</w:t>
            </w:r>
          </w:p>
        </w:tc>
        <w:tc>
          <w:tcPr>
            <w:tcW w:w="0" w:type="auto"/>
            <w:vAlign w:val="center"/>
            <w:hideMark/>
          </w:tcPr>
          <w:p w14:paraId="647E8259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0.92</w:t>
            </w:r>
          </w:p>
        </w:tc>
        <w:tc>
          <w:tcPr>
            <w:tcW w:w="0" w:type="auto"/>
            <w:vAlign w:val="center"/>
            <w:hideMark/>
          </w:tcPr>
          <w:p w14:paraId="645B8FC8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0.54–1.57</w:t>
            </w:r>
          </w:p>
        </w:tc>
        <w:tc>
          <w:tcPr>
            <w:tcW w:w="0" w:type="auto"/>
            <w:vAlign w:val="center"/>
            <w:hideMark/>
          </w:tcPr>
          <w:p w14:paraId="27A7EABD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0.760</w:t>
            </w:r>
          </w:p>
        </w:tc>
      </w:tr>
      <w:tr w:rsidR="00DA2CE3" w:rsidRPr="009E14F8" w14:paraId="3DD5F758" w14:textId="77777777" w:rsidTr="00CE2C4B">
        <w:tc>
          <w:tcPr>
            <w:tcW w:w="0" w:type="auto"/>
            <w:hideMark/>
          </w:tcPr>
          <w:p w14:paraId="40D1F440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1940401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rPr>
                <w:sz w:val="20"/>
                <w:szCs w:val="20"/>
              </w:rPr>
              <w:t>Age, year</w:t>
            </w:r>
          </w:p>
        </w:tc>
        <w:tc>
          <w:tcPr>
            <w:tcW w:w="0" w:type="auto"/>
            <w:vAlign w:val="center"/>
            <w:hideMark/>
          </w:tcPr>
          <w:p w14:paraId="366A8284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0.99</w:t>
            </w:r>
          </w:p>
        </w:tc>
        <w:tc>
          <w:tcPr>
            <w:tcW w:w="0" w:type="auto"/>
            <w:vAlign w:val="center"/>
            <w:hideMark/>
          </w:tcPr>
          <w:p w14:paraId="2F1DC7DD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0.96–1.03</w:t>
            </w:r>
          </w:p>
        </w:tc>
        <w:tc>
          <w:tcPr>
            <w:tcW w:w="0" w:type="auto"/>
            <w:vAlign w:val="center"/>
            <w:hideMark/>
          </w:tcPr>
          <w:p w14:paraId="24892ED2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0.658</w:t>
            </w:r>
          </w:p>
        </w:tc>
      </w:tr>
      <w:tr w:rsidR="00DA2CE3" w:rsidRPr="009E14F8" w14:paraId="6F5180DE" w14:textId="77777777" w:rsidTr="00CE2C4B">
        <w:tc>
          <w:tcPr>
            <w:tcW w:w="0" w:type="auto"/>
            <w:hideMark/>
          </w:tcPr>
          <w:p w14:paraId="547EC8A1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EE3A447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rPr>
                <w:sz w:val="20"/>
                <w:szCs w:val="20"/>
              </w:rPr>
              <w:t>Gender</w:t>
            </w:r>
          </w:p>
        </w:tc>
        <w:tc>
          <w:tcPr>
            <w:tcW w:w="0" w:type="auto"/>
            <w:vAlign w:val="center"/>
            <w:hideMark/>
          </w:tcPr>
          <w:p w14:paraId="1E21FED4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1.27</w:t>
            </w:r>
          </w:p>
        </w:tc>
        <w:tc>
          <w:tcPr>
            <w:tcW w:w="0" w:type="auto"/>
            <w:vAlign w:val="center"/>
            <w:hideMark/>
          </w:tcPr>
          <w:p w14:paraId="1939C5FD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0.78–2.06</w:t>
            </w:r>
          </w:p>
        </w:tc>
        <w:tc>
          <w:tcPr>
            <w:tcW w:w="0" w:type="auto"/>
            <w:vAlign w:val="center"/>
            <w:hideMark/>
          </w:tcPr>
          <w:p w14:paraId="586D2C83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0.340</w:t>
            </w:r>
          </w:p>
        </w:tc>
      </w:tr>
      <w:tr w:rsidR="00DA2CE3" w:rsidRPr="009E14F8" w14:paraId="042DA574" w14:textId="77777777" w:rsidTr="00CE2C4B">
        <w:tc>
          <w:tcPr>
            <w:tcW w:w="0" w:type="auto"/>
            <w:hideMark/>
          </w:tcPr>
          <w:p w14:paraId="24C9B857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90-day readmission</w:t>
            </w:r>
          </w:p>
        </w:tc>
        <w:tc>
          <w:tcPr>
            <w:tcW w:w="0" w:type="auto"/>
            <w:hideMark/>
          </w:tcPr>
          <w:p w14:paraId="69B1A676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rPr>
                <w:sz w:val="20"/>
                <w:szCs w:val="20"/>
              </w:rPr>
              <w:t>CFS 5–6</w:t>
            </w:r>
          </w:p>
        </w:tc>
        <w:tc>
          <w:tcPr>
            <w:tcW w:w="0" w:type="auto"/>
            <w:vAlign w:val="center"/>
            <w:hideMark/>
          </w:tcPr>
          <w:p w14:paraId="5F4BFA4C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0.73</w:t>
            </w:r>
          </w:p>
        </w:tc>
        <w:tc>
          <w:tcPr>
            <w:tcW w:w="0" w:type="auto"/>
            <w:vAlign w:val="center"/>
            <w:hideMark/>
          </w:tcPr>
          <w:p w14:paraId="00CE1200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0.41–1.29</w:t>
            </w:r>
          </w:p>
        </w:tc>
        <w:tc>
          <w:tcPr>
            <w:tcW w:w="0" w:type="auto"/>
            <w:vAlign w:val="center"/>
            <w:hideMark/>
          </w:tcPr>
          <w:p w14:paraId="7C953C0C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0.275</w:t>
            </w:r>
          </w:p>
        </w:tc>
      </w:tr>
      <w:tr w:rsidR="00DA2CE3" w:rsidRPr="009E14F8" w14:paraId="2AE78B60" w14:textId="77777777" w:rsidTr="00CE2C4B">
        <w:tc>
          <w:tcPr>
            <w:tcW w:w="0" w:type="auto"/>
            <w:hideMark/>
          </w:tcPr>
          <w:p w14:paraId="6631135A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3C05717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rPr>
                <w:sz w:val="20"/>
                <w:szCs w:val="20"/>
              </w:rPr>
              <w:t>CFS 7–9</w:t>
            </w:r>
          </w:p>
        </w:tc>
        <w:tc>
          <w:tcPr>
            <w:tcW w:w="0" w:type="auto"/>
            <w:vAlign w:val="center"/>
            <w:hideMark/>
          </w:tcPr>
          <w:p w14:paraId="04D9B658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0.78</w:t>
            </w:r>
          </w:p>
        </w:tc>
        <w:tc>
          <w:tcPr>
            <w:tcW w:w="0" w:type="auto"/>
            <w:vAlign w:val="center"/>
            <w:hideMark/>
          </w:tcPr>
          <w:p w14:paraId="2F350F28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0.44–1.39</w:t>
            </w:r>
          </w:p>
        </w:tc>
        <w:tc>
          <w:tcPr>
            <w:tcW w:w="0" w:type="auto"/>
            <w:vAlign w:val="center"/>
            <w:hideMark/>
          </w:tcPr>
          <w:p w14:paraId="21934C6C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0.400</w:t>
            </w:r>
          </w:p>
        </w:tc>
      </w:tr>
      <w:tr w:rsidR="00DA2CE3" w:rsidRPr="009E14F8" w14:paraId="10A32233" w14:textId="77777777" w:rsidTr="00CE2C4B">
        <w:tc>
          <w:tcPr>
            <w:tcW w:w="0" w:type="auto"/>
            <w:hideMark/>
          </w:tcPr>
          <w:p w14:paraId="0FDAA7F0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2694F4B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rPr>
                <w:sz w:val="20"/>
                <w:szCs w:val="20"/>
              </w:rPr>
              <w:t>Complex multimorbidity (≥3 conditions)</w:t>
            </w:r>
          </w:p>
        </w:tc>
        <w:tc>
          <w:tcPr>
            <w:tcW w:w="0" w:type="auto"/>
            <w:vAlign w:val="center"/>
            <w:hideMark/>
          </w:tcPr>
          <w:p w14:paraId="2D13D76D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1.51</w:t>
            </w:r>
          </w:p>
        </w:tc>
        <w:tc>
          <w:tcPr>
            <w:tcW w:w="0" w:type="auto"/>
            <w:vAlign w:val="center"/>
            <w:hideMark/>
          </w:tcPr>
          <w:p w14:paraId="6D3C28A4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0.90–2.52</w:t>
            </w:r>
          </w:p>
        </w:tc>
        <w:tc>
          <w:tcPr>
            <w:tcW w:w="0" w:type="auto"/>
            <w:vAlign w:val="center"/>
            <w:hideMark/>
          </w:tcPr>
          <w:p w14:paraId="37F016B0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0.115</w:t>
            </w:r>
          </w:p>
        </w:tc>
      </w:tr>
      <w:tr w:rsidR="00DA2CE3" w:rsidRPr="009E14F8" w14:paraId="001FFE59" w14:textId="77777777" w:rsidTr="00CE2C4B">
        <w:tc>
          <w:tcPr>
            <w:tcW w:w="0" w:type="auto"/>
            <w:hideMark/>
          </w:tcPr>
          <w:p w14:paraId="5D63C436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76B229C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rPr>
                <w:sz w:val="20"/>
                <w:szCs w:val="20"/>
              </w:rPr>
              <w:t>Polypharmacy</w:t>
            </w:r>
          </w:p>
        </w:tc>
        <w:tc>
          <w:tcPr>
            <w:tcW w:w="0" w:type="auto"/>
            <w:vAlign w:val="center"/>
            <w:hideMark/>
          </w:tcPr>
          <w:p w14:paraId="441B9017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1.31</w:t>
            </w:r>
          </w:p>
        </w:tc>
        <w:tc>
          <w:tcPr>
            <w:tcW w:w="0" w:type="auto"/>
            <w:vAlign w:val="center"/>
            <w:hideMark/>
          </w:tcPr>
          <w:p w14:paraId="70739EE4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0.78–2.21</w:t>
            </w:r>
          </w:p>
        </w:tc>
        <w:tc>
          <w:tcPr>
            <w:tcW w:w="0" w:type="auto"/>
            <w:vAlign w:val="center"/>
            <w:hideMark/>
          </w:tcPr>
          <w:p w14:paraId="1EA3772F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0.310</w:t>
            </w:r>
          </w:p>
        </w:tc>
      </w:tr>
      <w:tr w:rsidR="00DA2CE3" w:rsidRPr="009E14F8" w14:paraId="6A6507C6" w14:textId="77777777" w:rsidTr="00CE2C4B">
        <w:tc>
          <w:tcPr>
            <w:tcW w:w="0" w:type="auto"/>
            <w:hideMark/>
          </w:tcPr>
          <w:p w14:paraId="666D5F9E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CFA0E97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rPr>
                <w:sz w:val="20"/>
                <w:szCs w:val="20"/>
              </w:rPr>
              <w:t>Age, year</w:t>
            </w:r>
          </w:p>
        </w:tc>
        <w:tc>
          <w:tcPr>
            <w:tcW w:w="0" w:type="auto"/>
            <w:vAlign w:val="center"/>
            <w:hideMark/>
          </w:tcPr>
          <w:p w14:paraId="700E5EB7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0.99</w:t>
            </w:r>
          </w:p>
        </w:tc>
        <w:tc>
          <w:tcPr>
            <w:tcW w:w="0" w:type="auto"/>
            <w:vAlign w:val="center"/>
            <w:hideMark/>
          </w:tcPr>
          <w:p w14:paraId="72548498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0.96–1.02</w:t>
            </w:r>
          </w:p>
        </w:tc>
        <w:tc>
          <w:tcPr>
            <w:tcW w:w="0" w:type="auto"/>
            <w:vAlign w:val="center"/>
            <w:hideMark/>
          </w:tcPr>
          <w:p w14:paraId="2F6FADA3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0.575</w:t>
            </w:r>
          </w:p>
        </w:tc>
      </w:tr>
      <w:tr w:rsidR="00DA2CE3" w:rsidRPr="009E14F8" w14:paraId="42C15792" w14:textId="77777777" w:rsidTr="00CE2C4B">
        <w:tc>
          <w:tcPr>
            <w:tcW w:w="0" w:type="auto"/>
            <w:hideMark/>
          </w:tcPr>
          <w:p w14:paraId="40E834A9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739094B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rPr>
                <w:sz w:val="20"/>
                <w:szCs w:val="20"/>
              </w:rPr>
              <w:t>Gender</w:t>
            </w:r>
          </w:p>
        </w:tc>
        <w:tc>
          <w:tcPr>
            <w:tcW w:w="0" w:type="auto"/>
            <w:vAlign w:val="center"/>
            <w:hideMark/>
          </w:tcPr>
          <w:p w14:paraId="52264A2D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1.29</w:t>
            </w:r>
          </w:p>
        </w:tc>
        <w:tc>
          <w:tcPr>
            <w:tcW w:w="0" w:type="auto"/>
            <w:vAlign w:val="center"/>
            <w:hideMark/>
          </w:tcPr>
          <w:p w14:paraId="21F88893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0.81–2.06</w:t>
            </w:r>
          </w:p>
        </w:tc>
        <w:tc>
          <w:tcPr>
            <w:tcW w:w="0" w:type="auto"/>
            <w:vAlign w:val="center"/>
            <w:hideMark/>
          </w:tcPr>
          <w:p w14:paraId="569C3C47" w14:textId="77777777" w:rsidR="00DA2CE3" w:rsidRPr="009E14F8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9E14F8">
              <w:t>0.290</w:t>
            </w:r>
          </w:p>
        </w:tc>
      </w:tr>
      <w:tr w:rsidR="00DA2CE3" w:rsidRPr="00D377F7" w14:paraId="02C475CD" w14:textId="77777777" w:rsidTr="00CE2C4B">
        <w:tc>
          <w:tcPr>
            <w:tcW w:w="0" w:type="auto"/>
            <w:hideMark/>
          </w:tcPr>
          <w:p w14:paraId="0E494579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HD/ICU admission</w:t>
            </w:r>
          </w:p>
        </w:tc>
        <w:tc>
          <w:tcPr>
            <w:tcW w:w="0" w:type="auto"/>
            <w:hideMark/>
          </w:tcPr>
          <w:p w14:paraId="2BFAE6BC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CFS 5–6</w:t>
            </w:r>
          </w:p>
        </w:tc>
        <w:tc>
          <w:tcPr>
            <w:tcW w:w="0" w:type="auto"/>
            <w:hideMark/>
          </w:tcPr>
          <w:p w14:paraId="5372817A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1.13</w:t>
            </w:r>
          </w:p>
        </w:tc>
        <w:tc>
          <w:tcPr>
            <w:tcW w:w="0" w:type="auto"/>
            <w:hideMark/>
          </w:tcPr>
          <w:p w14:paraId="6ADE1496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0.52–2.46</w:t>
            </w:r>
          </w:p>
        </w:tc>
        <w:tc>
          <w:tcPr>
            <w:tcW w:w="0" w:type="auto"/>
            <w:hideMark/>
          </w:tcPr>
          <w:p w14:paraId="64C8B494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0.750</w:t>
            </w:r>
          </w:p>
        </w:tc>
      </w:tr>
      <w:tr w:rsidR="00DA2CE3" w:rsidRPr="00D377F7" w14:paraId="4B80BDA3" w14:textId="77777777" w:rsidTr="00CE2C4B">
        <w:tc>
          <w:tcPr>
            <w:tcW w:w="0" w:type="auto"/>
            <w:hideMark/>
          </w:tcPr>
          <w:p w14:paraId="45E7D964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A8BB9B4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CFS 7–9</w:t>
            </w:r>
          </w:p>
        </w:tc>
        <w:tc>
          <w:tcPr>
            <w:tcW w:w="0" w:type="auto"/>
            <w:hideMark/>
          </w:tcPr>
          <w:p w14:paraId="0D602036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2.45</w:t>
            </w:r>
          </w:p>
        </w:tc>
        <w:tc>
          <w:tcPr>
            <w:tcW w:w="0" w:type="auto"/>
            <w:hideMark/>
          </w:tcPr>
          <w:p w14:paraId="3BC067B9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1.15–5.23</w:t>
            </w:r>
          </w:p>
        </w:tc>
        <w:tc>
          <w:tcPr>
            <w:tcW w:w="0" w:type="auto"/>
            <w:hideMark/>
          </w:tcPr>
          <w:p w14:paraId="5F57EF35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0.020</w:t>
            </w:r>
          </w:p>
        </w:tc>
      </w:tr>
      <w:tr w:rsidR="00DA2CE3" w:rsidRPr="00D377F7" w14:paraId="376DF9B1" w14:textId="77777777" w:rsidTr="00CE2C4B">
        <w:tc>
          <w:tcPr>
            <w:tcW w:w="0" w:type="auto"/>
            <w:hideMark/>
          </w:tcPr>
          <w:p w14:paraId="24F7F9F2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83C89B0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233F4C">
              <w:rPr>
                <w:sz w:val="20"/>
                <w:szCs w:val="20"/>
              </w:rPr>
              <w:t>Complex multimorbidity (≥3 conditions)</w:t>
            </w:r>
          </w:p>
        </w:tc>
        <w:tc>
          <w:tcPr>
            <w:tcW w:w="0" w:type="auto"/>
            <w:hideMark/>
          </w:tcPr>
          <w:p w14:paraId="257AF76F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0.87</w:t>
            </w:r>
          </w:p>
        </w:tc>
        <w:tc>
          <w:tcPr>
            <w:tcW w:w="0" w:type="auto"/>
            <w:hideMark/>
          </w:tcPr>
          <w:p w14:paraId="797336A3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0.43–1.77</w:t>
            </w:r>
          </w:p>
        </w:tc>
        <w:tc>
          <w:tcPr>
            <w:tcW w:w="0" w:type="auto"/>
            <w:hideMark/>
          </w:tcPr>
          <w:p w14:paraId="5403F8D6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0.705</w:t>
            </w:r>
          </w:p>
        </w:tc>
      </w:tr>
      <w:tr w:rsidR="00DA2CE3" w:rsidRPr="00D377F7" w14:paraId="1A305D8F" w14:textId="77777777" w:rsidTr="00CE2C4B">
        <w:tc>
          <w:tcPr>
            <w:tcW w:w="0" w:type="auto"/>
            <w:hideMark/>
          </w:tcPr>
          <w:p w14:paraId="1110CDE0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CB6C44B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Polypharmacy</w:t>
            </w:r>
          </w:p>
        </w:tc>
        <w:tc>
          <w:tcPr>
            <w:tcW w:w="0" w:type="auto"/>
            <w:hideMark/>
          </w:tcPr>
          <w:p w14:paraId="1A955ABF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0.56</w:t>
            </w:r>
          </w:p>
        </w:tc>
        <w:tc>
          <w:tcPr>
            <w:tcW w:w="0" w:type="auto"/>
            <w:hideMark/>
          </w:tcPr>
          <w:p w14:paraId="6EC721A2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0.30–1.06</w:t>
            </w:r>
          </w:p>
        </w:tc>
        <w:tc>
          <w:tcPr>
            <w:tcW w:w="0" w:type="auto"/>
            <w:hideMark/>
          </w:tcPr>
          <w:p w14:paraId="6862324B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0.073</w:t>
            </w:r>
          </w:p>
        </w:tc>
      </w:tr>
      <w:tr w:rsidR="00DA2CE3" w:rsidRPr="00D377F7" w14:paraId="7AA67E16" w14:textId="77777777" w:rsidTr="00CE2C4B">
        <w:tc>
          <w:tcPr>
            <w:tcW w:w="0" w:type="auto"/>
            <w:hideMark/>
          </w:tcPr>
          <w:p w14:paraId="4C820985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3B4139A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Age, year</w:t>
            </w:r>
          </w:p>
        </w:tc>
        <w:tc>
          <w:tcPr>
            <w:tcW w:w="0" w:type="auto"/>
            <w:hideMark/>
          </w:tcPr>
          <w:p w14:paraId="1E60BE15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1.01</w:t>
            </w:r>
          </w:p>
        </w:tc>
        <w:tc>
          <w:tcPr>
            <w:tcW w:w="0" w:type="auto"/>
            <w:hideMark/>
          </w:tcPr>
          <w:p w14:paraId="0068FBE2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0.97–1.05</w:t>
            </w:r>
          </w:p>
        </w:tc>
        <w:tc>
          <w:tcPr>
            <w:tcW w:w="0" w:type="auto"/>
            <w:hideMark/>
          </w:tcPr>
          <w:p w14:paraId="5693AED1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0.552</w:t>
            </w:r>
          </w:p>
        </w:tc>
      </w:tr>
      <w:tr w:rsidR="00DA2CE3" w:rsidRPr="00D377F7" w14:paraId="59ABBCCE" w14:textId="77777777" w:rsidTr="00CE2C4B">
        <w:tc>
          <w:tcPr>
            <w:tcW w:w="0" w:type="auto"/>
            <w:hideMark/>
          </w:tcPr>
          <w:p w14:paraId="60400B60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401459C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Gender</w:t>
            </w:r>
          </w:p>
        </w:tc>
        <w:tc>
          <w:tcPr>
            <w:tcW w:w="0" w:type="auto"/>
            <w:hideMark/>
          </w:tcPr>
          <w:p w14:paraId="0FD81C16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1.01</w:t>
            </w:r>
          </w:p>
        </w:tc>
        <w:tc>
          <w:tcPr>
            <w:tcW w:w="0" w:type="auto"/>
            <w:hideMark/>
          </w:tcPr>
          <w:p w14:paraId="70BA241F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0.56–1.82</w:t>
            </w:r>
          </w:p>
        </w:tc>
        <w:tc>
          <w:tcPr>
            <w:tcW w:w="0" w:type="auto"/>
            <w:hideMark/>
          </w:tcPr>
          <w:p w14:paraId="3008B8F1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0.976</w:t>
            </w:r>
          </w:p>
        </w:tc>
      </w:tr>
      <w:tr w:rsidR="00DA2CE3" w:rsidRPr="00D377F7" w14:paraId="38F562B5" w14:textId="77777777" w:rsidTr="00CE2C4B">
        <w:tc>
          <w:tcPr>
            <w:tcW w:w="0" w:type="auto"/>
            <w:hideMark/>
          </w:tcPr>
          <w:p w14:paraId="2C772113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13CA181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Code status</w:t>
            </w:r>
          </w:p>
        </w:tc>
        <w:tc>
          <w:tcPr>
            <w:tcW w:w="0" w:type="auto"/>
            <w:hideMark/>
          </w:tcPr>
          <w:p w14:paraId="3E0CB645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6.74</w:t>
            </w:r>
          </w:p>
        </w:tc>
        <w:tc>
          <w:tcPr>
            <w:tcW w:w="0" w:type="auto"/>
            <w:hideMark/>
          </w:tcPr>
          <w:p w14:paraId="08B937D5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sz w:val="20"/>
                <w:szCs w:val="20"/>
              </w:rPr>
              <w:t>2.20–20.64</w:t>
            </w:r>
          </w:p>
        </w:tc>
        <w:tc>
          <w:tcPr>
            <w:tcW w:w="0" w:type="auto"/>
            <w:hideMark/>
          </w:tcPr>
          <w:p w14:paraId="449F93C9" w14:textId="77777777" w:rsidR="00DA2CE3" w:rsidRPr="00D377F7" w:rsidRDefault="00DA2CE3" w:rsidP="00CE2C4B">
            <w:pPr>
              <w:spacing w:after="160" w:line="278" w:lineRule="auto"/>
              <w:rPr>
                <w:sz w:val="20"/>
                <w:szCs w:val="20"/>
              </w:rPr>
            </w:pPr>
            <w:r w:rsidRPr="00D377F7">
              <w:rPr>
                <w:b/>
                <w:bCs/>
                <w:sz w:val="20"/>
                <w:szCs w:val="20"/>
              </w:rPr>
              <w:t>&lt;0.01</w:t>
            </w:r>
          </w:p>
        </w:tc>
      </w:tr>
    </w:tbl>
    <w:p w14:paraId="38D887AE" w14:textId="77777777" w:rsidR="00DA2CE3" w:rsidRPr="00B939AF" w:rsidRDefault="00DA2CE3" w:rsidP="00DA2CE3">
      <w:r w:rsidRPr="00D377F7">
        <w:t>Values are adjusted odds ratios (</w:t>
      </w:r>
      <w:proofErr w:type="spellStart"/>
      <w:r w:rsidRPr="00D377F7">
        <w:t>aORs</w:t>
      </w:r>
      <w:proofErr w:type="spellEnd"/>
      <w:r w:rsidRPr="00D377F7">
        <w:t xml:space="preserve">) with 95% confidence intervals (CIs). Models included age, gender, frailty category, complex multimorbidity, and polypharmacy. The HD/ICU admission model additionally included code status. Statistically significant p-values are shown in </w:t>
      </w:r>
      <w:r w:rsidRPr="00D377F7">
        <w:rPr>
          <w:b/>
          <w:bCs/>
        </w:rPr>
        <w:t>bold</w:t>
      </w:r>
      <w:r w:rsidRPr="00D377F7">
        <w:t>.</w:t>
      </w:r>
    </w:p>
    <w:p w14:paraId="65D9F474" w14:textId="77777777" w:rsidR="00DA2CE3" w:rsidRPr="00230E1B" w:rsidRDefault="00DA2CE3" w:rsidP="00DA2CE3">
      <w:pPr>
        <w:tabs>
          <w:tab w:val="left" w:pos="6209"/>
        </w:tabs>
        <w:rPr>
          <w:rFonts w:asciiTheme="majorBidi" w:hAnsiTheme="majorBidi" w:cstheme="majorBidi"/>
          <w:i/>
          <w:iCs/>
          <w:sz w:val="18"/>
          <w:szCs w:val="18"/>
        </w:rPr>
      </w:pPr>
    </w:p>
    <w:p w14:paraId="4AD780E4" w14:textId="77777777" w:rsidR="00DA2CE3" w:rsidRDefault="00DA2CE3"/>
    <w:sectPr w:rsidR="00DA2CE3" w:rsidSect="00DA2CE3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8159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83E299" w14:textId="77777777" w:rsidR="00DA2CE3" w:rsidRDefault="00DA2C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990D54" w14:textId="77777777" w:rsidR="00DA2CE3" w:rsidRDefault="00DA2CE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CE3"/>
    <w:rsid w:val="00033B77"/>
    <w:rsid w:val="00DA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D74AC"/>
  <w15:chartTrackingRefBased/>
  <w15:docId w15:val="{C2451B5C-FF4A-4317-B3AA-E9E8B36F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CE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C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C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C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C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C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C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C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C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C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C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C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C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C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C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C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C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C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C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C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2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C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2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CE3"/>
    <w:pPr>
      <w:spacing w:before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2C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CE3"/>
    <w:pPr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DA2C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C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C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A2CE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A2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CE3"/>
    <w:rPr>
      <w:rFonts w:eastAsiaTheme="minorEastAsia"/>
    </w:rPr>
  </w:style>
  <w:style w:type="character" w:styleId="LineNumber">
    <w:name w:val="line number"/>
    <w:basedOn w:val="DefaultParagraphFont"/>
    <w:uiPriority w:val="99"/>
    <w:semiHidden/>
    <w:unhideWhenUsed/>
    <w:rsid w:val="00DA2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Al Busadi</dc:creator>
  <cp:keywords/>
  <dc:description/>
  <cp:lastModifiedBy>Salim Al Busadi</cp:lastModifiedBy>
  <cp:revision>1</cp:revision>
  <dcterms:created xsi:type="dcterms:W3CDTF">2026-06-02T03:12:00Z</dcterms:created>
  <dcterms:modified xsi:type="dcterms:W3CDTF">2026-06-02T03:13:00Z</dcterms:modified>
</cp:coreProperties>
</file>