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30" w:rsidRDefault="00D15E30" w:rsidP="00D15E30">
      <w:pPr>
        <w:tabs>
          <w:tab w:val="left" w:pos="1215"/>
        </w:tabs>
        <w:rPr>
          <w:rFonts w:ascii="Merriweather Sans" w:eastAsia="Times New Roman" w:hAnsi="Merriweather Sans" w:cs="Times New Roman"/>
          <w:sz w:val="27"/>
          <w:szCs w:val="27"/>
          <w:lang w:eastAsia="es-CL"/>
        </w:rPr>
      </w:pPr>
      <w:r>
        <w:tab/>
      </w:r>
      <w:bookmarkStart w:id="0" w:name="_GoBack"/>
      <w:bookmarkEnd w:id="0"/>
    </w:p>
    <w:tbl>
      <w:tblPr>
        <w:tblStyle w:val="TableGrid"/>
        <w:tblW w:w="10750" w:type="dxa"/>
        <w:jc w:val="center"/>
        <w:tblLook w:val="04A0" w:firstRow="1" w:lastRow="0" w:firstColumn="1" w:lastColumn="0" w:noHBand="0" w:noVBand="1"/>
      </w:tblPr>
      <w:tblGrid>
        <w:gridCol w:w="1401"/>
        <w:gridCol w:w="9349"/>
      </w:tblGrid>
      <w:tr w:rsidR="00D15E30" w:rsidTr="006330CD">
        <w:trPr>
          <w:trHeight w:val="413"/>
          <w:jc w:val="center"/>
        </w:trPr>
        <w:tc>
          <w:tcPr>
            <w:tcW w:w="0" w:type="auto"/>
            <w:gridSpan w:val="2"/>
            <w:vAlign w:val="center"/>
          </w:tcPr>
          <w:p w:rsidR="00D15E30" w:rsidRPr="00543595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</w:pPr>
            <w:r w:rsidRPr="007608E4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 xml:space="preserve">Supplementary Table S1. </w:t>
            </w:r>
            <w:r w:rsidRPr="00523CB6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Inclusion and exclusion criteria</w:t>
            </w:r>
          </w:p>
        </w:tc>
      </w:tr>
      <w:tr w:rsidR="00D15E30" w:rsidTr="006330CD">
        <w:trPr>
          <w:trHeight w:val="413"/>
          <w:jc w:val="center"/>
        </w:trPr>
        <w:tc>
          <w:tcPr>
            <w:tcW w:w="0" w:type="auto"/>
            <w:vAlign w:val="center"/>
            <w:hideMark/>
          </w:tcPr>
          <w:p w:rsidR="00D15E30" w:rsidRPr="008E377F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es-CL" w:eastAsia="es-CL"/>
                <w14:ligatures w14:val="none"/>
              </w:rPr>
            </w:pPr>
            <w:r w:rsidRPr="008E377F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:rsidR="00D15E30" w:rsidRPr="008E377F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es-CL" w:eastAsia="es-CL"/>
                <w14:ligatures w14:val="none"/>
              </w:rPr>
            </w:pPr>
            <w:r w:rsidRPr="008E377F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Criteria</w:t>
            </w:r>
          </w:p>
        </w:tc>
      </w:tr>
      <w:tr w:rsidR="00D15E30" w:rsidTr="006330CD">
        <w:trPr>
          <w:trHeight w:val="826"/>
          <w:jc w:val="center"/>
        </w:trPr>
        <w:tc>
          <w:tcPr>
            <w:tcW w:w="0" w:type="auto"/>
            <w:vAlign w:val="center"/>
            <w:hideMark/>
          </w:tcPr>
          <w:p w:rsidR="00D15E30" w:rsidRPr="008E377F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es-CL" w:eastAsia="es-CL"/>
                <w14:ligatures w14:val="none"/>
              </w:rPr>
            </w:pPr>
            <w:r w:rsidRPr="008E377F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Inclusion criteria</w:t>
            </w:r>
          </w:p>
        </w:tc>
        <w:tc>
          <w:tcPr>
            <w:tcW w:w="0" w:type="auto"/>
            <w:vAlign w:val="center"/>
            <w:hideMark/>
          </w:tcPr>
          <w:p w:rsidR="00D15E30" w:rsidRPr="008E377F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</w:pPr>
            <w:r w:rsidRPr="008E377F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Community-dwelling adults aged ≥65 years; voluntary participation through university outreach and primary health care networks; ability to complete DXA assessment; functional independence defined as self-reported ability to perform activities of daily living without assistance.</w:t>
            </w:r>
          </w:p>
        </w:tc>
      </w:tr>
      <w:tr w:rsidR="00D15E30" w:rsidTr="006330CD">
        <w:trPr>
          <w:trHeight w:val="813"/>
          <w:jc w:val="center"/>
        </w:trPr>
        <w:tc>
          <w:tcPr>
            <w:tcW w:w="0" w:type="auto"/>
            <w:vAlign w:val="center"/>
            <w:hideMark/>
          </w:tcPr>
          <w:p w:rsidR="00D15E30" w:rsidRPr="008E377F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val="es-CL" w:eastAsia="es-CL"/>
                <w14:ligatures w14:val="none"/>
              </w:rPr>
            </w:pPr>
            <w:r w:rsidRPr="008E377F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Exclusion criteria</w:t>
            </w:r>
          </w:p>
        </w:tc>
        <w:tc>
          <w:tcPr>
            <w:tcW w:w="0" w:type="auto"/>
            <w:vAlign w:val="center"/>
            <w:hideMark/>
          </w:tcPr>
          <w:p w:rsidR="00D15E30" w:rsidRPr="008E377F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</w:pPr>
            <w:r w:rsidRPr="008E377F"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CL"/>
                <w14:ligatures w14:val="none"/>
              </w:rPr>
              <w:t>Inability to complete DXA scanning procedures; incomplete or technically invalid DXA measurements for variables required in the main analysis.</w:t>
            </w:r>
          </w:p>
        </w:tc>
      </w:tr>
    </w:tbl>
    <w:p w:rsidR="00D15E30" w:rsidRDefault="00D15E30" w:rsidP="00D15E30">
      <w:pPr>
        <w:rPr>
          <w:rFonts w:ascii="Merriweather Sans" w:eastAsia="Times New Roman" w:hAnsi="Merriweather Sans" w:cs="Times New Roman"/>
          <w:sz w:val="27"/>
          <w:szCs w:val="27"/>
          <w:lang w:eastAsia="es-CL"/>
        </w:rPr>
      </w:pPr>
    </w:p>
    <w:p w:rsidR="00D15E30" w:rsidRPr="00523CB6" w:rsidRDefault="00D15E30" w:rsidP="00D15E30">
      <w:pPr>
        <w:rPr>
          <w:rFonts w:ascii="Merriweather Sans" w:eastAsia="Times New Roman" w:hAnsi="Merriweather Sans" w:cs="Times New Roman"/>
          <w:sz w:val="27"/>
          <w:szCs w:val="27"/>
          <w:lang w:eastAsia="es-CL"/>
        </w:rPr>
        <w:sectPr w:rsidR="00D15E30" w:rsidRPr="00523CB6" w:rsidSect="00902531">
          <w:pgSz w:w="15840" w:h="12240" w:orient="landscape"/>
          <w:pgMar w:top="1701" w:right="1418" w:bottom="1701" w:left="1418" w:header="709" w:footer="709" w:gutter="0"/>
          <w:lnNumType w:countBy="1" w:restart="continuous"/>
          <w:cols w:space="708"/>
          <w:docGrid w:linePitch="360"/>
        </w:sectPr>
      </w:pPr>
    </w:p>
    <w:tbl>
      <w:tblPr>
        <w:tblpPr w:leftFromText="141" w:rightFromText="141" w:vertAnchor="text" w:horzAnchor="page" w:tblpX="1873" w:tblpY="-500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84"/>
        <w:gridCol w:w="2263"/>
        <w:gridCol w:w="800"/>
        <w:gridCol w:w="965"/>
        <w:gridCol w:w="866"/>
        <w:gridCol w:w="965"/>
        <w:gridCol w:w="766"/>
        <w:gridCol w:w="967"/>
      </w:tblGrid>
      <w:tr w:rsidR="00D15E30" w:rsidTr="006330CD">
        <w:trPr>
          <w:trHeight w:val="290"/>
        </w:trPr>
        <w:tc>
          <w:tcPr>
            <w:tcW w:w="5000" w:type="pct"/>
            <w:gridSpan w:val="8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523CB6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es-CL"/>
              </w:rPr>
              <w:lastRenderedPageBreak/>
              <w:t>Supplementary Table S2</w:t>
            </w:r>
            <w:r w:rsidRPr="00523CB6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  <w:t>. Correlations between anthropometric variables, DXA-derived body composition, and bone mineral density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vMerge w:val="restar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A0590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BMD variable</w:t>
            </w:r>
          </w:p>
        </w:tc>
        <w:tc>
          <w:tcPr>
            <w:tcW w:w="1250" w:type="pct"/>
            <w:vMerge w:val="restar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A0590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Correlated variable</w:t>
            </w:r>
          </w:p>
        </w:tc>
        <w:tc>
          <w:tcPr>
            <w:tcW w:w="881" w:type="pct"/>
            <w:gridSpan w:val="2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Total sample</w:t>
            </w:r>
          </w:p>
        </w:tc>
        <w:tc>
          <w:tcPr>
            <w:tcW w:w="920" w:type="pct"/>
            <w:gridSpan w:val="2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Women</w:t>
            </w:r>
          </w:p>
        </w:tc>
        <w:tc>
          <w:tcPr>
            <w:tcW w:w="862" w:type="pct"/>
            <w:gridSpan w:val="2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Men</w:t>
            </w:r>
          </w:p>
        </w:tc>
      </w:tr>
      <w:tr w:rsidR="00D15E30" w:rsidTr="006330CD">
        <w:trPr>
          <w:trHeight w:val="330"/>
        </w:trPr>
        <w:tc>
          <w:tcPr>
            <w:tcW w:w="1087" w:type="pct"/>
            <w:vMerge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</w:p>
        </w:tc>
        <w:tc>
          <w:tcPr>
            <w:tcW w:w="1250" w:type="pct"/>
            <w:vMerge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</w:p>
        </w:tc>
        <w:tc>
          <w:tcPr>
            <w:tcW w:w="392" w:type="pc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(ρ)</w:t>
            </w:r>
          </w:p>
        </w:tc>
        <w:tc>
          <w:tcPr>
            <w:tcW w:w="489" w:type="pc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p value</w:t>
            </w:r>
          </w:p>
        </w:tc>
        <w:tc>
          <w:tcPr>
            <w:tcW w:w="431" w:type="pc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(ρ)</w:t>
            </w:r>
          </w:p>
        </w:tc>
        <w:tc>
          <w:tcPr>
            <w:tcW w:w="489" w:type="pc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p value</w:t>
            </w:r>
          </w:p>
        </w:tc>
        <w:tc>
          <w:tcPr>
            <w:tcW w:w="372" w:type="pc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(ρ)</w:t>
            </w:r>
          </w:p>
        </w:tc>
        <w:tc>
          <w:tcPr>
            <w:tcW w:w="490" w:type="pct"/>
            <w:noWrap/>
            <w:vAlign w:val="center"/>
            <w:hideMark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p value</w:t>
            </w:r>
          </w:p>
        </w:tc>
      </w:tr>
      <w:tr w:rsidR="00D15E30" w:rsidTr="006330CD">
        <w:trPr>
          <w:trHeight w:val="290"/>
        </w:trPr>
        <w:tc>
          <w:tcPr>
            <w:tcW w:w="5000" w:type="pct"/>
            <w:gridSpan w:val="8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outlineLvl w:val="2"/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es-CL"/>
              </w:rPr>
            </w:pPr>
            <w:r w:rsidRPr="006D1382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es-CL"/>
              </w:rPr>
              <w:t>Total body BMD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Age (years)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-0.17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-0.2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0.001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-0.1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hAnsi="Times New Roman" w:cs="Times New Roman"/>
                <w:sz w:val="20"/>
                <w:szCs w:val="20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BMI (kg/m²)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0.13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0.02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0.09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hAnsi="Times New Roman" w:cs="Times New Roman"/>
                <w:sz w:val="20"/>
                <w:szCs w:val="20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Total body lean mass (kg)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&lt;0.001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0.47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&lt;0.001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0.62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&lt;0.001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hAnsi="Times New Roman" w:cs="Times New Roman"/>
                <w:sz w:val="20"/>
                <w:szCs w:val="20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A10BCC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Total Fat Mass (kg)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0.23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0.005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0.34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&lt;0.001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0.11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hAnsi="Times New Roman" w:cs="Times New Roman"/>
                <w:sz w:val="20"/>
                <w:szCs w:val="20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Total regional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-0.16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0.7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-0.18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hAnsi="Times New Roman" w:cs="Times New Roman"/>
                <w:sz w:val="20"/>
                <w:szCs w:val="20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Android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0.052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0.005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-0.1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</w:tcPr>
          <w:p w:rsidR="00D15E30" w:rsidRPr="00E138D3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E138D3">
              <w:rPr>
                <w:rFonts w:ascii="Times New Roman" w:hAnsi="Times New Roman" w:cs="Times New Roman"/>
                <w:sz w:val="20"/>
                <w:szCs w:val="20"/>
              </w:rPr>
              <w:t>Total body BMD</w:t>
            </w:r>
          </w:p>
        </w:tc>
        <w:tc>
          <w:tcPr>
            <w:tcW w:w="125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Gynoid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 xml:space="preserve">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-0.25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&lt;0.001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0.09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-0.15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&gt;0.99</w:t>
            </w:r>
          </w:p>
        </w:tc>
      </w:tr>
      <w:tr w:rsidR="00D15E30" w:rsidTr="006330CD">
        <w:trPr>
          <w:trHeight w:val="290"/>
        </w:trPr>
        <w:tc>
          <w:tcPr>
            <w:tcW w:w="5000" w:type="pct"/>
            <w:gridSpan w:val="8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CC4D17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es-CL"/>
              </w:rPr>
              <w:t>Femoral neck BMD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0.02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0.8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0.8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0.02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0.8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BMI (kg/m²)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0.05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0.5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0.12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-0.21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Total body lean mass (kg)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0.05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0.5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0.07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0.15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Total Fat Mass (kg)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0.014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0.39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0.03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Total regional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0.15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0.07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0.29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Android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0.02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0.15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0.11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0.04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femoral neck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proofErr w:type="spellStart"/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Gynoid</w:t>
            </w:r>
            <w:proofErr w:type="spellEnd"/>
            <w:r w:rsidRPr="00D466D6">
              <w:rPr>
                <w:rFonts w:ascii="Times New Roman" w:hAnsi="Times New Roman" w:cs="Times New Roman"/>
                <w:sz w:val="20"/>
                <w:szCs w:val="20"/>
              </w:rPr>
              <w:t xml:space="preserve">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0.27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0.16</w:t>
            </w:r>
          </w:p>
        </w:tc>
      </w:tr>
      <w:tr w:rsidR="00D15E30" w:rsidTr="006330CD">
        <w:trPr>
          <w:trHeight w:val="290"/>
        </w:trPr>
        <w:tc>
          <w:tcPr>
            <w:tcW w:w="5000" w:type="pct"/>
            <w:gridSpan w:val="8"/>
            <w:noWrap/>
            <w:vAlign w:val="center"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  <w:lang w:eastAsia="es-CL"/>
              </w:rPr>
              <w:t>Lumbar spine BMD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0.08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0.3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0.09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0.3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0.07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0.7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BMI (kg/m²)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-0.07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0.3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-0.07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0.4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-0.08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Total body lean mass (kg)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-0.03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0.7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-0.016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0.8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0.05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0.7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Total Fat Mass (kg)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0.04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0.004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0.22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0.26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Total regional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0.03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-0.005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0.08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Android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0.04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0.6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0.9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0.2</w:t>
            </w:r>
          </w:p>
        </w:tc>
      </w:tr>
      <w:tr w:rsidR="00D15E30" w:rsidTr="006330CD">
        <w:trPr>
          <w:trHeight w:val="290"/>
        </w:trPr>
        <w:tc>
          <w:tcPr>
            <w:tcW w:w="1087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BMD lumbar L3-L4</w:t>
            </w:r>
          </w:p>
        </w:tc>
        <w:tc>
          <w:tcPr>
            <w:tcW w:w="1250" w:type="pct"/>
            <w:noWrap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proofErr w:type="spellStart"/>
            <w:r w:rsidRPr="00D466D6">
              <w:rPr>
                <w:rFonts w:ascii="Times New Roman" w:hAnsi="Times New Roman" w:cs="Times New Roman"/>
                <w:sz w:val="20"/>
                <w:szCs w:val="20"/>
              </w:rPr>
              <w:t>Gynoid</w:t>
            </w:r>
            <w:proofErr w:type="spellEnd"/>
            <w:r w:rsidRPr="00D466D6">
              <w:rPr>
                <w:rFonts w:ascii="Times New Roman" w:hAnsi="Times New Roman" w:cs="Times New Roman"/>
                <w:sz w:val="20"/>
                <w:szCs w:val="20"/>
              </w:rPr>
              <w:t xml:space="preserve"> fat (%)</w:t>
            </w:r>
          </w:p>
        </w:tc>
        <w:tc>
          <w:tcPr>
            <w:tcW w:w="39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0.03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0.7</w:t>
            </w:r>
          </w:p>
        </w:tc>
        <w:tc>
          <w:tcPr>
            <w:tcW w:w="431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-0.01</w:t>
            </w:r>
          </w:p>
        </w:tc>
        <w:tc>
          <w:tcPr>
            <w:tcW w:w="489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0.8</w:t>
            </w:r>
          </w:p>
        </w:tc>
        <w:tc>
          <w:tcPr>
            <w:tcW w:w="372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-0.03</w:t>
            </w:r>
          </w:p>
        </w:tc>
        <w:tc>
          <w:tcPr>
            <w:tcW w:w="490" w:type="pct"/>
            <w:noWrap/>
            <w:vAlign w:val="center"/>
          </w:tcPr>
          <w:p w:rsidR="00D15E30" w:rsidRPr="006E65B9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6E65B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0.8</w:t>
            </w:r>
          </w:p>
        </w:tc>
      </w:tr>
      <w:tr w:rsidR="00D15E30" w:rsidTr="006330CD">
        <w:trPr>
          <w:trHeight w:val="290"/>
        </w:trPr>
        <w:tc>
          <w:tcPr>
            <w:tcW w:w="5000" w:type="pct"/>
            <w:gridSpan w:val="8"/>
            <w:noWrap/>
            <w:vAlign w:val="center"/>
          </w:tcPr>
          <w:p w:rsidR="00D15E30" w:rsidRPr="00D466D6" w:rsidRDefault="00D15E30" w:rsidP="006330CD">
            <w:pPr>
              <w:shd w:val="clear" w:color="auto" w:fill="FFFFFF"/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</w:pPr>
            <w:r w:rsidRPr="00D466D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t>Abbreviations:</w:t>
            </w:r>
            <w:r w:rsidRPr="00D466D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 xml:space="preserve"> BMD, bone mineral density; DXA, dual-energy X-ray absorptiometry; BMI, body mass index.</w:t>
            </w:r>
            <w:r w:rsidRPr="00D466D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br/>
            </w:r>
            <w:r w:rsidRPr="00125EDD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s-CL"/>
              </w:rPr>
              <w:lastRenderedPageBreak/>
              <w:t xml:space="preserve">Note: </w:t>
            </w:r>
            <w:r w:rsidRPr="00125ED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s-CL"/>
              </w:rPr>
              <w:t>Values represent Spearman’s correlation coefficients (ρ). Correlation analyses were performed using all participants with valid measurements available for each anatomical site (total body BMD, n = 274; femoral neck BMD, n = 133; lumbar spine BMD, n = 133).</w:t>
            </w:r>
          </w:p>
        </w:tc>
      </w:tr>
    </w:tbl>
    <w:p w:rsidR="00D15E30" w:rsidRDefault="00D15E30" w:rsidP="00D15E30">
      <w:pPr>
        <w:shd w:val="clear" w:color="auto" w:fill="FFFFFF"/>
        <w:tabs>
          <w:tab w:val="left" w:pos="1648"/>
        </w:tabs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Style w:val="TableGrid"/>
        <w:tblpPr w:leftFromText="181" w:rightFromText="181" w:vertAnchor="page" w:horzAnchor="margin" w:tblpY="2301"/>
        <w:tblW w:w="5000" w:type="pct"/>
        <w:tblLook w:val="04A0" w:firstRow="1" w:lastRow="0" w:firstColumn="1" w:lastColumn="0" w:noHBand="0" w:noVBand="1"/>
      </w:tblPr>
      <w:tblGrid>
        <w:gridCol w:w="1273"/>
        <w:gridCol w:w="1044"/>
        <w:gridCol w:w="975"/>
        <w:gridCol w:w="707"/>
        <w:gridCol w:w="1079"/>
        <w:gridCol w:w="902"/>
        <w:gridCol w:w="772"/>
        <w:gridCol w:w="1452"/>
        <w:gridCol w:w="1372"/>
      </w:tblGrid>
      <w:tr w:rsidR="00D15E30" w:rsidTr="006330CD">
        <w:trPr>
          <w:trHeight w:val="288"/>
        </w:trPr>
        <w:tc>
          <w:tcPr>
            <w:tcW w:w="5000" w:type="pct"/>
            <w:gridSpan w:val="9"/>
            <w:noWrap/>
          </w:tcPr>
          <w:p w:rsidR="00D15E30" w:rsidRPr="00D1173F" w:rsidRDefault="00D15E30" w:rsidP="006330C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46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Table S3. </w:t>
            </w:r>
            <w:r w:rsidRPr="009F14DB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Anthropometric and body composition characteristics by sex in participants with complete and missing regional DXA data.</w:t>
            </w:r>
          </w:p>
        </w:tc>
      </w:tr>
      <w:tr w:rsidR="00D15E30" w:rsidTr="006330CD">
        <w:trPr>
          <w:trHeight w:val="288"/>
        </w:trPr>
        <w:tc>
          <w:tcPr>
            <w:tcW w:w="684" w:type="pct"/>
            <w:tcBorders>
              <w:bottom w:val="single" w:sz="4" w:space="0" w:color="FFFFFF" w:themeColor="background1"/>
            </w:tcBorders>
            <w:noWrap/>
            <w:hideMark/>
          </w:tcPr>
          <w:p w:rsidR="00D15E30" w:rsidRPr="00D1173F" w:rsidRDefault="00D15E30" w:rsidP="006330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0" w:type="pct"/>
            <w:gridSpan w:val="3"/>
            <w:noWrap/>
            <w:vAlign w:val="center"/>
            <w:hideMark/>
          </w:tcPr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regional DXA group</w:t>
            </w:r>
          </w:p>
        </w:tc>
        <w:tc>
          <w:tcPr>
            <w:tcW w:w="1397" w:type="pct"/>
            <w:gridSpan w:val="3"/>
            <w:noWrap/>
            <w:vAlign w:val="center"/>
            <w:hideMark/>
          </w:tcPr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regional DXA group</w:t>
            </w:r>
          </w:p>
        </w:tc>
        <w:tc>
          <w:tcPr>
            <w:tcW w:w="1539" w:type="pct"/>
            <w:gridSpan w:val="2"/>
            <w:noWrap/>
            <w:vAlign w:val="center"/>
            <w:hideMark/>
          </w:tcPr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 of complete v/s missing regional DXA groups</w:t>
            </w:r>
          </w:p>
        </w:tc>
      </w:tr>
      <w:tr w:rsidR="00D15E30" w:rsidTr="006330CD">
        <w:trPr>
          <w:trHeight w:val="288"/>
        </w:trPr>
        <w:tc>
          <w:tcPr>
            <w:tcW w:w="684" w:type="pct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A2EEE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</w:p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 = 105)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A2EEE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</w:p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 = 27)</w:t>
            </w:r>
          </w:p>
        </w:tc>
        <w:tc>
          <w:tcPr>
            <w:tcW w:w="335" w:type="pct"/>
            <w:noWrap/>
            <w:vAlign w:val="center"/>
            <w:hideMark/>
          </w:tcPr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A2EEE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</w:p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 = 113)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A2EEE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</w:p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 = 29)</w:t>
            </w:r>
          </w:p>
        </w:tc>
        <w:tc>
          <w:tcPr>
            <w:tcW w:w="376" w:type="pct"/>
            <w:noWrap/>
            <w:vAlign w:val="center"/>
            <w:hideMark/>
          </w:tcPr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794" w:type="pct"/>
            <w:noWrap/>
            <w:vAlign w:val="center"/>
            <w:hideMark/>
          </w:tcPr>
          <w:p w:rsidR="00D15E30" w:rsidRPr="006A2EEE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Women</w:t>
            </w:r>
          </w:p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 value</w:t>
            </w:r>
          </w:p>
        </w:tc>
        <w:tc>
          <w:tcPr>
            <w:tcW w:w="745" w:type="pct"/>
            <w:noWrap/>
            <w:vAlign w:val="center"/>
            <w:hideMark/>
          </w:tcPr>
          <w:p w:rsidR="00D15E30" w:rsidRPr="006A2EEE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17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</w:t>
            </w:r>
          </w:p>
          <w:p w:rsidR="00D15E30" w:rsidRPr="00D1173F" w:rsidRDefault="00D15E30" w:rsidP="006330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D15E30" w:rsidTr="006330CD">
        <w:trPr>
          <w:trHeight w:val="288"/>
        </w:trPr>
        <w:tc>
          <w:tcPr>
            <w:tcW w:w="5000" w:type="pct"/>
            <w:gridSpan w:val="9"/>
            <w:noWrap/>
          </w:tcPr>
          <w:p w:rsidR="00D15E30" w:rsidRPr="00692105" w:rsidRDefault="00D15E30" w:rsidP="006330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ANTHROPOMETRIC VARIABLES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Weight (kg)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66 (59-76)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79.63 ±12.05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66 (58-75)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79.94 ± 8.23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Height (m)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1.51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(1.48-1.57)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1.64 ± 0.08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1.52 ± 0.06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1.66 ± 0.08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BMI (kg/m</w:t>
            </w:r>
            <w:r w:rsidRPr="0069210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28 (25.9-32.5)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28.7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(27.4-31.9)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28.1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(25.4-32.2)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28.74 ± 3.6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5000" w:type="pct"/>
            <w:gridSpan w:val="9"/>
            <w:noWrap/>
            <w:vAlign w:val="center"/>
          </w:tcPr>
          <w:p w:rsidR="00D15E30" w:rsidRPr="00692105" w:rsidRDefault="00D15E30" w:rsidP="006330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TOTAL BODY COMPOSITION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Total bone mass (kg)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1.92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(1.76-2.18)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2.72 ± 0.50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1.89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(1.74-2.06)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2.90 ± 0.37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Total Fat Mass (kg)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27.98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(23.01-34.83)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29.02 ± 7.30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27.38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 xml:space="preserve"> (22.47-33.20)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26.65 ± 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Total regional fat (%)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42.59 ± 5.94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35.92 ± 6.22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42.1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(38.5-45.4)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33.32 ± 6.61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Total Lean Mass (kg)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35.93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(32.88-39.70)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48.65 ± 0.81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35.17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(32.42-39.22)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49.57 ± 0.50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5000" w:type="pct"/>
            <w:gridSpan w:val="9"/>
            <w:noWrap/>
            <w:vAlign w:val="center"/>
          </w:tcPr>
          <w:p w:rsidR="00D15E30" w:rsidRPr="00692105" w:rsidRDefault="00D15E30" w:rsidP="006330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REGIONAL FAT DISTRIBUTION (%)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Trunk fat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(43.9-51.6)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43.34 ± 6.28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47.8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(42.9-51.5)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40.06 ± 7.51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Android fat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50.9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(46.8-55.1)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47.59 ± 6.91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50.3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(45.3-55)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43.9 ± 8.48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Gynoid</w:t>
            </w:r>
            <w:proofErr w:type="spellEnd"/>
            <w:r w:rsidRPr="00692105">
              <w:rPr>
                <w:rFonts w:ascii="Times New Roman" w:hAnsi="Times New Roman" w:cs="Times New Roman"/>
                <w:sz w:val="18"/>
                <w:szCs w:val="18"/>
              </w:rPr>
              <w:t xml:space="preserve"> fat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43.24 ± 6.57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33.65 ± 7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42.72 ± 7.01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30.8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(27.8-34.9)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684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Android-to-</w:t>
            </w:r>
            <w:proofErr w:type="spellStart"/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gynoid</w:t>
            </w:r>
            <w:proofErr w:type="spellEnd"/>
            <w:r w:rsidRPr="00692105">
              <w:rPr>
                <w:rFonts w:ascii="Times New Roman" w:hAnsi="Times New Roman" w:cs="Times New Roman"/>
                <w:sz w:val="18"/>
                <w:szCs w:val="18"/>
              </w:rPr>
              <w:t xml:space="preserve"> ratio</w:t>
            </w:r>
          </w:p>
        </w:tc>
        <w:tc>
          <w:tcPr>
            <w:tcW w:w="543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(1.06-1.25)</w:t>
            </w:r>
          </w:p>
        </w:tc>
        <w:tc>
          <w:tcPr>
            <w:tcW w:w="501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1.44 ± 0.2</w:t>
            </w:r>
          </w:p>
        </w:tc>
        <w:tc>
          <w:tcPr>
            <w:tcW w:w="33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5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1.14 ± 0.18</w:t>
            </w:r>
          </w:p>
        </w:tc>
        <w:tc>
          <w:tcPr>
            <w:tcW w:w="456" w:type="pct"/>
            <w:noWrap/>
            <w:vAlign w:val="center"/>
            <w:hideMark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1.38 ± 0.18</w:t>
            </w:r>
          </w:p>
        </w:tc>
        <w:tc>
          <w:tcPr>
            <w:tcW w:w="376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794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  <w:tc>
          <w:tcPr>
            <w:tcW w:w="745" w:type="pct"/>
            <w:noWrap/>
            <w:vAlign w:val="center"/>
          </w:tcPr>
          <w:p w:rsidR="00D15E30" w:rsidRPr="00692105" w:rsidRDefault="00D15E30" w:rsidP="00633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2105"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:lang w:eastAsia="es-CL"/>
                <w14:ligatures w14:val="none"/>
              </w:rPr>
              <w:t>&gt;0.99</w:t>
            </w:r>
          </w:p>
        </w:tc>
      </w:tr>
      <w:tr w:rsidR="00D15E30" w:rsidTr="006330CD">
        <w:trPr>
          <w:trHeight w:val="327"/>
        </w:trPr>
        <w:tc>
          <w:tcPr>
            <w:tcW w:w="5000" w:type="pct"/>
            <w:gridSpan w:val="9"/>
            <w:noWrap/>
          </w:tcPr>
          <w:p w:rsidR="00D15E30" w:rsidRPr="00D1173F" w:rsidRDefault="00D15E30" w:rsidP="006330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400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Note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8E0DDF">
              <w:t xml:space="preserve"> </w:t>
            </w:r>
            <w:r w:rsidRPr="008E0DDF">
              <w:rPr>
                <w:rFonts w:ascii="Times New Roman" w:hAnsi="Times New Roman" w:cs="Times New Roman"/>
                <w:sz w:val="18"/>
                <w:szCs w:val="18"/>
              </w:rPr>
              <w:t xml:space="preserve">Values are presented as the mean ± standard deviation (SD) for normally distributed variables and median (interquartile range, IQR) for </w:t>
            </w:r>
            <w:proofErr w:type="spellStart"/>
            <w:r w:rsidRPr="008E0DDF">
              <w:rPr>
                <w:rFonts w:ascii="Times New Roman" w:hAnsi="Times New Roman" w:cs="Times New Roman"/>
                <w:sz w:val="18"/>
                <w:szCs w:val="18"/>
              </w:rPr>
              <w:t>nonnormally</w:t>
            </w:r>
            <w:proofErr w:type="spellEnd"/>
            <w:r w:rsidRPr="008E0DDF">
              <w:rPr>
                <w:rFonts w:ascii="Times New Roman" w:hAnsi="Times New Roman" w:cs="Times New Roman"/>
                <w:sz w:val="18"/>
                <w:szCs w:val="18"/>
              </w:rPr>
              <w:t xml:space="preserve"> distributed variables. Because distribution was assessed within each subgroup, summary measures may differ across groups. Between-sex comparisons within each group were performed using Welch’s t test or Mann–Whitney U test, as appropriate. Comparisons between complete and missing DXA groups were performed within each sex. P values were Bonferroni-adjusted.</w:t>
            </w:r>
            <w:r w:rsidRPr="008E0DDF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</w:tbl>
    <w:p w:rsidR="00D15E30" w:rsidRDefault="00D15E30" w:rsidP="00D15E30">
      <w:pPr>
        <w:shd w:val="clear" w:color="auto" w:fill="FFFFFF"/>
        <w:tabs>
          <w:tab w:val="left" w:pos="1648"/>
        </w:tabs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Style w:val="TableGrid"/>
        <w:tblW w:w="8366" w:type="dxa"/>
        <w:jc w:val="center"/>
        <w:tblLook w:val="04A0" w:firstRow="1" w:lastRow="0" w:firstColumn="1" w:lastColumn="0" w:noHBand="0" w:noVBand="1"/>
      </w:tblPr>
      <w:tblGrid>
        <w:gridCol w:w="2738"/>
        <w:gridCol w:w="1876"/>
        <w:gridCol w:w="1876"/>
        <w:gridCol w:w="1876"/>
      </w:tblGrid>
      <w:tr w:rsidR="00D15E30" w:rsidTr="006330CD">
        <w:trPr>
          <w:trHeight w:val="245"/>
          <w:jc w:val="center"/>
        </w:trPr>
        <w:tc>
          <w:tcPr>
            <w:tcW w:w="0" w:type="auto"/>
            <w:gridSpan w:val="4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CB5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Table S4. </w:t>
            </w:r>
            <w:r w:rsidRPr="00436720">
              <w:rPr>
                <w:rFonts w:ascii="Times New Roman" w:hAnsi="Times New Roman" w:cs="Times New Roman"/>
                <w:sz w:val="24"/>
                <w:szCs w:val="24"/>
              </w:rPr>
              <w:t>Variance inflation factor (VIF) values for predictors included in the multivariable linear regression models (Table 3)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0" w:type="auto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1 VIF</w:t>
            </w:r>
          </w:p>
        </w:tc>
        <w:tc>
          <w:tcPr>
            <w:tcW w:w="0" w:type="auto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2 VIF</w:t>
            </w:r>
          </w:p>
        </w:tc>
        <w:tc>
          <w:tcPr>
            <w:tcW w:w="0" w:type="auto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3 VIF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B82FE6">
              <w:rPr>
                <w:rFonts w:ascii="Times New Roman" w:hAnsi="Times New Roman" w:cs="Times New Roman"/>
                <w:sz w:val="20"/>
                <w:szCs w:val="20"/>
              </w:rPr>
              <w:t>Total lean mass (kg)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1.18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2.25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2.06</w:t>
            </w:r>
          </w:p>
        </w:tc>
      </w:tr>
      <w:tr w:rsidR="00D15E30" w:rsidTr="006330CD">
        <w:trPr>
          <w:trHeight w:val="258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C422FD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1.07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A0429C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1.07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E7243A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C422FD">
              <w:rPr>
                <w:rFonts w:ascii="Times New Roman" w:hAnsi="Times New Roman" w:cs="Times New Roman"/>
                <w:sz w:val="20"/>
                <w:szCs w:val="20"/>
              </w:rPr>
              <w:t>BMI (kg/m²)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896179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1.07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A0429C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1.07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E7243A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C422FD">
              <w:rPr>
                <w:rFonts w:ascii="Times New Roman" w:hAnsi="Times New Roman" w:cs="Times New Roman"/>
                <w:sz w:val="20"/>
                <w:szCs w:val="20"/>
              </w:rPr>
              <w:t>Total regional fat (%)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1.13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862C53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E7243A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C422FD">
              <w:rPr>
                <w:rFonts w:ascii="Times New Roman" w:hAnsi="Times New Roman" w:cs="Times New Roman"/>
                <w:sz w:val="20"/>
                <w:szCs w:val="20"/>
              </w:rPr>
              <w:t>Sex (male)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896179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2.27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2.21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r w:rsidRPr="00C422FD">
              <w:rPr>
                <w:rFonts w:ascii="Times New Roman" w:hAnsi="Times New Roman" w:cs="Times New Roman"/>
                <w:sz w:val="20"/>
                <w:szCs w:val="20"/>
              </w:rPr>
              <w:t>Android fat (%)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896179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2.48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721B1C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2.45</w:t>
            </w:r>
          </w:p>
        </w:tc>
      </w:tr>
      <w:tr w:rsidR="00D15E30" w:rsidTr="006330CD">
        <w:trPr>
          <w:trHeight w:val="245"/>
          <w:jc w:val="center"/>
        </w:trPr>
        <w:tc>
          <w:tcPr>
            <w:tcW w:w="0" w:type="auto"/>
            <w:vAlign w:val="center"/>
          </w:tcPr>
          <w:p w:rsidR="00D15E30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both"/>
              <w:outlineLvl w:val="2"/>
              <w:rPr>
                <w:rFonts w:ascii="Merriweather Sans" w:eastAsia="Times New Roman" w:hAnsi="Merriweather Sans" w:cs="Times New Roman"/>
                <w:color w:val="222222"/>
                <w:kern w:val="0"/>
                <w:sz w:val="27"/>
                <w:szCs w:val="27"/>
                <w:lang w:eastAsia="es-CL"/>
                <w14:ligatures w14:val="none"/>
              </w:rPr>
            </w:pPr>
            <w:proofErr w:type="spellStart"/>
            <w:r w:rsidRPr="00C422FD">
              <w:rPr>
                <w:rFonts w:ascii="Times New Roman" w:hAnsi="Times New Roman" w:cs="Times New Roman"/>
                <w:sz w:val="20"/>
                <w:szCs w:val="20"/>
              </w:rPr>
              <w:t>Gynoid</w:t>
            </w:r>
            <w:proofErr w:type="spellEnd"/>
            <w:r w:rsidRPr="00C422FD">
              <w:rPr>
                <w:rFonts w:ascii="Times New Roman" w:hAnsi="Times New Roman" w:cs="Times New Roman"/>
                <w:sz w:val="20"/>
                <w:szCs w:val="20"/>
              </w:rPr>
              <w:t xml:space="preserve"> fat (%)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896179"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—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3.15</w:t>
            </w:r>
          </w:p>
        </w:tc>
        <w:tc>
          <w:tcPr>
            <w:tcW w:w="0" w:type="auto"/>
          </w:tcPr>
          <w:p w:rsidR="00D15E30" w:rsidRPr="00EF0A3A" w:rsidRDefault="00D15E30" w:rsidP="006330CD">
            <w:pPr>
              <w:tabs>
                <w:tab w:val="left" w:pos="1648"/>
              </w:tabs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  <w:t>3.14</w:t>
            </w:r>
          </w:p>
        </w:tc>
      </w:tr>
      <w:tr w:rsidR="00D15E30" w:rsidTr="006330CD">
        <w:trPr>
          <w:trHeight w:val="503"/>
          <w:jc w:val="center"/>
        </w:trPr>
        <w:tc>
          <w:tcPr>
            <w:tcW w:w="0" w:type="auto"/>
            <w:gridSpan w:val="4"/>
          </w:tcPr>
          <w:p w:rsidR="00D15E30" w:rsidRPr="0072533D" w:rsidRDefault="00D15E30" w:rsidP="006330CD">
            <w:pPr>
              <w:tabs>
                <w:tab w:val="left" w:pos="1648"/>
              </w:tabs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</w:pPr>
            <w:r w:rsidRPr="0072533D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  <w:t>Note</w:t>
            </w:r>
          </w:p>
          <w:p w:rsidR="00D15E30" w:rsidRPr="0072533D" w:rsidRDefault="00D15E30" w:rsidP="006330CD">
            <w:pPr>
              <w:tabs>
                <w:tab w:val="left" w:pos="1648"/>
              </w:tabs>
              <w:jc w:val="both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</w:pPr>
            <w:r w:rsidRPr="0072533D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  <w:t>Variance inflation factors (VIF) were used to assess multicollinearity in the multivariable linear regression models presented in Table 3.</w:t>
            </w:r>
          </w:p>
          <w:p w:rsidR="00D15E30" w:rsidRPr="0072533D" w:rsidRDefault="00D15E30" w:rsidP="006330CD">
            <w:pPr>
              <w:tabs>
                <w:tab w:val="left" w:pos="1648"/>
              </w:tabs>
              <w:jc w:val="both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</w:pPr>
            <w:r w:rsidRPr="0072533D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  <w:t>For categorical variables, generalized VIF (GVIF) values were adjusted as GVIF</w:t>
            </w:r>
            <w:proofErr w:type="gramStart"/>
            <w:r w:rsidRPr="0072533D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  <w:t>^(</w:t>
            </w:r>
            <w:proofErr w:type="gramEnd"/>
            <w:r w:rsidRPr="0072533D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  <w:t>1/(2×Df)).</w:t>
            </w:r>
          </w:p>
          <w:p w:rsidR="00D15E30" w:rsidRPr="0072533D" w:rsidRDefault="00D15E30" w:rsidP="006330CD">
            <w:pPr>
              <w:tabs>
                <w:tab w:val="left" w:pos="1648"/>
              </w:tabs>
              <w:jc w:val="both"/>
              <w:outlineLvl w:val="2"/>
              <w:rPr>
                <w:rFonts w:ascii="Times New Roman" w:eastAsia="Times New Roman" w:hAnsi="Times New Roman" w:cs="Times New Roman"/>
                <w:color w:val="222222"/>
                <w:kern w:val="0"/>
                <w:sz w:val="20"/>
                <w:szCs w:val="20"/>
                <w:lang w:eastAsia="es-CL"/>
                <w14:ligatures w14:val="none"/>
              </w:rPr>
            </w:pPr>
            <w:r w:rsidRPr="0072533D">
              <w:rPr>
                <w:rFonts w:ascii="Times New Roman" w:eastAsia="Times New Roman" w:hAnsi="Times New Roman" w:cs="Times New Roman"/>
                <w:color w:val="222222"/>
                <w:kern w:val="0"/>
                <w:sz w:val="16"/>
                <w:szCs w:val="16"/>
                <w:lang w:eastAsia="es-CL"/>
                <w14:ligatures w14:val="none"/>
              </w:rPr>
              <w:t>All VIF values were below the predefined threshold of 5, indicating no evidence of problematic multicollinearity.</w:t>
            </w:r>
          </w:p>
        </w:tc>
      </w:tr>
    </w:tbl>
    <w:p w:rsidR="00D15E30" w:rsidRPr="004A30A5" w:rsidRDefault="00D15E30" w:rsidP="00D15E30">
      <w:pPr>
        <w:shd w:val="clear" w:color="auto" w:fill="FFFFFF"/>
        <w:tabs>
          <w:tab w:val="left" w:pos="1648"/>
        </w:tabs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2867FE" w:rsidRDefault="002867FE"/>
    <w:sectPr w:rsidR="002867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Sans">
    <w:altName w:val="Times New Roman"/>
    <w:charset w:val="00"/>
    <w:family w:val="auto"/>
    <w:pitch w:val="variable"/>
    <w:sig w:usb0="00000001" w:usb1="4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E30"/>
    <w:rsid w:val="002867FE"/>
    <w:rsid w:val="00D1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5E30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15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5E30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15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Neil Silva</dc:creator>
  <cp:lastModifiedBy>Ali Neil Silva</cp:lastModifiedBy>
  <cp:revision>1</cp:revision>
  <dcterms:created xsi:type="dcterms:W3CDTF">2026-06-25T05:34:00Z</dcterms:created>
  <dcterms:modified xsi:type="dcterms:W3CDTF">2026-06-25T05:35:00Z</dcterms:modified>
</cp:coreProperties>
</file>