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8407" w14:textId="5A943E30" w:rsidR="002821AD" w:rsidRDefault="00F45C3E" w:rsidP="00F45C3E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5C3E">
        <w:rPr>
          <w:rFonts w:ascii="Times New Roman" w:eastAsia="Arial" w:hAnsi="Times New Roman" w:cs="Times New Roman"/>
          <w:b/>
          <w:bCs/>
          <w:sz w:val="24"/>
          <w:szCs w:val="24"/>
        </w:rPr>
        <w:t>Supplementary Table S2</w:t>
      </w:r>
      <w:r w:rsidRPr="00F45C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00000" w:rsidRPr="00F45C3E">
        <w:rPr>
          <w:rFonts w:ascii="Times New Roman" w:eastAsia="Arial" w:hAnsi="Times New Roman" w:cs="Times New Roman"/>
          <w:b/>
          <w:bCs/>
          <w:sz w:val="24"/>
          <w:szCs w:val="24"/>
        </w:rPr>
        <w:t>Exemplar of the analytic process: from meaning unit to theme</w:t>
      </w:r>
    </w:p>
    <w:p w14:paraId="5869D86F" w14:textId="040FC838" w:rsidR="00F45C3E" w:rsidRDefault="00F45C3E" w:rsidP="00F45C3E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F45C3E">
        <w:rPr>
          <w:rFonts w:ascii="Times New Roman" w:hAnsi="Times New Roman" w:cs="Times New Roman"/>
          <w:sz w:val="24"/>
          <w:szCs w:val="24"/>
        </w:rPr>
        <w:t>One representative example is shown for each category, illustrating how meaning units (participant quotations) were coded and organized into categories during the content analysis.</w:t>
      </w:r>
    </w:p>
    <w:p w14:paraId="7DB7C3F5" w14:textId="77777777" w:rsidR="00B66576" w:rsidRPr="00F45C3E" w:rsidRDefault="00B66576" w:rsidP="00F45C3E">
      <w:pPr>
        <w:spacing w:after="120"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4DEE1E7B" w14:textId="0B86E316" w:rsidR="00F45C3E" w:rsidRPr="00F45C3E" w:rsidRDefault="00F45C3E" w:rsidP="00F45C3E">
      <w:pPr>
        <w:spacing w:after="200"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F45C3E">
        <w:rPr>
          <w:rFonts w:ascii="Times New Roman" w:hAnsi="Times New Roman" w:cs="Times New Roman"/>
          <w:b/>
          <w:bCs/>
          <w:sz w:val="24"/>
          <w:szCs w:val="24"/>
        </w:rPr>
        <w:t>(a) Theme 1: Lessons learned in Team Orange by Orange Supporters</w:t>
      </w:r>
    </w:p>
    <w:tbl>
      <w:tblPr>
        <w:tblW w:w="13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2"/>
        <w:gridCol w:w="3968"/>
        <w:gridCol w:w="3969"/>
      </w:tblGrid>
      <w:tr w:rsidR="00F45C3E" w:rsidRPr="00F45C3E" w14:paraId="22D71281" w14:textId="77777777" w:rsidTr="00F45C3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79519" w14:textId="77777777" w:rsidR="00F45C3E" w:rsidRPr="00F45C3E" w:rsidRDefault="00F45C3E" w:rsidP="00F45C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Representative meaning unit (quotation)</w:t>
            </w:r>
          </w:p>
        </w:tc>
        <w:tc>
          <w:tcPr>
            <w:tcW w:w="39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FD37A" w14:textId="77777777" w:rsidR="00F45C3E" w:rsidRPr="00F45C3E" w:rsidRDefault="00F45C3E" w:rsidP="00F45C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0984E" w14:textId="77777777" w:rsidR="00F45C3E" w:rsidRPr="00F45C3E" w:rsidRDefault="00F45C3E" w:rsidP="00F45C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</w:tr>
      <w:tr w:rsidR="00F45C3E" w:rsidRPr="00F45C3E" w14:paraId="269470B8" w14:textId="77777777" w:rsidTr="00F45C3E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EDACF1" w14:textId="77777777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“…there are some sufferings that only the PLWD and their family can understand, so I try to understand them and stay by their side…”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(ID.13)</w:t>
            </w:r>
          </w:p>
        </w:tc>
        <w:tc>
          <w:tcPr>
            <w:tcW w:w="39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0575E" w14:textId="71F74113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1.1 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&lt;Respecting the wishes and position of PLWD and their families&gt;</w:t>
            </w:r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2C42E" w14:textId="77777777" w:rsid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Category 1.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29F4855F" w14:textId="2FEF5453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[Respecting the personhood of PLWD and their families]</w:t>
            </w:r>
          </w:p>
        </w:tc>
      </w:tr>
      <w:tr w:rsidR="00F45C3E" w:rsidRPr="00F45C3E" w14:paraId="47CBFDED" w14:textId="77777777" w:rsidTr="00F45C3E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51B56" w14:textId="77777777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“It’s okay to talk normally with PLWD. Listening intently… will make the person… feel more comfortable.”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(ID.6)</w:t>
            </w:r>
          </w:p>
        </w:tc>
        <w:tc>
          <w:tcPr>
            <w:tcW w:w="39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E67992" w14:textId="380C73F4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2.1 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&lt;Clarifying how to better communicate with PLWD and their families&gt;</w:t>
            </w:r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DB9AD" w14:textId="664447C7" w:rsid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Category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49D2D33E" w14:textId="45183ECB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[Understanding and supporting diverse needs]</w:t>
            </w:r>
          </w:p>
        </w:tc>
      </w:tr>
      <w:tr w:rsidR="00F45C3E" w:rsidRPr="00F45C3E" w14:paraId="392C4776" w14:textId="77777777" w:rsidTr="00F45C3E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952B3" w14:textId="77777777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“There are many PLWD who are physically very healthy… there are many things they can do.”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(ID.14)</w:t>
            </w:r>
          </w:p>
        </w:tc>
        <w:tc>
          <w:tcPr>
            <w:tcW w:w="39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46828E" w14:textId="45061802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3.1 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&lt;Focusing on abilities despite dementia&gt;</w:t>
            </w:r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37CCF7" w14:textId="122B5A67" w:rsid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hAnsi="Times New Roman" w:cs="Times New Roman"/>
                <w:sz w:val="24"/>
                <w:szCs w:val="24"/>
              </w:rPr>
              <w:t xml:space="preserve">Category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45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0B6039" w14:textId="64828511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[Discovering the strengths of PLWD and their families]</w:t>
            </w:r>
          </w:p>
        </w:tc>
      </w:tr>
      <w:tr w:rsidR="00F45C3E" w:rsidRPr="00F45C3E" w14:paraId="1CC6F578" w14:textId="77777777" w:rsidTr="00F45C3E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E39B4" w14:textId="77777777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“…it would be wonderful if we could work toward a common goal through exchanges and activities together.”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(ID.11)</w:t>
            </w:r>
          </w:p>
        </w:tc>
        <w:tc>
          <w:tcPr>
            <w:tcW w:w="39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8A54E" w14:textId="69B8C822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4.1 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&lt;Participating in activities with different people and with common goals&gt;</w:t>
            </w:r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8D143E" w14:textId="15DD8D3E" w:rsid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hAnsi="Times New Roman" w:cs="Times New Roman"/>
                <w:sz w:val="24"/>
                <w:szCs w:val="24"/>
              </w:rPr>
              <w:t xml:space="preserve">Category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45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AA5F00" w14:textId="2437DFAF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[Promoting community inclusion through collaboration]</w:t>
            </w:r>
          </w:p>
        </w:tc>
      </w:tr>
    </w:tbl>
    <w:p w14:paraId="394F4E0F" w14:textId="0F6D0248" w:rsidR="00F45C3E" w:rsidRDefault="00F45C3E" w:rsidP="00F45C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CDEE7A3" w14:textId="14F3E219" w:rsidR="00F45C3E" w:rsidRPr="00F45C3E" w:rsidRDefault="00F45C3E" w:rsidP="00F45C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5C3E">
        <w:rPr>
          <w:rFonts w:ascii="Times New Roman" w:hAnsi="Times New Roman" w:cs="Times New Roman"/>
          <w:b/>
          <w:bCs/>
          <w:sz w:val="24"/>
          <w:szCs w:val="24"/>
        </w:rPr>
        <w:lastRenderedPageBreak/>
        <w:t>(b) Theme 2: Comprehensive benefits of Team Orange identified by Orange Supporters</w:t>
      </w:r>
    </w:p>
    <w:tbl>
      <w:tblPr>
        <w:tblW w:w="13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2"/>
        <w:gridCol w:w="3968"/>
        <w:gridCol w:w="3969"/>
      </w:tblGrid>
      <w:tr w:rsidR="00F45C3E" w:rsidRPr="00F45C3E" w14:paraId="2535B5D3" w14:textId="77777777" w:rsidTr="00F45C3E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3BEFC" w14:textId="77777777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“Think about what happens when I have dementia. I want to… do as much of myself as possible and… ask for help with things I cannot.”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(ID.2)</w:t>
            </w:r>
          </w:p>
        </w:tc>
        <w:tc>
          <w:tcPr>
            <w:tcW w:w="39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27A7A" w14:textId="3D39DA51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1.1 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&lt;Fostering personal preparedness for dementia&gt;</w:t>
            </w:r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B961F1" w14:textId="5A604C46" w:rsid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hAnsi="Times New Roman" w:cs="Times New Roman"/>
                <w:sz w:val="24"/>
                <w:szCs w:val="24"/>
              </w:rPr>
              <w:t>Category 1.</w:t>
            </w:r>
          </w:p>
          <w:p w14:paraId="67A1653F" w14:textId="6F803D37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[Increased dementia awareness in daily life]</w:t>
            </w:r>
          </w:p>
        </w:tc>
      </w:tr>
      <w:tr w:rsidR="00F45C3E" w:rsidRPr="00F45C3E" w14:paraId="795AD004" w14:textId="77777777" w:rsidTr="00F45C3E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D300E" w14:textId="77777777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“It was difficult… but now we are able to naturally support each other.”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(ID.1)</w:t>
            </w:r>
          </w:p>
        </w:tc>
        <w:tc>
          <w:tcPr>
            <w:tcW w:w="39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938BD" w14:textId="12625A29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2.1 </w:t>
            </w: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&lt;Facilitating spontaneous mutual support&gt;</w:t>
            </w:r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F53405" w14:textId="6CE657F7" w:rsid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hAnsi="Times New Roman" w:cs="Times New Roman"/>
                <w:sz w:val="24"/>
                <w:szCs w:val="24"/>
              </w:rPr>
              <w:t xml:space="preserve">Category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45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829894" w14:textId="39DF5CBB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[Empowerment through interdependent contribution]</w:t>
            </w:r>
          </w:p>
        </w:tc>
      </w:tr>
      <w:tr w:rsidR="00F45C3E" w:rsidRPr="00F45C3E" w14:paraId="4E0AF694" w14:textId="77777777" w:rsidTr="00F45C3E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B1234" w14:textId="5F08A2F1" w:rsidR="00F45C3E" w:rsidRPr="00F45C3E" w:rsidRDefault="0098415B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15B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"If I start to feel it's hard, I won't be able to continue. Now I am able to help without any burden." (ID.15)</w:t>
            </w:r>
          </w:p>
        </w:tc>
        <w:tc>
          <w:tcPr>
            <w:tcW w:w="39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62C54" w14:textId="1715FE8A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3.1 </w:t>
            </w:r>
            <w:r w:rsidR="00B66576" w:rsidRPr="00B66576">
              <w:rPr>
                <w:rFonts w:ascii="Times New Roman" w:eastAsia="Arial" w:hAnsi="Times New Roman" w:cs="Times New Roman"/>
                <w:sz w:val="24"/>
                <w:szCs w:val="24"/>
              </w:rPr>
              <w:t>&lt;Enabling participants to continue activities without psychological strain&gt;</w:t>
            </w:r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13829" w14:textId="65926F68" w:rsid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hAnsi="Times New Roman" w:cs="Times New Roman"/>
                <w:sz w:val="24"/>
                <w:szCs w:val="24"/>
              </w:rPr>
              <w:t xml:space="preserve">Category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45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7F91BE" w14:textId="5BC9835C" w:rsidR="00F45C3E" w:rsidRPr="00F45C3E" w:rsidRDefault="00F45C3E" w:rsidP="00F45C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C3E">
              <w:rPr>
                <w:rFonts w:ascii="Times New Roman" w:eastAsia="Arial" w:hAnsi="Times New Roman" w:cs="Times New Roman"/>
                <w:sz w:val="24"/>
                <w:szCs w:val="24"/>
              </w:rPr>
              <w:t>[Enhanced emotional well-being from the activities]</w:t>
            </w:r>
          </w:p>
        </w:tc>
      </w:tr>
    </w:tbl>
    <w:p w14:paraId="15A27A4A" w14:textId="455C119B" w:rsidR="002821AD" w:rsidRPr="00F45C3E" w:rsidRDefault="00000000" w:rsidP="00B66576">
      <w:pPr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F45C3E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Note. </w:t>
      </w:r>
      <w:r w:rsidR="00B66576" w:rsidRPr="00B66576">
        <w:rPr>
          <w:rFonts w:ascii="Times New Roman" w:eastAsia="Arial" w:hAnsi="Times New Roman" w:cs="Times New Roman"/>
          <w:sz w:val="24"/>
          <w:szCs w:val="24"/>
        </w:rPr>
        <w:t>Each row traces a verbatim participant quotation (shown in italics with the participant identifier) through its abstraction into a code and category. Codes are denoted by &lt; &gt; and categories by [ ], consistent with the Methods. Quotations are short excerpts; an ellipsis (…) indicates omitted text. The full set of codes and categories is provided in Tables 3 and 4. PLWD, people living with dementia.</w:t>
      </w:r>
    </w:p>
    <w:sectPr w:rsidR="002821AD" w:rsidRPr="00F45C3E">
      <w:pgSz w:w="15840" w:h="12240" w:orient="landscape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349B4"/>
    <w:multiLevelType w:val="hybridMultilevel"/>
    <w:tmpl w:val="8D3CCFBC"/>
    <w:lvl w:ilvl="0" w:tplc="08C0FCDE">
      <w:start w:val="1"/>
      <w:numFmt w:val="bullet"/>
      <w:lvlText w:val="●"/>
      <w:lvlJc w:val="left"/>
      <w:pPr>
        <w:ind w:left="720" w:hanging="360"/>
      </w:pPr>
    </w:lvl>
    <w:lvl w:ilvl="1" w:tplc="8B687A30">
      <w:start w:val="1"/>
      <w:numFmt w:val="bullet"/>
      <w:lvlText w:val="○"/>
      <w:lvlJc w:val="left"/>
      <w:pPr>
        <w:ind w:left="1440" w:hanging="360"/>
      </w:pPr>
    </w:lvl>
    <w:lvl w:ilvl="2" w:tplc="FE769730">
      <w:start w:val="1"/>
      <w:numFmt w:val="bullet"/>
      <w:lvlText w:val="■"/>
      <w:lvlJc w:val="left"/>
      <w:pPr>
        <w:ind w:left="2160" w:hanging="360"/>
      </w:pPr>
    </w:lvl>
    <w:lvl w:ilvl="3" w:tplc="A802CB86">
      <w:start w:val="1"/>
      <w:numFmt w:val="bullet"/>
      <w:lvlText w:val="●"/>
      <w:lvlJc w:val="left"/>
      <w:pPr>
        <w:ind w:left="2880" w:hanging="360"/>
      </w:pPr>
    </w:lvl>
    <w:lvl w:ilvl="4" w:tplc="77800384">
      <w:start w:val="1"/>
      <w:numFmt w:val="bullet"/>
      <w:lvlText w:val="○"/>
      <w:lvlJc w:val="left"/>
      <w:pPr>
        <w:ind w:left="3600" w:hanging="360"/>
      </w:pPr>
    </w:lvl>
    <w:lvl w:ilvl="5" w:tplc="4D9819C0">
      <w:start w:val="1"/>
      <w:numFmt w:val="bullet"/>
      <w:lvlText w:val="■"/>
      <w:lvlJc w:val="left"/>
      <w:pPr>
        <w:ind w:left="4320" w:hanging="360"/>
      </w:pPr>
    </w:lvl>
    <w:lvl w:ilvl="6" w:tplc="4D4825B8">
      <w:start w:val="1"/>
      <w:numFmt w:val="bullet"/>
      <w:lvlText w:val="●"/>
      <w:lvlJc w:val="left"/>
      <w:pPr>
        <w:ind w:left="5040" w:hanging="360"/>
      </w:pPr>
    </w:lvl>
    <w:lvl w:ilvl="7" w:tplc="59B27202">
      <w:start w:val="1"/>
      <w:numFmt w:val="bullet"/>
      <w:lvlText w:val="●"/>
      <w:lvlJc w:val="left"/>
      <w:pPr>
        <w:ind w:left="5760" w:hanging="360"/>
      </w:pPr>
    </w:lvl>
    <w:lvl w:ilvl="8" w:tplc="3836E89A">
      <w:start w:val="1"/>
      <w:numFmt w:val="bullet"/>
      <w:lvlText w:val="●"/>
      <w:lvlJc w:val="left"/>
      <w:pPr>
        <w:ind w:left="6480" w:hanging="360"/>
      </w:pPr>
    </w:lvl>
  </w:abstractNum>
  <w:num w:numId="1" w16cid:durableId="14194479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1AD"/>
    <w:rsid w:val="002821AD"/>
    <w:rsid w:val="00335781"/>
    <w:rsid w:val="0098415B"/>
    <w:rsid w:val="00B66576"/>
    <w:rsid w:val="00F4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12D115"/>
  <w15:docId w15:val="{0D0FCBBA-4E70-4397-88D2-E499F850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CEAD7-121A-4775-BD0C-4171B9F9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YOKOYAMA Kazuki (横山 和樹)</cp:lastModifiedBy>
  <cp:revision>2</cp:revision>
  <dcterms:created xsi:type="dcterms:W3CDTF">2026-06-23T00:20:00Z</dcterms:created>
  <dcterms:modified xsi:type="dcterms:W3CDTF">2026-06-24T06:20:00Z</dcterms:modified>
</cp:coreProperties>
</file>