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E6F547" w14:textId="6D88BB0B" w:rsidR="00BA6866" w:rsidRDefault="00000000" w:rsidP="00B91763">
      <w:pPr>
        <w:spacing w:after="120" w:line="360" w:lineRule="auto"/>
      </w:pPr>
      <w:r>
        <w:rPr>
          <w:b/>
          <w:bCs/>
        </w:rPr>
        <w:t xml:space="preserve">Additional </w:t>
      </w:r>
      <w:r w:rsidR="00B91763">
        <w:rPr>
          <w:b/>
          <w:bCs/>
        </w:rPr>
        <w:t>F</w:t>
      </w:r>
      <w:r>
        <w:rPr>
          <w:b/>
          <w:bCs/>
        </w:rPr>
        <w:t>ile 2</w:t>
      </w:r>
    </w:p>
    <w:p w14:paraId="055C70C6" w14:textId="77777777" w:rsidR="00BA6866" w:rsidRDefault="00000000" w:rsidP="00B91763">
      <w:pPr>
        <w:spacing w:after="240" w:line="360" w:lineRule="auto"/>
      </w:pPr>
      <w:r>
        <w:rPr>
          <w:b/>
          <w:bCs/>
        </w:rPr>
        <w:t>Supplementary methods: detailed statistical assumption checks, regression diagnostics, missing-data comparisons, and sensitivity analysis specifications</w:t>
      </w:r>
    </w:p>
    <w:p w14:paraId="48ED0E4C" w14:textId="77777777" w:rsidR="00BA6866" w:rsidRDefault="00000000">
      <w:pPr>
        <w:spacing w:after="120" w:line="360" w:lineRule="auto"/>
        <w:jc w:val="both"/>
      </w:pPr>
      <w:r>
        <w:t>This supplementary document provides the full specifications of the statistical assumption checks, regression diagnostics, missing-data comparisons, and sensitivity analyses summarised in the Statistical analysis section of the main text. The results of these procedures are reported in the Results of the main manuscript.</w:t>
      </w:r>
    </w:p>
    <w:p w14:paraId="494A4F41" w14:textId="77777777" w:rsidR="00BA6866" w:rsidRDefault="00000000">
      <w:pPr>
        <w:spacing w:before="240" w:after="120" w:line="360" w:lineRule="auto"/>
      </w:pPr>
      <w:r>
        <w:rPr>
          <w:b/>
          <w:bCs/>
        </w:rPr>
        <w:t>S1. Distributional assumptions and correlation strategy</w:t>
      </w:r>
    </w:p>
    <w:p w14:paraId="42CF3BB1" w14:textId="77777777" w:rsidR="00BA6866" w:rsidRDefault="00000000">
      <w:pPr>
        <w:spacing w:after="120" w:line="360" w:lineRule="auto"/>
        <w:jc w:val="both"/>
      </w:pPr>
      <w:r>
        <w:t>Distributional assumptions were checked with Shapiro-Wilk tests and visual inspection of distributions. Because some variables departed from normality, Spearman rank-order correlations were conducted as sensitivity analyses, while Pearson correlations were retained as the primary bivariate analyses to allow effect-size interpretation with 95% confidence intervals (Fisher's z transformation). The specific normality statistics are reported in the Results of the main text. Homogeneity of variance for the group comparisons was examined with Levene's test. Because it was significant for the PASE comparisons, Welch's t-test, which does not assume equal variances, was applied to all group comparisons; the Levene statistics are reported in the note to Table 5 of the main text.</w:t>
      </w:r>
    </w:p>
    <w:p w14:paraId="2331CF4B" w14:textId="77777777" w:rsidR="00BA6866" w:rsidRDefault="00000000">
      <w:pPr>
        <w:spacing w:before="240" w:after="120" w:line="360" w:lineRule="auto"/>
      </w:pPr>
      <w:r>
        <w:rPr>
          <w:b/>
          <w:bCs/>
        </w:rPr>
        <w:t>S2. Multiplicity control</w:t>
      </w:r>
    </w:p>
    <w:p w14:paraId="48EA297E" w14:textId="77777777" w:rsidR="00BA6866" w:rsidRDefault="00000000">
      <w:pPr>
        <w:spacing w:after="120" w:line="360" w:lineRule="auto"/>
        <w:jc w:val="both"/>
      </w:pPr>
      <w:r>
        <w:t>Benjamini-Hochberg false discovery rate (FDR) correction was applied across the 18 primary bivariate correlation tests. Group comparisons by sex and chronic disease status (Table 5 of the main text) were prespecified and interpreted as secondary, effect-size-focused analyses; they were not included in the FDR correction applied to the 18 primary correlations, and their p values are therefore reported as nominal.</w:t>
      </w:r>
    </w:p>
    <w:p w14:paraId="5A4697EB" w14:textId="77777777" w:rsidR="00BA6866" w:rsidRDefault="00000000">
      <w:pPr>
        <w:spacing w:before="240" w:after="120" w:line="360" w:lineRule="auto"/>
      </w:pPr>
      <w:r>
        <w:rPr>
          <w:b/>
          <w:bCs/>
        </w:rPr>
        <w:t>S3. Hierarchical regression specification and block-order rationale</w:t>
      </w:r>
    </w:p>
    <w:p w14:paraId="613F07B5" w14:textId="77777777" w:rsidR="00BA6866" w:rsidRDefault="00000000">
      <w:pPr>
        <w:spacing w:after="120" w:line="360" w:lineRule="auto"/>
        <w:jc w:val="both"/>
      </w:pPr>
      <w:r>
        <w:t xml:space="preserve">The order of blocks was specified a priori and retained for theoretical rather than empirical convenience. General exercise health beliefs were conceptualised as broad cognitive appraisals that may shape the interpretation of more concrete, personally experienced barriers. Perceived barriers were therefore entered after EHBMS because they represent more proximal constraints on activity behaviour, while functional fitness was entered last to test whether objectively assessed capacity contributed additional variance beyond demographics and self-reported </w:t>
      </w:r>
      <w:r>
        <w:lastRenderedPageBreak/>
        <w:t>psychosocial constructs. EHBMS total score was used as a parsimonious summary of overall endorsement of EHBMS-assessed exercise health belief domains, while subscale-level correlations were also examined to retain domain-specific interpretation. Because ΔR² is order-dependent, incremental variance was interpreted as evidence of added association within this prespecified model, not as proof of construct-level causal dominance.</w:t>
      </w:r>
    </w:p>
    <w:p w14:paraId="4A1795D3" w14:textId="77777777" w:rsidR="00BA6866" w:rsidRDefault="00000000">
      <w:pPr>
        <w:spacing w:after="120" w:line="360" w:lineRule="auto"/>
        <w:jc w:val="both"/>
      </w:pPr>
      <w:r>
        <w:t>Back scratch tests (right and left) were not included in the regression model because they showed no significant bivariate associations with PASE and have less direct theoretical relevance to general mobility and ambulatory physical activity than endurance, mobility, lower-limb strength, and lower-limb flexibility measures. ΔR² and F-change tests at each block quantified incremental contribution. Complete-case analysis was applied; N = 193 participants had complete data for all regression variables.</w:t>
      </w:r>
    </w:p>
    <w:p w14:paraId="05DBAF26" w14:textId="77777777" w:rsidR="00BA6866" w:rsidRDefault="00000000">
      <w:pPr>
        <w:spacing w:before="240" w:after="120" w:line="360" w:lineRule="auto"/>
      </w:pPr>
      <w:r>
        <w:rPr>
          <w:b/>
          <w:bCs/>
        </w:rPr>
        <w:t>S4. Regression diagnostics</w:t>
      </w:r>
    </w:p>
    <w:p w14:paraId="57DB0312" w14:textId="77777777" w:rsidR="00BA6866" w:rsidRDefault="00000000">
      <w:pPr>
        <w:spacing w:after="120" w:line="360" w:lineRule="auto"/>
        <w:jc w:val="both"/>
      </w:pPr>
      <w:r>
        <w:t>Multicollinearity was evaluated using tolerance and variance inflation factor (VIF) values. Regression assumptions were examined using standardised residuals, Cook's distance, leverage values, residual histograms, normal P-P plots, and residual-versus-predicted scatterplots. Diagnostic results are reported in the Results of the main text.</w:t>
      </w:r>
    </w:p>
    <w:p w14:paraId="0811A135" w14:textId="77777777" w:rsidR="00BA6866" w:rsidRDefault="00000000">
      <w:pPr>
        <w:spacing w:before="240" w:after="120" w:line="360" w:lineRule="auto"/>
      </w:pPr>
      <w:r>
        <w:rPr>
          <w:b/>
          <w:bCs/>
        </w:rPr>
        <w:t>S5. Missing-data comparisons</w:t>
      </w:r>
    </w:p>
    <w:p w14:paraId="276235AA" w14:textId="77777777" w:rsidR="00BA6866" w:rsidRDefault="00000000">
      <w:pPr>
        <w:spacing w:after="120" w:line="360" w:lineRule="auto"/>
        <w:jc w:val="both"/>
      </w:pPr>
      <w:r>
        <w:t>The 2-minute step test had valid data for 194 of 214 participants (20 documented non-completions). Missing-data patterns were examined by comparing participants with and without 2-minute step data, and complete versus incomplete regression cases, on demographic and key study variables (age, PASE, BMI, EHBMS total, PAB total, sex, and fall history). Field notes were used to distinguish documented test non-completion (refusal, early discontinuation, or fatigue during testing) from administrative data loss.</w:t>
      </w:r>
    </w:p>
    <w:p w14:paraId="7DB17234" w14:textId="77777777" w:rsidR="00BA6866" w:rsidRDefault="00000000">
      <w:pPr>
        <w:spacing w:before="240" w:after="120" w:line="360" w:lineRule="auto"/>
      </w:pPr>
      <w:r>
        <w:rPr>
          <w:b/>
          <w:bCs/>
        </w:rPr>
        <w:t>S6. Sensitivity analyses</w:t>
      </w:r>
    </w:p>
    <w:p w14:paraId="1B771E9E" w14:textId="77777777" w:rsidR="00BA6866" w:rsidRDefault="00000000">
      <w:pPr>
        <w:spacing w:after="120" w:line="360" w:lineRule="auto"/>
        <w:jc w:val="both"/>
      </w:pPr>
      <w:r>
        <w:t>Five prespecified sensitivity analyses probed the robustness of the functional-fitness findings:</w:t>
      </w:r>
    </w:p>
    <w:p w14:paraId="43DE5243" w14:textId="77777777" w:rsidR="00BA6866" w:rsidRDefault="00000000">
      <w:pPr>
        <w:pStyle w:val="ListeParagraf"/>
        <w:numPr>
          <w:ilvl w:val="0"/>
          <w:numId w:val="2"/>
        </w:numPr>
        <w:spacing w:after="80" w:line="360" w:lineRule="auto"/>
        <w:jc w:val="both"/>
      </w:pPr>
      <w:r>
        <w:t>The hierarchical model was repeated without the 2-minute step test to reduce missingness (N = 211).</w:t>
      </w:r>
    </w:p>
    <w:p w14:paraId="4306BD64" w14:textId="77777777" w:rsidR="00BA6866" w:rsidRDefault="00000000">
      <w:pPr>
        <w:pStyle w:val="ListeParagraf"/>
        <w:numPr>
          <w:ilvl w:val="0"/>
          <w:numId w:val="2"/>
        </w:numPr>
        <w:spacing w:after="80" w:line="360" w:lineRule="auto"/>
        <w:jc w:val="both"/>
      </w:pPr>
      <w:r>
        <w:t>A parsimonious model retained only the two independently significant SFT components, the 2-minute step test and chair sit-and-reach (N = 194).</w:t>
      </w:r>
    </w:p>
    <w:p w14:paraId="749C7220" w14:textId="77777777" w:rsidR="00BA6866" w:rsidRDefault="00000000">
      <w:pPr>
        <w:pStyle w:val="ListeParagraf"/>
        <w:numPr>
          <w:ilvl w:val="0"/>
          <w:numId w:val="2"/>
        </w:numPr>
        <w:spacing w:after="80" w:line="360" w:lineRule="auto"/>
        <w:jc w:val="both"/>
      </w:pPr>
      <w:r>
        <w:lastRenderedPageBreak/>
        <w:t>It was tested whether documented 2-minute step non-completion was independently associated with PASE after adjustment for age, sex, chronic disease, and BMI.</w:t>
      </w:r>
    </w:p>
    <w:p w14:paraId="30D33CCC" w14:textId="77777777" w:rsidR="00BA6866" w:rsidRDefault="00000000">
      <w:pPr>
        <w:pStyle w:val="ListeParagraf"/>
        <w:numPr>
          <w:ilvl w:val="0"/>
          <w:numId w:val="2"/>
        </w:numPr>
        <w:spacing w:after="80" w:line="360" w:lineRule="auto"/>
        <w:jc w:val="both"/>
      </w:pPr>
      <w:r>
        <w:t>The final model was re-estimated replacing the binary chronic-disease indicator with the number of self-reported chronic conditions modelled as a count covariate, to assess whether the functional-fitness associations were robust to the operationalisation of comorbidity.</w:t>
      </w:r>
    </w:p>
    <w:p w14:paraId="32D02BA9" w14:textId="77777777" w:rsidR="00BA6866" w:rsidRDefault="00000000">
      <w:pPr>
        <w:pStyle w:val="ListeParagraf"/>
        <w:numPr>
          <w:ilvl w:val="0"/>
          <w:numId w:val="2"/>
        </w:numPr>
        <w:spacing w:after="80" w:line="360" w:lineRule="auto"/>
        <w:jc w:val="both"/>
      </w:pPr>
      <w:r>
        <w:t>To test whether the incremental contribution of functional fitness was driven by its conceptual overlap with self-reported physical activity, the final model was re-estimated within the same complete-case sample (N = 193) after removing the 2-minute step test, the Senior Fitness Test component most closely related to the ambulation content of the PASE.</w:t>
      </w:r>
    </w:p>
    <w:p w14:paraId="7727CC28" w14:textId="77777777" w:rsidR="00BA6866" w:rsidRDefault="00000000">
      <w:pPr>
        <w:spacing w:after="120" w:line="360" w:lineRule="auto"/>
        <w:jc w:val="both"/>
      </w:pPr>
      <w:r>
        <w:t>The results of all sensitivity analyses are reported in the Results of the main text.</w:t>
      </w:r>
    </w:p>
    <w:p w14:paraId="4CD00B99" w14:textId="77777777" w:rsidR="00BA6866" w:rsidRDefault="00000000">
      <w:pPr>
        <w:spacing w:before="240" w:after="120" w:line="360" w:lineRule="auto"/>
      </w:pPr>
      <w:r>
        <w:rPr>
          <w:b/>
          <w:bCs/>
        </w:rPr>
        <w:t>S7. Internal consistency and ceiling/floor effects</w:t>
      </w:r>
    </w:p>
    <w:p w14:paraId="6459CA2A" w14:textId="77777777" w:rsidR="00BA6866" w:rsidRDefault="00000000">
      <w:pPr>
        <w:spacing w:after="120" w:line="360" w:lineRule="auto"/>
        <w:jc w:val="both"/>
      </w:pPr>
      <w:r>
        <w:t>Internal consistency coefficients (Cronbach's α) were calculated for the PAB and EHBMS total scales and subscales. Exploratory ceiling and floor effects were examined for the EHBMS subscales by calculating the proportion of participants at the minimum, maximum, and near-maximum score levels. All tests were two-tailed; α = .05.</w:t>
      </w:r>
    </w:p>
    <w:sectPr w:rsidR="00BA686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402C99" w14:textId="77777777" w:rsidR="00ED2AFE" w:rsidRDefault="00ED2AFE" w:rsidP="00034310">
      <w:r>
        <w:separator/>
      </w:r>
    </w:p>
  </w:endnote>
  <w:endnote w:type="continuationSeparator" w:id="0">
    <w:p w14:paraId="6C0DCCB6" w14:textId="77777777" w:rsidR="00ED2AFE" w:rsidRDefault="00ED2AFE" w:rsidP="000343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11B728" w14:textId="77777777" w:rsidR="00ED2AFE" w:rsidRDefault="00ED2AFE" w:rsidP="00034310">
      <w:r>
        <w:separator/>
      </w:r>
    </w:p>
  </w:footnote>
  <w:footnote w:type="continuationSeparator" w:id="0">
    <w:p w14:paraId="3A814BD5" w14:textId="77777777" w:rsidR="00ED2AFE" w:rsidRDefault="00ED2AFE" w:rsidP="000343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C5CD8"/>
    <w:multiLevelType w:val="hybridMultilevel"/>
    <w:tmpl w:val="3EB61D12"/>
    <w:lvl w:ilvl="0" w:tplc="A5321EA4">
      <w:start w:val="1"/>
      <w:numFmt w:val="bullet"/>
      <w:lvlText w:val="●"/>
      <w:lvlJc w:val="left"/>
      <w:pPr>
        <w:ind w:left="720" w:hanging="360"/>
      </w:pPr>
    </w:lvl>
    <w:lvl w:ilvl="1" w:tplc="D90C5D40">
      <w:start w:val="1"/>
      <w:numFmt w:val="bullet"/>
      <w:lvlText w:val="○"/>
      <w:lvlJc w:val="left"/>
      <w:pPr>
        <w:ind w:left="1440" w:hanging="360"/>
      </w:pPr>
    </w:lvl>
    <w:lvl w:ilvl="2" w:tplc="CCA8F998">
      <w:start w:val="1"/>
      <w:numFmt w:val="bullet"/>
      <w:lvlText w:val="■"/>
      <w:lvlJc w:val="left"/>
      <w:pPr>
        <w:ind w:left="2160" w:hanging="360"/>
      </w:pPr>
    </w:lvl>
    <w:lvl w:ilvl="3" w:tplc="E2AA4EE2">
      <w:start w:val="1"/>
      <w:numFmt w:val="bullet"/>
      <w:lvlText w:val="●"/>
      <w:lvlJc w:val="left"/>
      <w:pPr>
        <w:ind w:left="2880" w:hanging="360"/>
      </w:pPr>
    </w:lvl>
    <w:lvl w:ilvl="4" w:tplc="95020D8A">
      <w:start w:val="1"/>
      <w:numFmt w:val="bullet"/>
      <w:lvlText w:val="○"/>
      <w:lvlJc w:val="left"/>
      <w:pPr>
        <w:ind w:left="3600" w:hanging="360"/>
      </w:pPr>
    </w:lvl>
    <w:lvl w:ilvl="5" w:tplc="B0E83EF8">
      <w:start w:val="1"/>
      <w:numFmt w:val="bullet"/>
      <w:lvlText w:val="■"/>
      <w:lvlJc w:val="left"/>
      <w:pPr>
        <w:ind w:left="4320" w:hanging="360"/>
      </w:pPr>
    </w:lvl>
    <w:lvl w:ilvl="6" w:tplc="3EB6208C">
      <w:start w:val="1"/>
      <w:numFmt w:val="bullet"/>
      <w:lvlText w:val="●"/>
      <w:lvlJc w:val="left"/>
      <w:pPr>
        <w:ind w:left="5040" w:hanging="360"/>
      </w:pPr>
    </w:lvl>
    <w:lvl w:ilvl="7" w:tplc="031C82CA">
      <w:start w:val="1"/>
      <w:numFmt w:val="bullet"/>
      <w:lvlText w:val="●"/>
      <w:lvlJc w:val="left"/>
      <w:pPr>
        <w:ind w:left="5760" w:hanging="360"/>
      </w:pPr>
    </w:lvl>
    <w:lvl w:ilvl="8" w:tplc="1E920AA4">
      <w:start w:val="1"/>
      <w:numFmt w:val="bullet"/>
      <w:lvlText w:val="●"/>
      <w:lvlJc w:val="left"/>
      <w:pPr>
        <w:ind w:left="6480" w:hanging="360"/>
      </w:pPr>
    </w:lvl>
  </w:abstractNum>
  <w:abstractNum w:abstractNumId="1" w15:restartNumberingAfterBreak="0">
    <w:nsid w:val="7AF30EED"/>
    <w:multiLevelType w:val="hybridMultilevel"/>
    <w:tmpl w:val="A1941C92"/>
    <w:lvl w:ilvl="0" w:tplc="4CE0AD52">
      <w:start w:val="1"/>
      <w:numFmt w:val="decimal"/>
      <w:lvlText w:val="%1."/>
      <w:lvlJc w:val="left"/>
      <w:pPr>
        <w:ind w:left="540" w:hanging="360"/>
      </w:pPr>
    </w:lvl>
    <w:lvl w:ilvl="1" w:tplc="AE28B46E">
      <w:numFmt w:val="decimal"/>
      <w:lvlText w:val=""/>
      <w:lvlJc w:val="left"/>
    </w:lvl>
    <w:lvl w:ilvl="2" w:tplc="5E28C34A">
      <w:numFmt w:val="decimal"/>
      <w:lvlText w:val=""/>
      <w:lvlJc w:val="left"/>
    </w:lvl>
    <w:lvl w:ilvl="3" w:tplc="7284CADA">
      <w:numFmt w:val="decimal"/>
      <w:lvlText w:val=""/>
      <w:lvlJc w:val="left"/>
    </w:lvl>
    <w:lvl w:ilvl="4" w:tplc="C4964F6E">
      <w:numFmt w:val="decimal"/>
      <w:lvlText w:val=""/>
      <w:lvlJc w:val="left"/>
    </w:lvl>
    <w:lvl w:ilvl="5" w:tplc="88942826">
      <w:numFmt w:val="decimal"/>
      <w:lvlText w:val=""/>
      <w:lvlJc w:val="left"/>
    </w:lvl>
    <w:lvl w:ilvl="6" w:tplc="A2B460D4">
      <w:numFmt w:val="decimal"/>
      <w:lvlText w:val=""/>
      <w:lvlJc w:val="left"/>
    </w:lvl>
    <w:lvl w:ilvl="7" w:tplc="FFAC26E6">
      <w:numFmt w:val="decimal"/>
      <w:lvlText w:val=""/>
      <w:lvlJc w:val="left"/>
    </w:lvl>
    <w:lvl w:ilvl="8" w:tplc="AC82726A">
      <w:numFmt w:val="decimal"/>
      <w:lvlText w:val=""/>
      <w:lvlJc w:val="left"/>
    </w:lvl>
  </w:abstractNum>
  <w:num w:numId="1" w16cid:durableId="1064836185">
    <w:abstractNumId w:val="0"/>
    <w:lvlOverride w:ilvl="0">
      <w:startOverride w:val="1"/>
    </w:lvlOverride>
  </w:num>
  <w:num w:numId="2" w16cid:durableId="1641686033">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6866"/>
    <w:rsid w:val="00034310"/>
    <w:rsid w:val="0084205A"/>
    <w:rsid w:val="00B91763"/>
    <w:rsid w:val="00BA6866"/>
    <w:rsid w:val="00ED2AFE"/>
    <w:rsid w:val="00F52A5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5ED1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uiPriority w:val="9"/>
    <w:qFormat/>
    <w:pPr>
      <w:outlineLvl w:val="0"/>
    </w:pPr>
    <w:rPr>
      <w:color w:val="2E74B5"/>
      <w:sz w:val="32"/>
      <w:szCs w:val="32"/>
    </w:rPr>
  </w:style>
  <w:style w:type="paragraph" w:styleId="Balk2">
    <w:name w:val="heading 2"/>
    <w:uiPriority w:val="9"/>
    <w:semiHidden/>
    <w:unhideWhenUsed/>
    <w:qFormat/>
    <w:pPr>
      <w:outlineLvl w:val="1"/>
    </w:pPr>
    <w:rPr>
      <w:color w:val="2E74B5"/>
      <w:sz w:val="26"/>
      <w:szCs w:val="26"/>
    </w:rPr>
  </w:style>
  <w:style w:type="paragraph" w:styleId="Balk3">
    <w:name w:val="heading 3"/>
    <w:uiPriority w:val="9"/>
    <w:semiHidden/>
    <w:unhideWhenUsed/>
    <w:qFormat/>
    <w:pPr>
      <w:outlineLvl w:val="2"/>
    </w:pPr>
    <w:rPr>
      <w:color w:val="1F4D78"/>
    </w:rPr>
  </w:style>
  <w:style w:type="paragraph" w:styleId="Balk4">
    <w:name w:val="heading 4"/>
    <w:uiPriority w:val="9"/>
    <w:semiHidden/>
    <w:unhideWhenUsed/>
    <w:qFormat/>
    <w:pPr>
      <w:outlineLvl w:val="3"/>
    </w:pPr>
    <w:rPr>
      <w:i/>
      <w:iCs/>
      <w:color w:val="2E74B5"/>
    </w:rPr>
  </w:style>
  <w:style w:type="paragraph" w:styleId="Balk5">
    <w:name w:val="heading 5"/>
    <w:uiPriority w:val="9"/>
    <w:semiHidden/>
    <w:unhideWhenUsed/>
    <w:qFormat/>
    <w:pPr>
      <w:outlineLvl w:val="4"/>
    </w:pPr>
    <w:rPr>
      <w:color w:val="2E74B5"/>
    </w:rPr>
  </w:style>
  <w:style w:type="paragraph" w:styleId="Balk6">
    <w:name w:val="heading 6"/>
    <w:uiPriority w:val="9"/>
    <w:semiHidden/>
    <w:unhideWhenUsed/>
    <w:qFormat/>
    <w:pPr>
      <w:outlineLvl w:val="5"/>
    </w:pPr>
    <w:rPr>
      <w:color w:val="1F4D7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uiPriority w:val="10"/>
    <w:qFormat/>
    <w:rPr>
      <w:sz w:val="56"/>
      <w:szCs w:val="56"/>
    </w:rPr>
  </w:style>
  <w:style w:type="paragraph" w:customStyle="1" w:styleId="Gl1">
    <w:name w:val="Güçlü1"/>
    <w:qFormat/>
    <w:rPr>
      <w:b/>
      <w:bCs/>
    </w:rPr>
  </w:style>
  <w:style w:type="paragraph" w:styleId="ListeParagraf">
    <w:name w:val="List Paragraph"/>
    <w:qFormat/>
  </w:style>
  <w:style w:type="character" w:styleId="Kpr">
    <w:name w:val="Hyperlink"/>
    <w:uiPriority w:val="99"/>
    <w:unhideWhenUsed/>
    <w:rPr>
      <w:color w:val="0563C1"/>
      <w:u w:val="single"/>
    </w:rPr>
  </w:style>
  <w:style w:type="character" w:styleId="DipnotBavurusu">
    <w:name w:val="footnote reference"/>
    <w:uiPriority w:val="99"/>
    <w:semiHidden/>
    <w:unhideWhenUsed/>
    <w:rPr>
      <w:vertAlign w:val="superscript"/>
    </w:rPr>
  </w:style>
  <w:style w:type="paragraph" w:styleId="DipnotMetni">
    <w:name w:val="footnote text"/>
    <w:link w:val="DipnotMetniChar"/>
    <w:uiPriority w:val="99"/>
    <w:semiHidden/>
    <w:unhideWhenUsed/>
    <w:rPr>
      <w:sz w:val="20"/>
      <w:szCs w:val="20"/>
    </w:rPr>
  </w:style>
  <w:style w:type="character" w:customStyle="1" w:styleId="DipnotMetniChar">
    <w:name w:val="Dipnot Metni Char"/>
    <w:link w:val="DipnotMetni"/>
    <w:uiPriority w:val="99"/>
    <w:semiHidden/>
    <w:unhideWhenUsed/>
    <w:rPr>
      <w:sz w:val="20"/>
      <w:szCs w:val="20"/>
    </w:rPr>
  </w:style>
  <w:style w:type="character" w:styleId="SonNotBavurusu">
    <w:name w:val="endnote reference"/>
    <w:uiPriority w:val="99"/>
    <w:semiHidden/>
    <w:unhideWhenUsed/>
    <w:rPr>
      <w:vertAlign w:val="superscript"/>
    </w:rPr>
  </w:style>
  <w:style w:type="paragraph" w:styleId="SonNotMetni">
    <w:name w:val="endnote text"/>
    <w:link w:val="SonNotMetniChar"/>
    <w:uiPriority w:val="99"/>
    <w:semiHidden/>
    <w:unhideWhenUsed/>
    <w:rPr>
      <w:sz w:val="20"/>
      <w:szCs w:val="20"/>
    </w:rPr>
  </w:style>
  <w:style w:type="character" w:customStyle="1" w:styleId="SonNotMetniChar">
    <w:name w:val="Son Not Metni Char"/>
    <w:link w:val="SonNotMetni"/>
    <w:uiPriority w:val="99"/>
    <w:semiHidden/>
    <w:unhideWhenUsed/>
    <w:rPr>
      <w:sz w:val="20"/>
      <w:szCs w:val="20"/>
    </w:rPr>
  </w:style>
  <w:style w:type="paragraph" w:styleId="stBilgi">
    <w:name w:val="header"/>
    <w:basedOn w:val="Normal"/>
    <w:link w:val="stBilgiChar"/>
    <w:uiPriority w:val="99"/>
    <w:unhideWhenUsed/>
    <w:rsid w:val="00034310"/>
    <w:pPr>
      <w:tabs>
        <w:tab w:val="center" w:pos="4536"/>
        <w:tab w:val="right" w:pos="9072"/>
      </w:tabs>
    </w:pPr>
  </w:style>
  <w:style w:type="character" w:customStyle="1" w:styleId="stBilgiChar">
    <w:name w:val="Üst Bilgi Char"/>
    <w:basedOn w:val="VarsaylanParagrafYazTipi"/>
    <w:link w:val="stBilgi"/>
    <w:uiPriority w:val="99"/>
    <w:rsid w:val="00034310"/>
  </w:style>
  <w:style w:type="paragraph" w:styleId="AltBilgi">
    <w:name w:val="footer"/>
    <w:basedOn w:val="Normal"/>
    <w:link w:val="AltBilgiChar"/>
    <w:uiPriority w:val="99"/>
    <w:unhideWhenUsed/>
    <w:rsid w:val="00034310"/>
    <w:pPr>
      <w:tabs>
        <w:tab w:val="center" w:pos="4536"/>
        <w:tab w:val="right" w:pos="9072"/>
      </w:tabs>
    </w:pPr>
  </w:style>
  <w:style w:type="character" w:customStyle="1" w:styleId="AltBilgiChar">
    <w:name w:val="Alt Bilgi Char"/>
    <w:basedOn w:val="VarsaylanParagrafYazTipi"/>
    <w:link w:val="AltBilgi"/>
    <w:uiPriority w:val="99"/>
    <w:rsid w:val="000343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873</Words>
  <Characters>4981</Characters>
  <Application>Microsoft Office Word</Application>
  <DocSecurity>0</DocSecurity>
  <Lines>41</Lines>
  <Paragraphs>11</Paragraphs>
  <ScaleCrop>false</ScaleCrop>
  <Company/>
  <LinksUpToDate>false</LinksUpToDate>
  <CharactersWithSpaces>5843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2026-07-22T11:35:00Z</dcterms:created>
  <dcterms:modified xsi:type="dcterms:W3CDTF">2026-07-22T11:35:00Z</dcterms:modified>
</cp:coreProperties>
</file>