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BE79D"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Effect of Opioid-Free vs Opioid-Based Anesthesia on Immune Function in Elderly Patients Undergoing Unilateral Knee Arthroplasty: A Randomized Clinical Trial</w:t>
      </w:r>
    </w:p>
    <w:p w14:paraId="34312955"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Study Protocol</w:t>
      </w:r>
    </w:p>
    <w:p w14:paraId="1CE0D028" w14:textId="3B56D4A3" w:rsidR="006E6CF2" w:rsidRPr="00033F8A" w:rsidRDefault="006E6CF2" w:rsidP="006E6CF2">
      <w:pPr>
        <w:rPr>
          <w:rFonts w:ascii="Times New Roman" w:hAnsi="Times New Roman" w:cs="Times New Roman"/>
        </w:rPr>
      </w:pPr>
    </w:p>
    <w:p w14:paraId="779E497F"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Introduction</w:t>
      </w:r>
    </w:p>
    <w:p w14:paraId="0E768B78"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Background and Rationale</w:t>
      </w:r>
    </w:p>
    <w:p w14:paraId="74D137A8"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Opioids have been a cornerstone of clinical anesthesia since their introduction. While they are effective in managing pain, accumulating evidence suggests that intraoperative opioid use does not necessarily reduce postoperative pain and is associated with a higher incidence of side effects, particularly postoperative nausea and vomiting (PONV), which can delay recovery [1]. Furthermore, opioids—especially synthetic short</w:t>
      </w:r>
      <w:r w:rsidRPr="00033F8A">
        <w:rPr>
          <w:rFonts w:ascii="Times New Roman" w:hAnsi="Times New Roman" w:cs="Times New Roman"/>
        </w:rPr>
        <w:noBreakHyphen/>
        <w:t>acting agents—administered either systemically or neuraxially can induce dose</w:t>
      </w:r>
      <w:r w:rsidRPr="00033F8A">
        <w:rPr>
          <w:rFonts w:ascii="Times New Roman" w:hAnsi="Times New Roman" w:cs="Times New Roman"/>
        </w:rPr>
        <w:noBreakHyphen/>
        <w:t>dependent hyperalgesia [1] and tolerance, leading to increased postoperative pain and the potential development of persistent pain.</w:t>
      </w:r>
    </w:p>
    <w:p w14:paraId="195129A9"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The impact of opioids on immune function has been widely reported [2]. Opioids exert inhibitory effects on lymphocytes and macrophages [3]. In general, opioids are not entirely safe and effective; therefore, in recent years, a growing number of international anesthesiologists have proposed the concept of </w:t>
      </w:r>
      <w:r w:rsidRPr="00033F8A">
        <w:rPr>
          <w:rFonts w:ascii="Times New Roman" w:hAnsi="Times New Roman" w:cs="Times New Roman"/>
          <w:b/>
          <w:bCs/>
        </w:rPr>
        <w:t>opioid</w:t>
      </w:r>
      <w:r w:rsidRPr="00033F8A">
        <w:rPr>
          <w:rFonts w:ascii="Times New Roman" w:hAnsi="Times New Roman" w:cs="Times New Roman"/>
          <w:b/>
          <w:bCs/>
        </w:rPr>
        <w:noBreakHyphen/>
        <w:t>free anesthesia (OFA)</w:t>
      </w:r>
      <w:r w:rsidRPr="00033F8A">
        <w:rPr>
          <w:rFonts w:ascii="Times New Roman" w:hAnsi="Times New Roman" w:cs="Times New Roman"/>
        </w:rPr>
        <w:t> [4], and research on OFA has become a hot topic in the field of anesthesia.</w:t>
      </w:r>
    </w:p>
    <w:p w14:paraId="59B7F529"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Patients undergoing general anesthesia often exhibit altered immune function after surgery, which may be related to surgical stress, anesthetic drugs, intraoperative fluid or blood transfusion, hypothermia, and postoperative pain. These changes are frequently characterized by overexpression of inflammatory factors and suppression of cell</w:t>
      </w:r>
      <w:r w:rsidRPr="00033F8A">
        <w:rPr>
          <w:rFonts w:ascii="Times New Roman" w:hAnsi="Times New Roman" w:cs="Times New Roman"/>
        </w:rPr>
        <w:noBreakHyphen/>
        <w:t>mediated immunity [5]. The influence of anesthetics on immune function has become a research focus, especially the effects of perioperative analgesics. Appropriate anesthetic drugs and rational anesthetic techniques can effectively inhibit surgical nociceptive stimuli, reduce the impact on immune function, and facilitate rapid postoperative recovery [3].</w:t>
      </w:r>
    </w:p>
    <w:p w14:paraId="01450BA7"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Knee arthroplasty is commonly performed to treat knee osteoarthritis, rheumatoid arthritis, and other joint diseases. Elderly patients often have comorbidities, diminished organ function, and reduced metabolic capacity, making them more sensitive to anesthetic drugs. In unilateral knee arthroplasty, opioid</w:t>
      </w:r>
      <w:r w:rsidRPr="00033F8A">
        <w:rPr>
          <w:rFonts w:ascii="Times New Roman" w:hAnsi="Times New Roman" w:cs="Times New Roman"/>
        </w:rPr>
        <w:noBreakHyphen/>
        <w:t>based general anesthesia may lead to immunosuppression, affecting postoperative recovery, prolonging hospital stay, and increasing mortality risk.</w:t>
      </w:r>
    </w:p>
    <w:p w14:paraId="50DCAC68" w14:textId="77777777" w:rsidR="006E6CF2" w:rsidRPr="00033F8A" w:rsidRDefault="006E6CF2" w:rsidP="006E6CF2">
      <w:pPr>
        <w:rPr>
          <w:rFonts w:ascii="Times New Roman" w:hAnsi="Times New Roman" w:cs="Times New Roman"/>
        </w:rPr>
      </w:pPr>
      <w:r w:rsidRPr="00033F8A">
        <w:rPr>
          <w:rFonts w:ascii="Times New Roman" w:hAnsi="Times New Roman" w:cs="Times New Roman"/>
          <w:b/>
          <w:bCs/>
        </w:rPr>
        <w:t>This study aims to investigate whether opioid</w:t>
      </w:r>
      <w:r w:rsidRPr="00033F8A">
        <w:rPr>
          <w:rFonts w:ascii="Times New Roman" w:hAnsi="Times New Roman" w:cs="Times New Roman"/>
          <w:b/>
          <w:bCs/>
        </w:rPr>
        <w:noBreakHyphen/>
        <w:t>free anesthesia differs from opioid</w:t>
      </w:r>
      <w:r w:rsidRPr="00033F8A">
        <w:rPr>
          <w:rFonts w:ascii="Times New Roman" w:hAnsi="Times New Roman" w:cs="Times New Roman"/>
          <w:b/>
          <w:bCs/>
        </w:rPr>
        <w:noBreakHyphen/>
        <w:t>based anesthesia in terms of immune function in elderly patients undergoing unilateral knee arthroplasty, thereby providing evidence to guide clinical anesthesia practice, accelerate patient recovery, and improve quality of life.</w:t>
      </w:r>
    </w:p>
    <w:p w14:paraId="3CCEE81A"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Objectives</w:t>
      </w:r>
    </w:p>
    <w:p w14:paraId="68AAF5F9"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We hypothesize that, in elderly patients undergoing unilateral knee arthroplasty under general anesthesia combined with peripheral nerve blocks, an opioid</w:t>
      </w:r>
      <w:r w:rsidRPr="00033F8A">
        <w:rPr>
          <w:rFonts w:ascii="Times New Roman" w:hAnsi="Times New Roman" w:cs="Times New Roman"/>
        </w:rPr>
        <w:noBreakHyphen/>
        <w:t>free anesthesia (OFA) strategy is superior to a standard opioid</w:t>
      </w:r>
      <w:r w:rsidRPr="00033F8A">
        <w:rPr>
          <w:rFonts w:ascii="Times New Roman" w:hAnsi="Times New Roman" w:cs="Times New Roman"/>
        </w:rPr>
        <w:noBreakHyphen/>
        <w:t>based anesthesia (OBA) strategy in reducing postoperative immunosuppression. The primary objective is to compare the change in natural killer (NK) cell proportion from preoperative baseline to postoperative day 3 between the two groups. Secondary objectives include comparing pain scores, functional recovery, opioid consumption, hemodynamic stability, and the incidence of adverse events.</w:t>
      </w:r>
    </w:p>
    <w:p w14:paraId="01AB4B12"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Trial Design</w:t>
      </w:r>
    </w:p>
    <w:p w14:paraId="72840930" w14:textId="379613EC" w:rsidR="006E6CF2" w:rsidRPr="00033F8A" w:rsidRDefault="006E6CF2" w:rsidP="006E6CF2">
      <w:pPr>
        <w:rPr>
          <w:rFonts w:ascii="Times New Roman" w:hAnsi="Times New Roman" w:cs="Times New Roman"/>
        </w:rPr>
      </w:pPr>
      <w:r w:rsidRPr="00033F8A">
        <w:rPr>
          <w:rFonts w:ascii="Times New Roman" w:hAnsi="Times New Roman" w:cs="Times New Roman"/>
        </w:rPr>
        <w:lastRenderedPageBreak/>
        <w:t>This study is a single</w:t>
      </w:r>
      <w:r w:rsidRPr="00033F8A">
        <w:rPr>
          <w:rFonts w:ascii="Times New Roman" w:hAnsi="Times New Roman" w:cs="Times New Roman"/>
        </w:rPr>
        <w:noBreakHyphen/>
        <w:t>center, randomized, controlled, single</w:t>
      </w:r>
      <w:r w:rsidRPr="00033F8A">
        <w:rPr>
          <w:rFonts w:ascii="Times New Roman" w:hAnsi="Times New Roman" w:cs="Times New Roman"/>
        </w:rPr>
        <w:noBreakHyphen/>
        <w:t>blind trial with two parallel arms. Eligible patients will be enrolled and randomly assigned in a 1:1 ratio to receive either OFA or OBA. The trial will be conducted at the Affiliated Hospital of Jiaxing University. Participant enrollment is planned from April 1, 2023, to April 30, 2025. The protocol follows the Standard Protocol Items: Recommendations for Interventional Trials (SPIRIT) 2013 statement.</w:t>
      </w:r>
    </w:p>
    <w:p w14:paraId="4E61610F"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Methods: Participants, Interventions, and Outcomes</w:t>
      </w:r>
    </w:p>
    <w:p w14:paraId="08D56893"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Trial Setting</w:t>
      </w:r>
    </w:p>
    <w:p w14:paraId="7E1986FF"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The study will be conducted at the Affiliated Hospital of Jiaxing University, China. Written informed consent will be obtained from all participants prior to enrollment.</w:t>
      </w:r>
    </w:p>
    <w:p w14:paraId="345CDC4C"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Eligibility Criteria</w:t>
      </w:r>
    </w:p>
    <w:p w14:paraId="697C2C98" w14:textId="77777777" w:rsidR="006E6CF2" w:rsidRPr="00033F8A" w:rsidRDefault="006E6CF2" w:rsidP="006E6CF2">
      <w:pPr>
        <w:rPr>
          <w:rFonts w:ascii="Times New Roman" w:hAnsi="Times New Roman" w:cs="Times New Roman"/>
        </w:rPr>
      </w:pPr>
      <w:r w:rsidRPr="00033F8A">
        <w:rPr>
          <w:rFonts w:ascii="Times New Roman" w:hAnsi="Times New Roman" w:cs="Times New Roman"/>
          <w:b/>
          <w:bCs/>
        </w:rPr>
        <w:t>Inclusion Criteria</w:t>
      </w:r>
    </w:p>
    <w:p w14:paraId="5BC7AD04"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Participants must meet all of the following criteria to be eligible:</w:t>
      </w:r>
    </w:p>
    <w:p w14:paraId="3A08DA2A" w14:textId="2EBE5389" w:rsidR="00816004" w:rsidRPr="00033F8A" w:rsidRDefault="00816004" w:rsidP="00816004">
      <w:pPr>
        <w:rPr>
          <w:rFonts w:ascii="Times New Roman" w:hAnsi="Times New Roman" w:cs="Times New Roman"/>
        </w:rPr>
      </w:pPr>
      <w:r w:rsidRPr="00033F8A">
        <w:rPr>
          <w:rFonts w:ascii="Times New Roman" w:hAnsi="Times New Roman" w:cs="Times New Roman"/>
        </w:rPr>
        <w:t xml:space="preserve">1. </w:t>
      </w:r>
      <w:r w:rsidR="006E6CF2" w:rsidRPr="00033F8A">
        <w:rPr>
          <w:rFonts w:ascii="Times New Roman" w:hAnsi="Times New Roman" w:cs="Times New Roman"/>
        </w:rPr>
        <w:t>Age 60 to 80 years (inclusive);</w:t>
      </w:r>
    </w:p>
    <w:p w14:paraId="7E4A0B5C" w14:textId="5697805E" w:rsidR="006E6CF2" w:rsidRPr="00033F8A" w:rsidRDefault="00816004" w:rsidP="00816004">
      <w:pPr>
        <w:rPr>
          <w:rFonts w:ascii="Times New Roman" w:hAnsi="Times New Roman" w:cs="Times New Roman"/>
        </w:rPr>
      </w:pPr>
      <w:r w:rsidRPr="00033F8A">
        <w:rPr>
          <w:rFonts w:ascii="Times New Roman" w:hAnsi="Times New Roman" w:cs="Times New Roman"/>
        </w:rPr>
        <w:t xml:space="preserve">2. </w:t>
      </w:r>
      <w:r w:rsidR="006E6CF2" w:rsidRPr="00033F8A">
        <w:rPr>
          <w:rFonts w:ascii="Times New Roman" w:hAnsi="Times New Roman" w:cs="Times New Roman"/>
        </w:rPr>
        <w:t>Scheduled for elective unilateral total knee arthroplasty under general anesthesia with tracheal intubation;</w:t>
      </w:r>
    </w:p>
    <w:p w14:paraId="79A2C014" w14:textId="0D246893" w:rsidR="006E6CF2" w:rsidRPr="00033F8A" w:rsidRDefault="00816004" w:rsidP="00816004">
      <w:pPr>
        <w:rPr>
          <w:rFonts w:ascii="Times New Roman" w:hAnsi="Times New Roman" w:cs="Times New Roman"/>
        </w:rPr>
      </w:pPr>
      <w:r w:rsidRPr="00033F8A">
        <w:rPr>
          <w:rFonts w:ascii="Times New Roman" w:hAnsi="Times New Roman" w:cs="Times New Roman"/>
        </w:rPr>
        <w:t xml:space="preserve">3. </w:t>
      </w:r>
      <w:r w:rsidR="006E6CF2" w:rsidRPr="00033F8A">
        <w:rPr>
          <w:rFonts w:ascii="Times New Roman" w:hAnsi="Times New Roman" w:cs="Times New Roman"/>
        </w:rPr>
        <w:t>American Society of Anesthesiologists (ASA) physical status I–III;</w:t>
      </w:r>
    </w:p>
    <w:p w14:paraId="73AFC29D" w14:textId="48CC7B63" w:rsidR="006E6CF2" w:rsidRPr="00033F8A" w:rsidRDefault="00816004" w:rsidP="00816004">
      <w:pPr>
        <w:rPr>
          <w:rFonts w:ascii="Times New Roman" w:hAnsi="Times New Roman" w:cs="Times New Roman"/>
        </w:rPr>
      </w:pPr>
      <w:r w:rsidRPr="00033F8A">
        <w:rPr>
          <w:rFonts w:ascii="Times New Roman" w:hAnsi="Times New Roman" w:cs="Times New Roman"/>
        </w:rPr>
        <w:t xml:space="preserve">4. </w:t>
      </w:r>
      <w:r w:rsidR="006E6CF2" w:rsidRPr="00033F8A">
        <w:rPr>
          <w:rFonts w:ascii="Times New Roman" w:hAnsi="Times New Roman" w:cs="Times New Roman"/>
        </w:rPr>
        <w:t>Body mass index (BMI) 20–30 kg/m²;</w:t>
      </w:r>
    </w:p>
    <w:p w14:paraId="38C9EAE9" w14:textId="67A65057" w:rsidR="006E6CF2" w:rsidRPr="00033F8A" w:rsidRDefault="00816004" w:rsidP="00816004">
      <w:pPr>
        <w:rPr>
          <w:rFonts w:ascii="Times New Roman" w:hAnsi="Times New Roman" w:cs="Times New Roman"/>
        </w:rPr>
      </w:pPr>
      <w:r w:rsidRPr="00033F8A">
        <w:rPr>
          <w:rFonts w:ascii="Times New Roman" w:hAnsi="Times New Roman" w:cs="Times New Roman"/>
        </w:rPr>
        <w:t xml:space="preserve">5. </w:t>
      </w:r>
      <w:r w:rsidR="006E6CF2" w:rsidRPr="00033F8A">
        <w:rPr>
          <w:rFonts w:ascii="Times New Roman" w:hAnsi="Times New Roman" w:cs="Times New Roman"/>
        </w:rPr>
        <w:t>Able and willing to provide written informed consent.</w:t>
      </w:r>
    </w:p>
    <w:p w14:paraId="3545B972" w14:textId="77777777" w:rsidR="006E6CF2" w:rsidRPr="00033F8A" w:rsidRDefault="006E6CF2" w:rsidP="006E6CF2">
      <w:pPr>
        <w:rPr>
          <w:rFonts w:ascii="Times New Roman" w:hAnsi="Times New Roman" w:cs="Times New Roman"/>
        </w:rPr>
      </w:pPr>
      <w:r w:rsidRPr="00033F8A">
        <w:rPr>
          <w:rFonts w:ascii="Times New Roman" w:hAnsi="Times New Roman" w:cs="Times New Roman"/>
          <w:b/>
          <w:bCs/>
        </w:rPr>
        <w:t>Exclusion Criteria</w:t>
      </w:r>
    </w:p>
    <w:p w14:paraId="4EE82B39"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Participants will be excluded if they meet any of the following criteria:</w:t>
      </w:r>
    </w:p>
    <w:p w14:paraId="3BCEF742" w14:textId="74063F7B" w:rsidR="006E6CF2" w:rsidRPr="00033F8A" w:rsidRDefault="00816004" w:rsidP="00816004">
      <w:pPr>
        <w:rPr>
          <w:rFonts w:ascii="Times New Roman" w:hAnsi="Times New Roman" w:cs="Times New Roman"/>
        </w:rPr>
      </w:pPr>
      <w:r w:rsidRPr="00033F8A">
        <w:rPr>
          <w:rFonts w:ascii="Times New Roman" w:hAnsi="Times New Roman" w:cs="Times New Roman"/>
        </w:rPr>
        <w:t xml:space="preserve">1. </w:t>
      </w:r>
      <w:r w:rsidR="006E6CF2" w:rsidRPr="00033F8A">
        <w:rPr>
          <w:rFonts w:ascii="Times New Roman" w:hAnsi="Times New Roman" w:cs="Times New Roman"/>
        </w:rPr>
        <w:t>Known allergy or contraindication to any of the study medications;</w:t>
      </w:r>
    </w:p>
    <w:p w14:paraId="0DF078BE" w14:textId="2A0F3DB8" w:rsidR="006E6CF2" w:rsidRPr="00033F8A" w:rsidRDefault="00816004" w:rsidP="00816004">
      <w:pPr>
        <w:rPr>
          <w:rFonts w:ascii="Times New Roman" w:hAnsi="Times New Roman" w:cs="Times New Roman"/>
        </w:rPr>
      </w:pPr>
      <w:r w:rsidRPr="00033F8A">
        <w:rPr>
          <w:rFonts w:ascii="Times New Roman" w:hAnsi="Times New Roman" w:cs="Times New Roman"/>
        </w:rPr>
        <w:t>2.</w:t>
      </w:r>
      <w:r w:rsidR="006E6CF2" w:rsidRPr="00033F8A">
        <w:rPr>
          <w:rFonts w:ascii="Times New Roman" w:hAnsi="Times New Roman" w:cs="Times New Roman"/>
        </w:rPr>
        <w:t>Atrioventricular block, intraventricular conduction block, or sick sinus syndrome;</w:t>
      </w:r>
    </w:p>
    <w:p w14:paraId="5D54DBBA" w14:textId="28EC90C6" w:rsidR="006E6CF2" w:rsidRPr="00033F8A" w:rsidRDefault="00816004" w:rsidP="00816004">
      <w:pPr>
        <w:rPr>
          <w:rFonts w:ascii="Times New Roman" w:hAnsi="Times New Roman" w:cs="Times New Roman"/>
        </w:rPr>
      </w:pPr>
      <w:r w:rsidRPr="00033F8A">
        <w:rPr>
          <w:rFonts w:ascii="Times New Roman" w:hAnsi="Times New Roman" w:cs="Times New Roman"/>
        </w:rPr>
        <w:t xml:space="preserve">3. </w:t>
      </w:r>
      <w:r w:rsidR="006E6CF2" w:rsidRPr="00033F8A">
        <w:rPr>
          <w:rFonts w:ascii="Times New Roman" w:hAnsi="Times New Roman" w:cs="Times New Roman"/>
        </w:rPr>
        <w:t>Adam</w:t>
      </w:r>
      <w:r w:rsidR="006E6CF2" w:rsidRPr="00033F8A">
        <w:rPr>
          <w:rFonts w:ascii="Times New Roman" w:hAnsi="Times New Roman" w:cs="Times New Roman"/>
        </w:rPr>
        <w:noBreakHyphen/>
        <w:t>Stokes syndrome;</w:t>
      </w:r>
    </w:p>
    <w:p w14:paraId="1B7E4C15" w14:textId="6BE04352" w:rsidR="006E6CF2" w:rsidRPr="00033F8A" w:rsidRDefault="00816004" w:rsidP="00816004">
      <w:pPr>
        <w:rPr>
          <w:rFonts w:ascii="Times New Roman" w:hAnsi="Times New Roman" w:cs="Times New Roman"/>
        </w:rPr>
      </w:pPr>
      <w:r w:rsidRPr="00033F8A">
        <w:rPr>
          <w:rFonts w:ascii="Times New Roman" w:hAnsi="Times New Roman" w:cs="Times New Roman"/>
        </w:rPr>
        <w:t xml:space="preserve">4. </w:t>
      </w:r>
      <w:r w:rsidR="006E6CF2" w:rsidRPr="00033F8A">
        <w:rPr>
          <w:rFonts w:ascii="Times New Roman" w:hAnsi="Times New Roman" w:cs="Times New Roman"/>
        </w:rPr>
        <w:t>Long</w:t>
      </w:r>
      <w:r w:rsidR="006E6CF2" w:rsidRPr="00033F8A">
        <w:rPr>
          <w:rFonts w:ascii="Times New Roman" w:hAnsi="Times New Roman" w:cs="Times New Roman"/>
        </w:rPr>
        <w:noBreakHyphen/>
        <w:t>term use of β</w:t>
      </w:r>
      <w:r w:rsidR="006E6CF2" w:rsidRPr="00033F8A">
        <w:rPr>
          <w:rFonts w:ascii="Times New Roman" w:hAnsi="Times New Roman" w:cs="Times New Roman"/>
        </w:rPr>
        <w:noBreakHyphen/>
        <w:t>blockers with a resting heart rate &lt;50 beats/min;</w:t>
      </w:r>
    </w:p>
    <w:p w14:paraId="57398F7A" w14:textId="4A77AACC" w:rsidR="006E6CF2" w:rsidRPr="00033F8A" w:rsidRDefault="00816004" w:rsidP="00816004">
      <w:pPr>
        <w:rPr>
          <w:rFonts w:ascii="Times New Roman" w:hAnsi="Times New Roman" w:cs="Times New Roman"/>
        </w:rPr>
      </w:pPr>
      <w:r w:rsidRPr="00033F8A">
        <w:rPr>
          <w:rFonts w:ascii="Times New Roman" w:hAnsi="Times New Roman" w:cs="Times New Roman"/>
        </w:rPr>
        <w:t xml:space="preserve">5. </w:t>
      </w:r>
      <w:r w:rsidR="006E6CF2" w:rsidRPr="00033F8A">
        <w:rPr>
          <w:rFonts w:ascii="Times New Roman" w:hAnsi="Times New Roman" w:cs="Times New Roman"/>
        </w:rPr>
        <w:t>Severe cardiovascular disease (e.g., unstable angina, myocardial infarction within 6 months);</w:t>
      </w:r>
    </w:p>
    <w:p w14:paraId="564230F5" w14:textId="09F97C75" w:rsidR="006E6CF2" w:rsidRPr="00033F8A" w:rsidRDefault="00816004" w:rsidP="00816004">
      <w:pPr>
        <w:rPr>
          <w:rFonts w:ascii="Times New Roman" w:hAnsi="Times New Roman" w:cs="Times New Roman"/>
        </w:rPr>
      </w:pPr>
      <w:r w:rsidRPr="00033F8A">
        <w:rPr>
          <w:rFonts w:ascii="Times New Roman" w:hAnsi="Times New Roman" w:cs="Times New Roman"/>
        </w:rPr>
        <w:t xml:space="preserve">6. </w:t>
      </w:r>
      <w:r w:rsidR="006E6CF2" w:rsidRPr="00033F8A">
        <w:rPr>
          <w:rFonts w:ascii="Times New Roman" w:hAnsi="Times New Roman" w:cs="Times New Roman"/>
        </w:rPr>
        <w:t>Increased intraocular pressure;</w:t>
      </w:r>
    </w:p>
    <w:p w14:paraId="445D0796" w14:textId="19E002D5" w:rsidR="006E6CF2" w:rsidRPr="00033F8A" w:rsidRDefault="00816004" w:rsidP="00816004">
      <w:pPr>
        <w:rPr>
          <w:rFonts w:ascii="Times New Roman" w:hAnsi="Times New Roman" w:cs="Times New Roman"/>
        </w:rPr>
      </w:pPr>
      <w:r w:rsidRPr="00033F8A">
        <w:rPr>
          <w:rFonts w:ascii="Times New Roman" w:hAnsi="Times New Roman" w:cs="Times New Roman"/>
        </w:rPr>
        <w:t xml:space="preserve">7. </w:t>
      </w:r>
      <w:r w:rsidR="006E6CF2" w:rsidRPr="00033F8A">
        <w:rPr>
          <w:rFonts w:ascii="Times New Roman" w:hAnsi="Times New Roman" w:cs="Times New Roman"/>
        </w:rPr>
        <w:t>Uncontrolled hyperthyroidism;</w:t>
      </w:r>
    </w:p>
    <w:p w14:paraId="3FF8E480" w14:textId="2452B30B" w:rsidR="006E6CF2" w:rsidRPr="00033F8A" w:rsidRDefault="00816004" w:rsidP="00816004">
      <w:pPr>
        <w:rPr>
          <w:rFonts w:ascii="Times New Roman" w:hAnsi="Times New Roman" w:cs="Times New Roman"/>
        </w:rPr>
      </w:pPr>
      <w:r w:rsidRPr="00033F8A">
        <w:rPr>
          <w:rFonts w:ascii="Times New Roman" w:hAnsi="Times New Roman" w:cs="Times New Roman"/>
        </w:rPr>
        <w:t xml:space="preserve">8. </w:t>
      </w:r>
      <w:r w:rsidR="006E6CF2" w:rsidRPr="00033F8A">
        <w:rPr>
          <w:rFonts w:ascii="Times New Roman" w:hAnsi="Times New Roman" w:cs="Times New Roman"/>
        </w:rPr>
        <w:t>Contraindications to peripheral nerve block (e.g., infection at puncture site, coagulopathy);</w:t>
      </w:r>
    </w:p>
    <w:p w14:paraId="4A62E8A0" w14:textId="4650CBED" w:rsidR="006E6CF2" w:rsidRPr="00033F8A" w:rsidRDefault="00816004" w:rsidP="00816004">
      <w:pPr>
        <w:rPr>
          <w:rFonts w:ascii="Times New Roman" w:hAnsi="Times New Roman" w:cs="Times New Roman"/>
        </w:rPr>
      </w:pPr>
      <w:r w:rsidRPr="00033F8A">
        <w:rPr>
          <w:rFonts w:ascii="Times New Roman" w:hAnsi="Times New Roman" w:cs="Times New Roman"/>
        </w:rPr>
        <w:t xml:space="preserve">9. </w:t>
      </w:r>
      <w:r w:rsidR="006E6CF2" w:rsidRPr="00033F8A">
        <w:rPr>
          <w:rFonts w:ascii="Times New Roman" w:hAnsi="Times New Roman" w:cs="Times New Roman"/>
        </w:rPr>
        <w:t>Chronic analgesic use (daily or almost daily for &gt;3 months) or opioid dependence;</w:t>
      </w:r>
    </w:p>
    <w:p w14:paraId="4F833211" w14:textId="5BFF084E" w:rsidR="006E6CF2" w:rsidRPr="00033F8A" w:rsidRDefault="00816004" w:rsidP="00816004">
      <w:pPr>
        <w:rPr>
          <w:rFonts w:ascii="Times New Roman" w:hAnsi="Times New Roman" w:cs="Times New Roman"/>
        </w:rPr>
      </w:pPr>
      <w:r w:rsidRPr="00033F8A">
        <w:rPr>
          <w:rFonts w:ascii="Times New Roman" w:hAnsi="Times New Roman" w:cs="Times New Roman"/>
        </w:rPr>
        <w:t xml:space="preserve">10. </w:t>
      </w:r>
      <w:r w:rsidR="006E6CF2" w:rsidRPr="00033F8A">
        <w:rPr>
          <w:rFonts w:ascii="Times New Roman" w:hAnsi="Times New Roman" w:cs="Times New Roman"/>
        </w:rPr>
        <w:t>Psychiatric disease or inability to communicate normally.</w:t>
      </w:r>
    </w:p>
    <w:p w14:paraId="77249E40" w14:textId="77777777" w:rsidR="006E6CF2" w:rsidRPr="00033F8A" w:rsidRDefault="006E6CF2" w:rsidP="006E6CF2">
      <w:pPr>
        <w:rPr>
          <w:rFonts w:ascii="Times New Roman" w:hAnsi="Times New Roman" w:cs="Times New Roman"/>
        </w:rPr>
      </w:pPr>
      <w:r w:rsidRPr="00033F8A">
        <w:rPr>
          <w:rFonts w:ascii="Times New Roman" w:hAnsi="Times New Roman" w:cs="Times New Roman"/>
          <w:b/>
          <w:bCs/>
        </w:rPr>
        <w:t>Dropout Criteria</w:t>
      </w:r>
    </w:p>
    <w:p w14:paraId="52D7E28D"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Participants who refuse postoperative follow</w:t>
      </w:r>
      <w:r w:rsidRPr="00033F8A">
        <w:rPr>
          <w:rFonts w:ascii="Times New Roman" w:hAnsi="Times New Roman" w:cs="Times New Roman"/>
        </w:rPr>
        <w:noBreakHyphen/>
        <w:t>up will be considered dropouts.</w:t>
      </w:r>
    </w:p>
    <w:p w14:paraId="3F1B2B3E"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Who Will Take Informed Consent?</w:t>
      </w:r>
    </w:p>
    <w:p w14:paraId="1056B235"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On the day before surgery, a member of the research team will assess eligibility, provide a detailed explanation of the study, and obtain written informed consent. Participants will be given ample time to consider their decision.</w:t>
      </w:r>
    </w:p>
    <w:p w14:paraId="68FF5612"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Interventions</w:t>
      </w:r>
    </w:p>
    <w:p w14:paraId="425795DB" w14:textId="77777777" w:rsidR="00703507" w:rsidRPr="00033F8A" w:rsidRDefault="00703507" w:rsidP="00703507">
      <w:pPr>
        <w:rPr>
          <w:rFonts w:ascii="Times New Roman" w:hAnsi="Times New Roman" w:cs="Times New Roman"/>
        </w:rPr>
      </w:pPr>
      <w:r w:rsidRPr="00033F8A">
        <w:rPr>
          <w:rFonts w:ascii="Times New Roman" w:hAnsi="Times New Roman" w:cs="Times New Roman"/>
        </w:rPr>
        <w:t xml:space="preserve">Upon arrival in the operating room, all participants received standard monitoring, including 3-lead electrocardiography, pulse oximetry, non-invasive blood pressure, and capnography. Anesthesia was administered by the unblinded attending anesthesiologist according to the randomized allocation. Both groups will receive combined general anesthesia and peripheral nerve blocks. Both groups of patients received a standardized ultrasound-guided peripheral nerve block regimen as part of their perioperative multimodal analgesia. The procedures, settings, and evaluation criteria were identical to ensure consistency and eliminate bias. Experienced anesthesiologists performed all block </w:t>
      </w:r>
      <w:r w:rsidRPr="00033F8A">
        <w:rPr>
          <w:rFonts w:ascii="Times New Roman" w:hAnsi="Times New Roman" w:cs="Times New Roman"/>
        </w:rPr>
        <w:lastRenderedPageBreak/>
        <w:t>procedures after standardized training for the study. Blocks were administered 30 minutes before anesthesia induction for optimal onset and effectiveness.</w:t>
      </w:r>
    </w:p>
    <w:p w14:paraId="351CDB3C" w14:textId="77777777" w:rsidR="00703507" w:rsidRPr="00033F8A" w:rsidRDefault="00703507" w:rsidP="00703507">
      <w:pPr>
        <w:rPr>
          <w:rFonts w:ascii="Times New Roman" w:hAnsi="Times New Roman" w:cs="Times New Roman"/>
        </w:rPr>
      </w:pPr>
      <w:r w:rsidRPr="00033F8A">
        <w:rPr>
          <w:rFonts w:ascii="Times New Roman" w:hAnsi="Times New Roman" w:cs="Times New Roman"/>
        </w:rPr>
        <w:t>Block procedures were conducted using a Philips EPIQ 5 ultrasound system. The adductor canal block (ACB) was performed by approaching the adductor canal at the mid-lower thigh in a transverse cross-sectional manner using a high-frequency linear array probe (L12-3 MHz). For the infiltration between the popliteal artery and capsule of the posterior knee (IPACK) block, a supra-popliteal approach was employed by positioning the probe 3 to 5 cm above the popliteal crease and using a low-frequency convex array probe (C5-1 MHz) to scan the area between the popliteal artery and the posterior knee capsule in the sagittal plane. Both blocks were executed using a 22G, 100 mm nerve block-specific puncture needle (Stimuplex®, B. Braun, Melsungen, Germany). The dosage administered was 10 mL of 0.25% ropivacaine for ACB and 20 mL of 0.25% ropivacaine for IPACK. On average, each block procedure for a single patient, from positioning the ultrasound probe to completing the drug administration, took 12±3 minutes, with no significant difference between the two groups.</w:t>
      </w:r>
    </w:p>
    <w:p w14:paraId="2F135D1F" w14:textId="77777777" w:rsidR="00703507" w:rsidRPr="00033F8A" w:rsidRDefault="00703507" w:rsidP="00703507">
      <w:pPr>
        <w:rPr>
          <w:rFonts w:ascii="Times New Roman" w:hAnsi="Times New Roman" w:cs="Times New Roman"/>
        </w:rPr>
      </w:pPr>
      <w:r w:rsidRPr="00033F8A">
        <w:rPr>
          <w:rFonts w:ascii="Times New Roman" w:hAnsi="Times New Roman" w:cs="Times New Roman"/>
        </w:rPr>
        <w:t>Fifteen minutes post drug administration, the block effect was assessed uniformly using cold sensory testing. Evaluation criteria included sensory hypoesthesia in the saphenous nerve innervation territory (medial lower leg) and posterior knee skin. Anesthesia induction commenced only upon confirmation of successful sensory block. All study participants completed the block procedure without any instances of block failure, local anesthetic systemic toxicity (LAST), or related complications. Visual Analogue Scale (VAS) scores for posterior knee pain during and after surgery further confirmed the efficacy of the blocks.</w:t>
      </w:r>
    </w:p>
    <w:p w14:paraId="14E83D50" w14:textId="77777777" w:rsidR="00703507" w:rsidRPr="00033F8A" w:rsidRDefault="00703507" w:rsidP="00703507">
      <w:pPr>
        <w:rPr>
          <w:rFonts w:ascii="Times New Roman" w:hAnsi="Times New Roman" w:cs="Times New Roman"/>
        </w:rPr>
      </w:pPr>
      <w:r w:rsidRPr="00033F8A">
        <w:rPr>
          <w:rFonts w:ascii="Times New Roman" w:hAnsi="Times New Roman" w:cs="Times New Roman"/>
        </w:rPr>
        <w:t xml:space="preserve">All patients received general anesthesia with endotracheal intubation. Patients in the OBA group were induced with propofol 1.5–2 mg/kg, lidocaine 1–1.5 mg/kg, sufentanil 0.1–0.5 μg/kg, and cisatracurium 0.15 mg/kg, and anesthesia was maintained with remifentanil 8–10 μg/(kg·h), dexmedetomidine 0.4–1.4 μg/(kg·h), lidocaine 1 mg/(kg·h), and sevoflurane titrated to maintain BIS 40–60. Patients in the Opioid Free Anesthesia (OFA) group were induced with propofol 1.5–2 mg/kg, lidocaine 1–1.5 mg/kg, esketamine 0.2–0.5 mg/kg, and cisatracurium 0.15 mg/kg, and anesthesia was maintained with esketamine 0.1–0.5 mg/(kg·h), dexmedetomidine 0.4–1.4 μg/(kg·h), lidocaine 1 mg/(kg·h), and sevoflurane titrated to maintain BIS 40–60. Intravenous ketorolac 30 mg and granisetron 3 mg were administered intraoperatively as adjuvants in both groups. </w:t>
      </w:r>
    </w:p>
    <w:p w14:paraId="2C84F1BE" w14:textId="77777777" w:rsidR="00703507" w:rsidRPr="00033F8A" w:rsidRDefault="00703507" w:rsidP="00703507">
      <w:pPr>
        <w:rPr>
          <w:rFonts w:ascii="Times New Roman" w:hAnsi="Times New Roman" w:cs="Times New Roman"/>
        </w:rPr>
      </w:pPr>
      <w:r w:rsidRPr="00033F8A">
        <w:rPr>
          <w:rFonts w:ascii="Times New Roman" w:hAnsi="Times New Roman" w:cs="Times New Roman"/>
        </w:rPr>
        <w:t>A fully unified, protocol-prespecified standardized hemodynamic management protocol was implemented for all patients in both groups during surgery, with core management targets of maintaining mean arterial pressure (MAP) within ±20% of the preoperative baseline value and heart rate (HR) between 50 and 100 beats per minute. The administration of vasoactive agents strictly followed the prespecified standardized triggering rules and dosing algorithm: for HR &lt;50 beats per minute lasting more than 30 seconds, 0.25 mg of atropine was administered via intravenous bolus, with repeat dosing permitted at 5-minute intervals; for MAP reduction &gt;</w:t>
      </w:r>
      <w:r w:rsidRPr="00033F8A">
        <w:rPr>
          <w:rFonts w:ascii="Times New Roman" w:hAnsi="Times New Roman" w:cs="Times New Roman" w:hint="eastAsia"/>
        </w:rPr>
        <w:t xml:space="preserve"> </w:t>
      </w:r>
      <w:r w:rsidRPr="00033F8A">
        <w:rPr>
          <w:rFonts w:ascii="Times New Roman" w:hAnsi="Times New Roman" w:cs="Times New Roman"/>
        </w:rPr>
        <w:t xml:space="preserve">20% from the preoperative baseline lasting more than 1 minute, 6 mg of ephedrine was preferentially administered via intravenous bolus, with repeat dosing permitted at 3-minute intervals; for persistent hypotension with inadequate response to ephedrine, intravenous infusion of norepinephrine was initiated at a starting dose of 0.05 μg/(kg·min), with the dose dynamically titrated according to real-time MAP values, and single high-dose bolus administration was avoided throughout the procedure. </w:t>
      </w:r>
    </w:p>
    <w:p w14:paraId="033ACB09" w14:textId="77777777" w:rsidR="00703507" w:rsidRPr="00033F8A" w:rsidRDefault="00703507" w:rsidP="00703507">
      <w:pPr>
        <w:rPr>
          <w:rFonts w:ascii="Times New Roman" w:hAnsi="Times New Roman" w:cs="Times New Roman"/>
        </w:rPr>
      </w:pPr>
      <w:r w:rsidRPr="00033F8A">
        <w:rPr>
          <w:rFonts w:ascii="Times New Roman" w:hAnsi="Times New Roman" w:cs="Times New Roman"/>
        </w:rPr>
        <w:t xml:space="preserve">Both groups received postoperative opioids via PCIA and rescue analgesia, with only the intraoperative opioid-free approach being implemented. Postoperative analgesia was identical in the </w:t>
      </w:r>
      <w:r w:rsidRPr="00033F8A">
        <w:rPr>
          <w:rFonts w:ascii="Times New Roman" w:hAnsi="Times New Roman" w:cs="Times New Roman"/>
        </w:rPr>
        <w:lastRenderedPageBreak/>
        <w:t>two groups: all patients received patient-controlled intravenous analgesia (PCIA) consisting of sufentanil 100 μg and granisetron 6 mg diluted in 120 mL normal saline, with a background infusion of 2 mL/h, a 2 mL bolus dose, and a 20-minute lockout interval for 48–60 h. Rescue analgesia with subcutaneous oxycodone 5 mg was administered if the VAS score remained &gt;4 at 30 min after a PCIA bolus.</w:t>
      </w:r>
    </w:p>
    <w:p w14:paraId="018BD6EA" w14:textId="77777777" w:rsidR="00703507" w:rsidRPr="00033F8A" w:rsidRDefault="00703507" w:rsidP="00703507">
      <w:pPr>
        <w:rPr>
          <w:rFonts w:ascii="Times New Roman" w:hAnsi="Times New Roman" w:cs="Times New Roman"/>
        </w:rPr>
      </w:pPr>
      <w:r w:rsidRPr="00033F8A">
        <w:rPr>
          <w:rFonts w:ascii="Times New Roman" w:hAnsi="Times New Roman" w:cs="Times New Roman"/>
        </w:rPr>
        <w:t>Standard for Morphine Equivalent Dose Conversion</w:t>
      </w:r>
      <w:r w:rsidRPr="00033F8A">
        <w:rPr>
          <w:rFonts w:ascii="Times New Roman" w:hAnsi="Times New Roman" w:cs="Times New Roman" w:hint="eastAsia"/>
        </w:rPr>
        <w:t xml:space="preserve">: </w:t>
      </w:r>
      <w:r w:rsidRPr="00033F8A">
        <w:rPr>
          <w:rFonts w:ascii="Times New Roman" w:hAnsi="Times New Roman" w:cs="Times New Roman"/>
        </w:rPr>
        <w:t>1 microgram (μg) of sufentanil administered via intravenous infusion is equivalent to 7.5 milligrams (mg) of oral morphine</w:t>
      </w:r>
      <w:r w:rsidRPr="00033F8A">
        <w:rPr>
          <w:rFonts w:ascii="Times New Roman" w:hAnsi="Times New Roman" w:cs="Times New Roman" w:hint="eastAsia"/>
        </w:rPr>
        <w:t>.</w:t>
      </w:r>
    </w:p>
    <w:p w14:paraId="66BEB06E"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Criteria for Discontinuing or Modifying Allocated Interventions</w:t>
      </w:r>
    </w:p>
    <w:p w14:paraId="3C834760"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The allocated intervention may be discontinued or modified by the attending anesthesiologist for safety reasons, including but not limited to:</w:t>
      </w:r>
    </w:p>
    <w:p w14:paraId="1355F86F" w14:textId="23E03F6A" w:rsidR="006E6CF2" w:rsidRPr="00033F8A" w:rsidRDefault="00521A68" w:rsidP="00521A68">
      <w:pPr>
        <w:rPr>
          <w:rFonts w:ascii="Times New Roman" w:hAnsi="Times New Roman" w:cs="Times New Roman"/>
        </w:rPr>
      </w:pPr>
      <w:r w:rsidRPr="00033F8A">
        <w:rPr>
          <w:rFonts w:ascii="Times New Roman" w:hAnsi="Times New Roman" w:cs="Times New Roman"/>
        </w:rPr>
        <w:t>1.</w:t>
      </w:r>
      <w:r w:rsidR="006E6CF2" w:rsidRPr="00033F8A">
        <w:rPr>
          <w:rFonts w:ascii="Times New Roman" w:hAnsi="Times New Roman" w:cs="Times New Roman"/>
        </w:rPr>
        <w:t>Severe hemodynamic instability unresponsive to standard treatment;</w:t>
      </w:r>
    </w:p>
    <w:p w14:paraId="64286388" w14:textId="70C524FF" w:rsidR="006E6CF2" w:rsidRPr="00033F8A" w:rsidRDefault="00521A68" w:rsidP="00521A68">
      <w:pPr>
        <w:rPr>
          <w:rFonts w:ascii="Times New Roman" w:hAnsi="Times New Roman" w:cs="Times New Roman"/>
        </w:rPr>
      </w:pPr>
      <w:r w:rsidRPr="00033F8A">
        <w:rPr>
          <w:rFonts w:ascii="Times New Roman" w:hAnsi="Times New Roman" w:cs="Times New Roman"/>
        </w:rPr>
        <w:t>2.</w:t>
      </w:r>
      <w:r w:rsidR="006E6CF2" w:rsidRPr="00033F8A">
        <w:rPr>
          <w:rFonts w:ascii="Times New Roman" w:hAnsi="Times New Roman" w:cs="Times New Roman"/>
        </w:rPr>
        <w:t>Anaphylaxis or other serious adverse reaction to study medications;</w:t>
      </w:r>
    </w:p>
    <w:p w14:paraId="7C7F54DC" w14:textId="06C1C788" w:rsidR="006E6CF2" w:rsidRPr="00033F8A" w:rsidRDefault="00521A68" w:rsidP="00521A68">
      <w:pPr>
        <w:rPr>
          <w:rFonts w:ascii="Times New Roman" w:hAnsi="Times New Roman" w:cs="Times New Roman"/>
        </w:rPr>
      </w:pPr>
      <w:r w:rsidRPr="00033F8A">
        <w:rPr>
          <w:rFonts w:ascii="Times New Roman" w:hAnsi="Times New Roman" w:cs="Times New Roman"/>
        </w:rPr>
        <w:t>3.</w:t>
      </w:r>
      <w:r w:rsidR="006E6CF2" w:rsidRPr="00033F8A">
        <w:rPr>
          <w:rFonts w:ascii="Times New Roman" w:hAnsi="Times New Roman" w:cs="Times New Roman"/>
        </w:rPr>
        <w:t>Withdrawal of consent by the participant or legal representative during the procedure;</w:t>
      </w:r>
    </w:p>
    <w:p w14:paraId="3BE770D0" w14:textId="3724084D" w:rsidR="006E6CF2" w:rsidRPr="00033F8A" w:rsidRDefault="00521A68" w:rsidP="00521A68">
      <w:pPr>
        <w:rPr>
          <w:rFonts w:ascii="Times New Roman" w:hAnsi="Times New Roman" w:cs="Times New Roman"/>
        </w:rPr>
      </w:pPr>
      <w:r w:rsidRPr="00033F8A">
        <w:rPr>
          <w:rFonts w:ascii="Times New Roman" w:hAnsi="Times New Roman" w:cs="Times New Roman"/>
        </w:rPr>
        <w:t>4.</w:t>
      </w:r>
      <w:r w:rsidR="006E6CF2" w:rsidRPr="00033F8A">
        <w:rPr>
          <w:rFonts w:ascii="Times New Roman" w:hAnsi="Times New Roman" w:cs="Times New Roman"/>
        </w:rPr>
        <w:t>Unexpected surgical complications requiring alteration of the anesthetic plan.</w:t>
      </w:r>
    </w:p>
    <w:p w14:paraId="38DF9CD3"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Any deviation will be documented in the case report form (CRF), and data will be analyzed according to the intention</w:t>
      </w:r>
      <w:r w:rsidRPr="00033F8A">
        <w:rPr>
          <w:rFonts w:ascii="Times New Roman" w:hAnsi="Times New Roman" w:cs="Times New Roman"/>
        </w:rPr>
        <w:noBreakHyphen/>
        <w:t>to</w:t>
      </w:r>
      <w:r w:rsidRPr="00033F8A">
        <w:rPr>
          <w:rFonts w:ascii="Times New Roman" w:hAnsi="Times New Roman" w:cs="Times New Roman"/>
        </w:rPr>
        <w:noBreakHyphen/>
        <w:t>treat principle.</w:t>
      </w:r>
    </w:p>
    <w:p w14:paraId="75902C81"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Strategies to Improve Adherence to Interventions</w:t>
      </w:r>
    </w:p>
    <w:p w14:paraId="3708599C"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Participants will receive thorough information about the study procedures, potential benefits, and risks. All procedures will be strictly performed according to the protocol. The research team will be available to address any concerns.</w:t>
      </w:r>
    </w:p>
    <w:p w14:paraId="56627C2E" w14:textId="45179561"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 xml:space="preserve">Relevant Concomitant Care Permitted </w:t>
      </w:r>
    </w:p>
    <w:p w14:paraId="13A34C0E" w14:textId="77777777" w:rsidR="00521A68" w:rsidRPr="00033F8A" w:rsidRDefault="006E6CF2" w:rsidP="006E6CF2">
      <w:pPr>
        <w:rPr>
          <w:rFonts w:ascii="Times New Roman" w:hAnsi="Times New Roman" w:cs="Times New Roman"/>
        </w:rPr>
      </w:pPr>
      <w:r w:rsidRPr="00033F8A">
        <w:rPr>
          <w:rFonts w:ascii="Times New Roman" w:hAnsi="Times New Roman" w:cs="Times New Roman"/>
        </w:rPr>
        <w:t>Standard perioperative care, including antibiotics and thromboprophylaxis, will be administered according to institutional guidelines.</w:t>
      </w:r>
    </w:p>
    <w:p w14:paraId="0F3EBBD1" w14:textId="77777777" w:rsidR="00521A68" w:rsidRPr="00033F8A" w:rsidRDefault="00521A68" w:rsidP="00521A68">
      <w:pPr>
        <w:rPr>
          <w:rFonts w:ascii="Times New Roman" w:hAnsi="Times New Roman" w:cs="Times New Roman"/>
          <w:b/>
          <w:bCs/>
        </w:rPr>
      </w:pPr>
      <w:r w:rsidRPr="00033F8A">
        <w:rPr>
          <w:rFonts w:ascii="Times New Roman" w:hAnsi="Times New Roman" w:cs="Times New Roman"/>
          <w:b/>
          <w:bCs/>
        </w:rPr>
        <w:t>Provisions for post-trial care</w:t>
      </w:r>
    </w:p>
    <w:p w14:paraId="523995AC" w14:textId="4F7E052C" w:rsidR="00521A68" w:rsidRPr="00033F8A" w:rsidRDefault="00521A68" w:rsidP="006E6CF2">
      <w:pPr>
        <w:rPr>
          <w:rFonts w:ascii="Times New Roman" w:hAnsi="Times New Roman" w:cs="Times New Roman"/>
        </w:rPr>
      </w:pPr>
      <w:r w:rsidRPr="00033F8A">
        <w:rPr>
          <w:rFonts w:ascii="Times New Roman" w:hAnsi="Times New Roman" w:cs="Times New Roman"/>
        </w:rPr>
        <w:t>After the completion of surgery, all patients will be transferred to a general ward, except for those in critical condition who may require admission to the Intensive Care Unit post-surgery. If any complications occur during the intervention, trial participant will receive standard postoperative care from a multidisciplinary team comprising surgical, anaesthesiology, and critical care specialists. If any serious adverse events are deemed related to this clinical trial, the research team will provide the necessary treatment free of charge. Furthermore, we will closely monitor participant throughout the postoperative period to promptly detect any potential complications and offer timely interventions as needed. These follow-up visits will not only help monitor adverse events but also provide ongoing support and encouragement, answer questions, and assist participants in addressing any issues that may emerge</w:t>
      </w:r>
      <w:r w:rsidRPr="00033F8A">
        <w:rPr>
          <w:rFonts w:ascii="Times New Roman" w:hAnsi="Times New Roman" w:cs="Times New Roman" w:hint="eastAsia"/>
        </w:rPr>
        <w:t>.</w:t>
      </w:r>
    </w:p>
    <w:p w14:paraId="6BF139F0" w14:textId="7AA976A5"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Outcomes</w:t>
      </w:r>
    </w:p>
    <w:p w14:paraId="20488CD9" w14:textId="77777777" w:rsidR="006E6CF2" w:rsidRPr="00033F8A" w:rsidRDefault="006E6CF2" w:rsidP="006E6CF2">
      <w:pPr>
        <w:rPr>
          <w:rFonts w:ascii="Times New Roman" w:hAnsi="Times New Roman" w:cs="Times New Roman"/>
        </w:rPr>
      </w:pPr>
      <w:r w:rsidRPr="00033F8A">
        <w:rPr>
          <w:rFonts w:ascii="Times New Roman" w:hAnsi="Times New Roman" w:cs="Times New Roman"/>
          <w:b/>
          <w:bCs/>
        </w:rPr>
        <w:t>Primary Outcome</w:t>
      </w:r>
    </w:p>
    <w:p w14:paraId="1A502099" w14:textId="52DA65FA" w:rsidR="006E6CF2" w:rsidRPr="00033F8A" w:rsidRDefault="006E6CF2" w:rsidP="006E6CF2">
      <w:pPr>
        <w:rPr>
          <w:rFonts w:ascii="Times New Roman" w:hAnsi="Times New Roman" w:cs="Times New Roman"/>
        </w:rPr>
      </w:pPr>
      <w:r w:rsidRPr="00033F8A">
        <w:rPr>
          <w:rFonts w:ascii="Times New Roman" w:hAnsi="Times New Roman" w:cs="Times New Roman"/>
        </w:rPr>
        <w:t>The primary outcome is the change in the proportion of natural killer (NK) cells among total lymphocytes from preoperative day 1 to postoperative day 3.</w:t>
      </w:r>
    </w:p>
    <w:p w14:paraId="0EFF572A" w14:textId="77777777" w:rsidR="006E6CF2" w:rsidRPr="00033F8A" w:rsidRDefault="006E6CF2" w:rsidP="006E6CF2">
      <w:pPr>
        <w:rPr>
          <w:rFonts w:ascii="Times New Roman" w:hAnsi="Times New Roman" w:cs="Times New Roman"/>
        </w:rPr>
      </w:pPr>
      <w:r w:rsidRPr="00033F8A">
        <w:rPr>
          <w:rFonts w:ascii="Times New Roman" w:hAnsi="Times New Roman" w:cs="Times New Roman"/>
          <w:b/>
          <w:bCs/>
        </w:rPr>
        <w:t>Secondary Outcomes</w:t>
      </w:r>
    </w:p>
    <w:p w14:paraId="74BFA7F8" w14:textId="0B49F951" w:rsidR="006E6CF2" w:rsidRPr="00033F8A" w:rsidRDefault="00521A68" w:rsidP="00521A68">
      <w:pPr>
        <w:rPr>
          <w:rFonts w:ascii="Times New Roman" w:hAnsi="Times New Roman" w:cs="Times New Roman"/>
        </w:rPr>
      </w:pPr>
      <w:r w:rsidRPr="00033F8A">
        <w:rPr>
          <w:rFonts w:ascii="Times New Roman" w:hAnsi="Times New Roman" w:cs="Times New Roman"/>
          <w:b/>
          <w:bCs/>
        </w:rPr>
        <w:t>1.</w:t>
      </w:r>
      <w:r w:rsidR="006E6CF2" w:rsidRPr="00033F8A">
        <w:rPr>
          <w:rFonts w:ascii="Times New Roman" w:hAnsi="Times New Roman" w:cs="Times New Roman"/>
          <w:b/>
          <w:bCs/>
        </w:rPr>
        <w:t>Lymphocyte subsets:</w:t>
      </w:r>
      <w:r w:rsidRPr="00033F8A">
        <w:rPr>
          <w:rFonts w:ascii="Times New Roman" w:hAnsi="Times New Roman" w:cs="Times New Roman" w:hint="eastAsia"/>
        </w:rPr>
        <w:t xml:space="preserve"> </w:t>
      </w:r>
      <w:r w:rsidR="006E6CF2" w:rsidRPr="00033F8A">
        <w:rPr>
          <w:rFonts w:ascii="Times New Roman" w:hAnsi="Times New Roman" w:cs="Times New Roman"/>
        </w:rPr>
        <w:t>Changes in the proportions of CD3⁺, CD4⁺, CD8⁺ T cells, and B cells from preoperative day 1 to postoperative day 3.</w:t>
      </w:r>
      <w:r w:rsidR="00AD47FD" w:rsidRPr="00033F8A">
        <w:rPr>
          <w:rFonts w:ascii="Times New Roman" w:hAnsi="Times New Roman" w:cs="Times New Roman"/>
          <w:sz w:val="20"/>
          <w:szCs w:val="20"/>
        </w:rPr>
        <w:t xml:space="preserve"> </w:t>
      </w:r>
      <w:r w:rsidR="00AD47FD" w:rsidRPr="00033F8A">
        <w:rPr>
          <w:rFonts w:ascii="Times New Roman" w:hAnsi="Times New Roman" w:cs="Times New Roman"/>
        </w:rPr>
        <w:t xml:space="preserve">The detection method is as follows: Flow cytometry (using a BD FACSCanto II flow cytometer) was employed. Cells were stained with the antibody panel consisting of CD3-FITC, CD4-PE, CD8-PE-Cy5, CD19-APC, and CD56-PE-Cy7 (all purchased from BD Biosciences). The operation was performed in accordance with the kit </w:t>
      </w:r>
      <w:r w:rsidR="00AD47FD" w:rsidRPr="00033F8A">
        <w:rPr>
          <w:rFonts w:ascii="Times New Roman" w:hAnsi="Times New Roman" w:cs="Times New Roman"/>
        </w:rPr>
        <w:lastRenderedPageBreak/>
        <w:t>instructions to acquire and analyze cell proportion data. This detection was conducted by professional technicians from the Clinical Laboratory of our hospital, and the entire detection process strictly adhered to standard operating procedures.</w:t>
      </w:r>
    </w:p>
    <w:p w14:paraId="5851446E" w14:textId="77777777" w:rsidR="00767749" w:rsidRPr="00033F8A" w:rsidRDefault="00521A68" w:rsidP="00767749">
      <w:pPr>
        <w:rPr>
          <w:rFonts w:ascii="Times New Roman" w:hAnsi="Times New Roman" w:cs="Times New Roman"/>
        </w:rPr>
      </w:pPr>
      <w:r w:rsidRPr="00033F8A">
        <w:rPr>
          <w:rFonts w:ascii="Times New Roman" w:hAnsi="Times New Roman" w:cs="Times New Roman"/>
          <w:b/>
          <w:bCs/>
        </w:rPr>
        <w:t>2.</w:t>
      </w:r>
      <w:r w:rsidR="006E6CF2" w:rsidRPr="00033F8A">
        <w:rPr>
          <w:rFonts w:ascii="Times New Roman" w:hAnsi="Times New Roman" w:cs="Times New Roman"/>
          <w:b/>
          <w:bCs/>
        </w:rPr>
        <w:t>Pain intensity:</w:t>
      </w:r>
      <w:r w:rsidR="00FB4A0A" w:rsidRPr="00033F8A">
        <w:rPr>
          <w:rFonts w:ascii="Times New Roman" w:hAnsi="Times New Roman" w:cs="Times New Roman" w:hint="eastAsia"/>
        </w:rPr>
        <w:t xml:space="preserve"> </w:t>
      </w:r>
      <w:r w:rsidR="00767749" w:rsidRPr="00033F8A">
        <w:rPr>
          <w:rFonts w:ascii="Times New Roman" w:hAnsi="Times New Roman" w:cs="Times New Roman"/>
        </w:rPr>
        <w:t xml:space="preserve">Pain intensity evaluated using the </w:t>
      </w:r>
      <w:bookmarkStart w:id="0" w:name="OLE_LINK19"/>
      <w:r w:rsidR="00767749" w:rsidRPr="00033F8A">
        <w:rPr>
          <w:rFonts w:ascii="Times New Roman" w:hAnsi="Times New Roman" w:cs="Times New Roman"/>
        </w:rPr>
        <w:t>VAS</w:t>
      </w:r>
      <w:bookmarkEnd w:id="0"/>
      <w:r w:rsidR="00767749" w:rsidRPr="00033F8A">
        <w:rPr>
          <w:rFonts w:ascii="Times New Roman" w:hAnsi="Times New Roman" w:cs="Times New Roman"/>
        </w:rPr>
        <w:t xml:space="preserve"> at rest and during passive knee flexion to 60°, recorded preoperatively and at 4, 8, 12, 24, 48, and 72 hours postoperatively. The VAS is a 10 cm horizontal line representing pain intensity, with 0 indicating "no pain" and 10 indicating "worst imaginable pain." Pain levels are categorized as mild (1–3), moderate (4–6), and severe (7–10).</w:t>
      </w:r>
      <w:r w:rsidR="00767749" w:rsidRPr="00033F8A">
        <w:rPr>
          <w:rFonts w:ascii="Times New Roman" w:hAnsi="Times New Roman" w:cs="Times New Roman" w:hint="eastAsia"/>
        </w:rPr>
        <w:t xml:space="preserve"> </w:t>
      </w:r>
      <w:r w:rsidR="00767749" w:rsidRPr="00033F8A">
        <w:rPr>
          <w:rFonts w:ascii="Times New Roman" w:hAnsi="Times New Roman" w:cs="Times New Roman"/>
        </w:rPr>
        <w:t>The dynamic VAS score in this study refers to the immediate pain VAS score reported by the patient when the operated knee was passively flexed to 60° at a controlled speed by the assessor, using a goniometer, in the supine position.</w:t>
      </w:r>
    </w:p>
    <w:p w14:paraId="40BB247A" w14:textId="77777777" w:rsidR="00767749" w:rsidRPr="00033F8A" w:rsidRDefault="00767749" w:rsidP="00767749">
      <w:pPr>
        <w:rPr>
          <w:rFonts w:ascii="Times New Roman" w:hAnsi="Times New Roman" w:cs="Times New Roman"/>
        </w:rPr>
      </w:pPr>
      <w:r w:rsidRPr="00033F8A">
        <w:rPr>
          <w:rFonts w:ascii="Times New Roman" w:hAnsi="Times New Roman" w:cs="Times New Roman"/>
        </w:rPr>
        <w:t xml:space="preserve">A consistent medical goniometer was employed for all evaluations. The passive flexion angle at 60° was controlled by defining the femoral and tibial long axes and ensuring a slow and steady flexion movement lasting approximately 5 seconds. Pain scores were recorded immediately after fixing the angle. Assessors underwent standardized training to ensure uniformity in the assessment process. </w:t>
      </w:r>
    </w:p>
    <w:p w14:paraId="779BBA65" w14:textId="3CA35C01" w:rsidR="006E6CF2" w:rsidRPr="00033F8A" w:rsidRDefault="00767749" w:rsidP="00521A68">
      <w:pPr>
        <w:rPr>
          <w:rFonts w:ascii="Times New Roman" w:hAnsi="Times New Roman" w:cs="Times New Roman"/>
        </w:rPr>
      </w:pPr>
      <w:r w:rsidRPr="00033F8A">
        <w:rPr>
          <w:rFonts w:ascii="Times New Roman" w:hAnsi="Times New Roman" w:cs="Times New Roman"/>
        </w:rPr>
        <w:t>Pain scores were recorded by research coordinators who were blinded to the patients' group allocation. They were not involved in anesthesia, clinical care, or treatment decisions, and had no access to anesthesia records or group information to prevent assessment bias.</w:t>
      </w:r>
    </w:p>
    <w:p w14:paraId="2C4AA4B6" w14:textId="35CA3347" w:rsidR="006E6CF2" w:rsidRPr="00033F8A" w:rsidRDefault="00521A68" w:rsidP="00521A68">
      <w:pPr>
        <w:rPr>
          <w:rFonts w:ascii="Times New Roman" w:hAnsi="Times New Roman" w:cs="Times New Roman"/>
        </w:rPr>
      </w:pPr>
      <w:r w:rsidRPr="00033F8A">
        <w:rPr>
          <w:rFonts w:ascii="Times New Roman" w:hAnsi="Times New Roman" w:cs="Times New Roman"/>
          <w:b/>
          <w:bCs/>
        </w:rPr>
        <w:t>3.</w:t>
      </w:r>
      <w:r w:rsidR="006E6CF2" w:rsidRPr="00033F8A">
        <w:rPr>
          <w:rFonts w:ascii="Times New Roman" w:hAnsi="Times New Roman" w:cs="Times New Roman"/>
          <w:b/>
          <w:bCs/>
        </w:rPr>
        <w:t>Functional recovery:</w:t>
      </w:r>
      <w:r w:rsidR="00FB4A0A" w:rsidRPr="00033F8A">
        <w:rPr>
          <w:rFonts w:ascii="Times New Roman" w:hAnsi="Times New Roman" w:cs="Times New Roman" w:hint="eastAsia"/>
        </w:rPr>
        <w:t xml:space="preserve"> </w:t>
      </w:r>
      <w:r w:rsidR="006E6CF2" w:rsidRPr="00033F8A">
        <w:rPr>
          <w:rFonts w:ascii="Times New Roman" w:hAnsi="Times New Roman" w:cs="Times New Roman"/>
        </w:rPr>
        <w:t xml:space="preserve">Active maximum knee flexion angle and walking distance (in meters) at </w:t>
      </w:r>
      <w:r w:rsidR="006E6CF2" w:rsidRPr="00033F8A">
        <w:rPr>
          <w:rFonts w:ascii="Times New Roman" w:hAnsi="Times New Roman" w:cs="Times New Roman"/>
          <w:strike/>
        </w:rPr>
        <w:t xml:space="preserve">24, </w:t>
      </w:r>
      <w:r w:rsidR="006E6CF2" w:rsidRPr="00033F8A">
        <w:rPr>
          <w:rFonts w:ascii="Times New Roman" w:hAnsi="Times New Roman" w:cs="Times New Roman"/>
        </w:rPr>
        <w:t>48, and 72 h postoperatively.</w:t>
      </w:r>
    </w:p>
    <w:p w14:paraId="469DA2DF" w14:textId="7ED86CC4" w:rsidR="006E6CF2" w:rsidRPr="00033F8A" w:rsidRDefault="00521A68" w:rsidP="00521A68">
      <w:pPr>
        <w:rPr>
          <w:rFonts w:ascii="Times New Roman" w:hAnsi="Times New Roman" w:cs="Times New Roman"/>
        </w:rPr>
      </w:pPr>
      <w:r w:rsidRPr="00033F8A">
        <w:rPr>
          <w:rFonts w:ascii="Times New Roman" w:hAnsi="Times New Roman" w:cs="Times New Roman"/>
          <w:b/>
          <w:bCs/>
        </w:rPr>
        <w:t>4.</w:t>
      </w:r>
      <w:r w:rsidR="006E6CF2" w:rsidRPr="00033F8A">
        <w:rPr>
          <w:rFonts w:ascii="Times New Roman" w:hAnsi="Times New Roman" w:cs="Times New Roman"/>
          <w:b/>
          <w:bCs/>
        </w:rPr>
        <w:t>Analgesic consumption:</w:t>
      </w:r>
      <w:r w:rsidR="00FB4A0A" w:rsidRPr="00033F8A">
        <w:rPr>
          <w:rFonts w:ascii="Times New Roman" w:hAnsi="Times New Roman" w:cs="Times New Roman" w:hint="eastAsia"/>
        </w:rPr>
        <w:t xml:space="preserve"> </w:t>
      </w:r>
      <w:r w:rsidR="00C97006" w:rsidRPr="00033F8A">
        <w:rPr>
          <w:rFonts w:ascii="Times New Roman" w:hAnsi="Times New Roman" w:cs="Times New Roman"/>
        </w:rPr>
        <w:t xml:space="preserve">Number of effective PCIA presses at 4, 8, 12, 24, 48, and 72 h postoperatively, and opioid consumption (in morphine milligram </w:t>
      </w:r>
      <w:r w:rsidR="006E446D" w:rsidRPr="00033F8A">
        <w:rPr>
          <w:rFonts w:ascii="Times New Roman" w:hAnsi="Times New Roman" w:cs="Times New Roman"/>
        </w:rPr>
        <w:t>equivalents) within</w:t>
      </w:r>
      <w:r w:rsidR="00C97006" w:rsidRPr="00033F8A">
        <w:rPr>
          <w:rFonts w:ascii="Times New Roman" w:hAnsi="Times New Roman" w:cs="Times New Roman"/>
        </w:rPr>
        <w:t xml:space="preserve"> 72 h after surgery. </w:t>
      </w:r>
    </w:p>
    <w:p w14:paraId="0B976A2B" w14:textId="2CD7A9EA" w:rsidR="006E6CF2" w:rsidRPr="00033F8A" w:rsidRDefault="00521A68" w:rsidP="00521A68">
      <w:pPr>
        <w:rPr>
          <w:rFonts w:ascii="Times New Roman" w:hAnsi="Times New Roman" w:cs="Times New Roman"/>
        </w:rPr>
      </w:pPr>
      <w:r w:rsidRPr="00033F8A">
        <w:rPr>
          <w:rFonts w:ascii="Times New Roman" w:hAnsi="Times New Roman" w:cs="Times New Roman"/>
          <w:b/>
          <w:bCs/>
        </w:rPr>
        <w:t>5.</w:t>
      </w:r>
      <w:r w:rsidR="006E6CF2" w:rsidRPr="00033F8A">
        <w:rPr>
          <w:rFonts w:ascii="Times New Roman" w:hAnsi="Times New Roman" w:cs="Times New Roman"/>
          <w:b/>
          <w:bCs/>
        </w:rPr>
        <w:t>Intraoperative hemodynamics:</w:t>
      </w:r>
      <w:r w:rsidR="00FB4A0A" w:rsidRPr="00033F8A">
        <w:rPr>
          <w:rFonts w:ascii="Times New Roman" w:hAnsi="Times New Roman" w:cs="Times New Roman" w:hint="eastAsia"/>
        </w:rPr>
        <w:t xml:space="preserve"> </w:t>
      </w:r>
      <w:r w:rsidR="001D1CF5" w:rsidRPr="00033F8A">
        <w:rPr>
          <w:rFonts w:ascii="Times New Roman" w:hAnsi="Times New Roman" w:cs="Times New Roman"/>
          <w:sz w:val="20"/>
          <w:szCs w:val="20"/>
        </w:rPr>
        <w:t>MAP,</w:t>
      </w:r>
      <w:r w:rsidR="001D1CF5" w:rsidRPr="00033F8A">
        <w:rPr>
          <w:rFonts w:ascii="Times New Roman" w:hAnsi="Times New Roman" w:cs="Times New Roman" w:hint="eastAsia"/>
          <w:sz w:val="20"/>
          <w:szCs w:val="20"/>
        </w:rPr>
        <w:t xml:space="preserve"> HR</w:t>
      </w:r>
      <w:r w:rsidR="001D1CF5" w:rsidRPr="00033F8A">
        <w:rPr>
          <w:rFonts w:ascii="Times New Roman" w:hAnsi="Times New Roman" w:cs="Times New Roman"/>
          <w:sz w:val="20"/>
          <w:szCs w:val="20"/>
        </w:rPr>
        <w:t>, BIS values recorded at the following time points: pre-induction (T0), post-induction (T1), skin incision (T2), 30 minutes into surgery (T3), and at the end of surgery (T4).</w:t>
      </w:r>
      <w:r w:rsidR="001D1CF5" w:rsidRPr="00033F8A">
        <w:rPr>
          <w:rFonts w:ascii="Times New Roman" w:hAnsi="Times New Roman" w:cs="Times New Roman" w:hint="eastAsia"/>
          <w:sz w:val="20"/>
          <w:szCs w:val="20"/>
        </w:rPr>
        <w:t xml:space="preserve"> </w:t>
      </w:r>
      <w:r w:rsidRPr="00033F8A">
        <w:rPr>
          <w:rFonts w:ascii="Times New Roman" w:hAnsi="Times New Roman" w:cs="Times New Roman"/>
          <w:b/>
          <w:bCs/>
        </w:rPr>
        <w:t>6.</w:t>
      </w:r>
      <w:r w:rsidR="006E6CF2" w:rsidRPr="00033F8A">
        <w:rPr>
          <w:rFonts w:ascii="Times New Roman" w:hAnsi="Times New Roman" w:cs="Times New Roman"/>
          <w:b/>
          <w:bCs/>
        </w:rPr>
        <w:t>Intraoperative vasopressor use:</w:t>
      </w:r>
      <w:r w:rsidR="00FB4A0A" w:rsidRPr="00033F8A">
        <w:rPr>
          <w:rFonts w:ascii="Times New Roman" w:hAnsi="Times New Roman" w:cs="Times New Roman" w:hint="eastAsia"/>
        </w:rPr>
        <w:t xml:space="preserve"> </w:t>
      </w:r>
      <w:r w:rsidR="006E6CF2" w:rsidRPr="00033F8A">
        <w:rPr>
          <w:rFonts w:ascii="Times New Roman" w:hAnsi="Times New Roman" w:cs="Times New Roman"/>
        </w:rPr>
        <w:t>Total dose of vasopressors administered.</w:t>
      </w:r>
    </w:p>
    <w:p w14:paraId="4AD0B927" w14:textId="029EC6E9" w:rsidR="006E6CF2" w:rsidRPr="00033F8A" w:rsidRDefault="00521A68" w:rsidP="00521A68">
      <w:pPr>
        <w:rPr>
          <w:rFonts w:ascii="Times New Roman" w:hAnsi="Times New Roman" w:cs="Times New Roman"/>
        </w:rPr>
      </w:pPr>
      <w:r w:rsidRPr="00033F8A">
        <w:rPr>
          <w:rFonts w:ascii="Times New Roman" w:hAnsi="Times New Roman" w:cs="Times New Roman"/>
          <w:b/>
          <w:bCs/>
        </w:rPr>
        <w:t>7.</w:t>
      </w:r>
      <w:r w:rsidR="006E6CF2" w:rsidRPr="00033F8A">
        <w:rPr>
          <w:rFonts w:ascii="Times New Roman" w:hAnsi="Times New Roman" w:cs="Times New Roman"/>
          <w:b/>
          <w:bCs/>
        </w:rPr>
        <w:t>Local anesthetic toxicity:</w:t>
      </w:r>
      <w:r w:rsidR="00FB4A0A" w:rsidRPr="00033F8A">
        <w:rPr>
          <w:rFonts w:ascii="Times New Roman" w:hAnsi="Times New Roman" w:cs="Times New Roman" w:hint="eastAsia"/>
        </w:rPr>
        <w:t xml:space="preserve"> </w:t>
      </w:r>
      <w:r w:rsidR="006E6CF2" w:rsidRPr="00033F8A">
        <w:rPr>
          <w:rFonts w:ascii="Times New Roman" w:hAnsi="Times New Roman" w:cs="Times New Roman"/>
        </w:rPr>
        <w:t>Any signs or symptoms of local anesthetic systemic toxicity (LAST) during block placement or surgery.</w:t>
      </w:r>
    </w:p>
    <w:p w14:paraId="445BFC96" w14:textId="49DDC12A" w:rsidR="006E6CF2" w:rsidRPr="00033F8A" w:rsidRDefault="00521A68" w:rsidP="00521A68">
      <w:pPr>
        <w:rPr>
          <w:rFonts w:ascii="Times New Roman" w:hAnsi="Times New Roman" w:cs="Times New Roman"/>
        </w:rPr>
      </w:pPr>
      <w:r w:rsidRPr="00033F8A">
        <w:rPr>
          <w:rFonts w:ascii="Times New Roman" w:hAnsi="Times New Roman" w:cs="Times New Roman"/>
          <w:b/>
          <w:bCs/>
        </w:rPr>
        <w:t>8.</w:t>
      </w:r>
      <w:r w:rsidR="006E6CF2" w:rsidRPr="00033F8A">
        <w:rPr>
          <w:rFonts w:ascii="Times New Roman" w:hAnsi="Times New Roman" w:cs="Times New Roman"/>
          <w:b/>
          <w:bCs/>
        </w:rPr>
        <w:t>Recovery characteristics:</w:t>
      </w:r>
      <w:r w:rsidR="00FB4A0A" w:rsidRPr="00033F8A">
        <w:rPr>
          <w:rFonts w:ascii="Times New Roman" w:hAnsi="Times New Roman" w:cs="Times New Roman" w:hint="eastAsia"/>
        </w:rPr>
        <w:t xml:space="preserve"> </w:t>
      </w:r>
      <w:r w:rsidR="001D1CF5" w:rsidRPr="00033F8A">
        <w:rPr>
          <w:rFonts w:ascii="Times New Roman" w:hAnsi="Times New Roman" w:cs="Times New Roman" w:hint="eastAsia"/>
        </w:rPr>
        <w:t xml:space="preserve">Time to extubation (from end of anesthetics to tracheal extubation), incidence of postoperative nausea and vomiting (PONV), sleep quality assessed by the Pittsburgh Sleep Quality Index (PSQI) on POD3, need for rescue analgesia, and length of hospital stay (days). </w:t>
      </w:r>
    </w:p>
    <w:p w14:paraId="17F5E428" w14:textId="25D9309D" w:rsidR="006E6CF2" w:rsidRPr="00033F8A" w:rsidRDefault="00521A68" w:rsidP="00521A68">
      <w:pPr>
        <w:rPr>
          <w:rFonts w:ascii="Times New Roman" w:hAnsi="Times New Roman" w:cs="Times New Roman"/>
        </w:rPr>
      </w:pPr>
      <w:r w:rsidRPr="00033F8A">
        <w:rPr>
          <w:rFonts w:ascii="Times New Roman" w:hAnsi="Times New Roman" w:cs="Times New Roman"/>
          <w:b/>
          <w:bCs/>
        </w:rPr>
        <w:t>9.</w:t>
      </w:r>
      <w:r w:rsidR="006E6CF2" w:rsidRPr="00033F8A">
        <w:rPr>
          <w:rFonts w:ascii="Times New Roman" w:hAnsi="Times New Roman" w:cs="Times New Roman"/>
          <w:b/>
          <w:bCs/>
        </w:rPr>
        <w:t>Safety outcomes:</w:t>
      </w:r>
      <w:r w:rsidR="00FB4A0A" w:rsidRPr="00033F8A">
        <w:rPr>
          <w:rFonts w:ascii="Times New Roman" w:hAnsi="Times New Roman" w:cs="Times New Roman" w:hint="eastAsia"/>
        </w:rPr>
        <w:t xml:space="preserve"> </w:t>
      </w:r>
      <w:r w:rsidR="006E6CF2" w:rsidRPr="00033F8A">
        <w:rPr>
          <w:rFonts w:ascii="Times New Roman" w:hAnsi="Times New Roman" w:cs="Times New Roman"/>
        </w:rPr>
        <w:t>Incidence of adverse events including block</w:t>
      </w:r>
      <w:r w:rsidR="006E6CF2" w:rsidRPr="00033F8A">
        <w:rPr>
          <w:rFonts w:ascii="Times New Roman" w:hAnsi="Times New Roman" w:cs="Times New Roman"/>
        </w:rPr>
        <w:noBreakHyphen/>
        <w:t>related complications (infection, hematoma), in</w:t>
      </w:r>
      <w:r w:rsidR="006E6CF2" w:rsidRPr="00033F8A">
        <w:rPr>
          <w:rFonts w:ascii="Times New Roman" w:hAnsi="Times New Roman" w:cs="Times New Roman"/>
        </w:rPr>
        <w:noBreakHyphen/>
        <w:t>hospital falls, and any other serious adverse events (SAEs).</w:t>
      </w:r>
    </w:p>
    <w:p w14:paraId="4F3E87F4" w14:textId="3D84F415" w:rsidR="006E6CF2" w:rsidRPr="00033F8A" w:rsidRDefault="006E6CF2" w:rsidP="006E6CF2">
      <w:pPr>
        <w:rPr>
          <w:rFonts w:ascii="Times New Roman" w:hAnsi="Times New Roman" w:cs="Times New Roman"/>
        </w:rPr>
      </w:pPr>
      <w:r w:rsidRPr="00033F8A">
        <w:rPr>
          <w:rFonts w:ascii="Times New Roman" w:hAnsi="Times New Roman" w:cs="Times New Roman"/>
          <w:b/>
          <w:bCs/>
        </w:rPr>
        <w:t>PSQI Scoring:</w:t>
      </w:r>
      <w:r w:rsidR="00FB4A0A" w:rsidRPr="00033F8A">
        <w:rPr>
          <w:rFonts w:ascii="Times New Roman" w:hAnsi="Times New Roman" w:cs="Times New Roman" w:hint="eastAsia"/>
        </w:rPr>
        <w:t xml:space="preserve"> </w:t>
      </w:r>
      <w:r w:rsidRPr="00033F8A">
        <w:rPr>
          <w:rFonts w:ascii="Times New Roman" w:hAnsi="Times New Roman" w:cs="Times New Roman"/>
        </w:rPr>
        <w:t>The PSQI assesses sleep quality over the past month across seven components, with a total score ranging from 0 to 21. Higher scores indicate poorer sleep quality: 0–5 (very good), 6–10 (good), 11–15 (fair), 16–21 (poor).</w:t>
      </w:r>
    </w:p>
    <w:p w14:paraId="46ED73DB"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Participant Timeline</w:t>
      </w:r>
    </w:p>
    <w:p w14:paraId="1E8277A5"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The schedule of enrollment, interventions, and assessments is summarized in Table 1.</w:t>
      </w:r>
    </w:p>
    <w:p w14:paraId="6FDD91AB" w14:textId="77777777" w:rsidR="006E6CF2" w:rsidRPr="00033F8A" w:rsidRDefault="006E6CF2" w:rsidP="006E6CF2">
      <w:pPr>
        <w:rPr>
          <w:rFonts w:ascii="Times New Roman" w:hAnsi="Times New Roman" w:cs="Times New Roman"/>
        </w:rPr>
      </w:pPr>
      <w:r w:rsidRPr="00033F8A">
        <w:rPr>
          <w:rFonts w:ascii="Times New Roman" w:hAnsi="Times New Roman" w:cs="Times New Roman"/>
          <w:b/>
          <w:bCs/>
        </w:rPr>
        <w:t>Table 1. Study Timeline</w:t>
      </w:r>
    </w:p>
    <w:tbl>
      <w:tblPr>
        <w:tblW w:w="11624" w:type="dxa"/>
        <w:tblInd w:w="-1701" w:type="dxa"/>
        <w:tblBorders>
          <w:top w:val="single" w:sz="4" w:space="0" w:color="auto"/>
          <w:bottom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417"/>
        <w:gridCol w:w="1418"/>
        <w:gridCol w:w="1843"/>
        <w:gridCol w:w="1418"/>
        <w:gridCol w:w="708"/>
        <w:gridCol w:w="851"/>
        <w:gridCol w:w="850"/>
        <w:gridCol w:w="851"/>
        <w:gridCol w:w="850"/>
        <w:gridCol w:w="1418"/>
      </w:tblGrid>
      <w:tr w:rsidR="00033F8A" w:rsidRPr="00033F8A" w14:paraId="19225E7C" w14:textId="77777777" w:rsidTr="00DE694E">
        <w:trPr>
          <w:tblHeader/>
        </w:trPr>
        <w:tc>
          <w:tcPr>
            <w:tcW w:w="1417" w:type="dxa"/>
            <w:tcBorders>
              <w:top w:val="single" w:sz="4" w:space="0" w:color="auto"/>
              <w:bottom w:val="single" w:sz="4" w:space="0" w:color="auto"/>
            </w:tcBorders>
            <w:tcMar>
              <w:top w:w="150" w:type="dxa"/>
              <w:left w:w="0" w:type="dxa"/>
              <w:bottom w:w="150" w:type="dxa"/>
              <w:right w:w="240" w:type="dxa"/>
            </w:tcMar>
            <w:vAlign w:val="center"/>
            <w:hideMark/>
          </w:tcPr>
          <w:p w14:paraId="222A362D"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Timepoint</w:t>
            </w:r>
          </w:p>
        </w:tc>
        <w:tc>
          <w:tcPr>
            <w:tcW w:w="1418" w:type="dxa"/>
            <w:tcBorders>
              <w:top w:val="single" w:sz="4" w:space="0" w:color="auto"/>
              <w:bottom w:val="single" w:sz="4" w:space="0" w:color="auto"/>
            </w:tcBorders>
            <w:tcMar>
              <w:top w:w="150" w:type="dxa"/>
              <w:left w:w="240" w:type="dxa"/>
              <w:bottom w:w="150" w:type="dxa"/>
              <w:right w:w="240" w:type="dxa"/>
            </w:tcMar>
            <w:vAlign w:val="center"/>
            <w:hideMark/>
          </w:tcPr>
          <w:p w14:paraId="486D19DD"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Preop Day 1</w:t>
            </w:r>
          </w:p>
        </w:tc>
        <w:tc>
          <w:tcPr>
            <w:tcW w:w="1843" w:type="dxa"/>
            <w:tcBorders>
              <w:top w:val="single" w:sz="4" w:space="0" w:color="auto"/>
              <w:bottom w:val="single" w:sz="4" w:space="0" w:color="auto"/>
            </w:tcBorders>
            <w:tcMar>
              <w:top w:w="150" w:type="dxa"/>
              <w:left w:w="240" w:type="dxa"/>
              <w:bottom w:w="150" w:type="dxa"/>
              <w:right w:w="240" w:type="dxa"/>
            </w:tcMar>
            <w:vAlign w:val="center"/>
            <w:hideMark/>
          </w:tcPr>
          <w:p w14:paraId="1C8611FF"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Surgery (Day 0)</w:t>
            </w:r>
          </w:p>
        </w:tc>
        <w:tc>
          <w:tcPr>
            <w:tcW w:w="1418" w:type="dxa"/>
            <w:tcBorders>
              <w:top w:val="single" w:sz="4" w:space="0" w:color="auto"/>
              <w:bottom w:val="single" w:sz="4" w:space="0" w:color="auto"/>
            </w:tcBorders>
            <w:tcMar>
              <w:top w:w="150" w:type="dxa"/>
              <w:left w:w="240" w:type="dxa"/>
              <w:bottom w:w="150" w:type="dxa"/>
              <w:right w:w="240" w:type="dxa"/>
            </w:tcMar>
            <w:vAlign w:val="center"/>
            <w:hideMark/>
          </w:tcPr>
          <w:p w14:paraId="5E6D2DE4"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Postop 4h</w:t>
            </w:r>
          </w:p>
        </w:tc>
        <w:tc>
          <w:tcPr>
            <w:tcW w:w="708" w:type="dxa"/>
            <w:tcBorders>
              <w:top w:val="single" w:sz="4" w:space="0" w:color="auto"/>
              <w:bottom w:val="single" w:sz="4" w:space="0" w:color="auto"/>
            </w:tcBorders>
            <w:tcMar>
              <w:top w:w="150" w:type="dxa"/>
              <w:left w:w="240" w:type="dxa"/>
              <w:bottom w:w="150" w:type="dxa"/>
              <w:right w:w="240" w:type="dxa"/>
            </w:tcMar>
            <w:vAlign w:val="center"/>
            <w:hideMark/>
          </w:tcPr>
          <w:p w14:paraId="1D865DE5"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8h</w:t>
            </w:r>
          </w:p>
        </w:tc>
        <w:tc>
          <w:tcPr>
            <w:tcW w:w="851" w:type="dxa"/>
            <w:tcBorders>
              <w:top w:val="single" w:sz="4" w:space="0" w:color="auto"/>
              <w:bottom w:val="single" w:sz="4" w:space="0" w:color="auto"/>
            </w:tcBorders>
            <w:tcMar>
              <w:top w:w="150" w:type="dxa"/>
              <w:left w:w="240" w:type="dxa"/>
              <w:bottom w:w="150" w:type="dxa"/>
              <w:right w:w="240" w:type="dxa"/>
            </w:tcMar>
            <w:vAlign w:val="center"/>
            <w:hideMark/>
          </w:tcPr>
          <w:p w14:paraId="46CCDA68"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12h</w:t>
            </w:r>
          </w:p>
        </w:tc>
        <w:tc>
          <w:tcPr>
            <w:tcW w:w="850" w:type="dxa"/>
            <w:tcBorders>
              <w:top w:val="single" w:sz="4" w:space="0" w:color="auto"/>
              <w:bottom w:val="single" w:sz="4" w:space="0" w:color="auto"/>
            </w:tcBorders>
            <w:tcMar>
              <w:top w:w="150" w:type="dxa"/>
              <w:left w:w="240" w:type="dxa"/>
              <w:bottom w:w="150" w:type="dxa"/>
              <w:right w:w="240" w:type="dxa"/>
            </w:tcMar>
            <w:vAlign w:val="center"/>
            <w:hideMark/>
          </w:tcPr>
          <w:p w14:paraId="3BE394CF"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24h</w:t>
            </w:r>
          </w:p>
        </w:tc>
        <w:tc>
          <w:tcPr>
            <w:tcW w:w="851" w:type="dxa"/>
            <w:tcBorders>
              <w:top w:val="single" w:sz="4" w:space="0" w:color="auto"/>
              <w:bottom w:val="single" w:sz="4" w:space="0" w:color="auto"/>
            </w:tcBorders>
            <w:tcMar>
              <w:top w:w="150" w:type="dxa"/>
              <w:left w:w="240" w:type="dxa"/>
              <w:bottom w:w="150" w:type="dxa"/>
              <w:right w:w="240" w:type="dxa"/>
            </w:tcMar>
            <w:vAlign w:val="center"/>
            <w:hideMark/>
          </w:tcPr>
          <w:p w14:paraId="24D0988D"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48h</w:t>
            </w:r>
          </w:p>
        </w:tc>
        <w:tc>
          <w:tcPr>
            <w:tcW w:w="850" w:type="dxa"/>
            <w:tcBorders>
              <w:top w:val="single" w:sz="4" w:space="0" w:color="auto"/>
              <w:bottom w:val="single" w:sz="4" w:space="0" w:color="auto"/>
            </w:tcBorders>
            <w:tcMar>
              <w:top w:w="150" w:type="dxa"/>
              <w:left w:w="240" w:type="dxa"/>
              <w:bottom w:w="150" w:type="dxa"/>
              <w:right w:w="240" w:type="dxa"/>
            </w:tcMar>
            <w:vAlign w:val="center"/>
            <w:hideMark/>
          </w:tcPr>
          <w:p w14:paraId="71791A68"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72h</w:t>
            </w:r>
          </w:p>
        </w:tc>
        <w:tc>
          <w:tcPr>
            <w:tcW w:w="1418" w:type="dxa"/>
            <w:tcBorders>
              <w:top w:val="single" w:sz="4" w:space="0" w:color="auto"/>
              <w:bottom w:val="single" w:sz="4" w:space="0" w:color="auto"/>
            </w:tcBorders>
            <w:tcMar>
              <w:top w:w="150" w:type="dxa"/>
              <w:left w:w="240" w:type="dxa"/>
              <w:bottom w:w="150" w:type="dxa"/>
              <w:right w:w="240" w:type="dxa"/>
            </w:tcMar>
            <w:vAlign w:val="center"/>
            <w:hideMark/>
          </w:tcPr>
          <w:p w14:paraId="4DF70908"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Discharge</w:t>
            </w:r>
          </w:p>
        </w:tc>
      </w:tr>
      <w:tr w:rsidR="00033F8A" w:rsidRPr="00033F8A" w14:paraId="2AFA1835" w14:textId="77777777" w:rsidTr="00DE694E">
        <w:tc>
          <w:tcPr>
            <w:tcW w:w="1417" w:type="dxa"/>
            <w:tcBorders>
              <w:top w:val="single" w:sz="4" w:space="0" w:color="auto"/>
            </w:tcBorders>
            <w:tcMar>
              <w:top w:w="150" w:type="dxa"/>
              <w:left w:w="0" w:type="dxa"/>
              <w:bottom w:w="150" w:type="dxa"/>
              <w:right w:w="240" w:type="dxa"/>
            </w:tcMar>
            <w:vAlign w:val="center"/>
            <w:hideMark/>
          </w:tcPr>
          <w:p w14:paraId="568F8812" w14:textId="77777777" w:rsidR="006E6CF2" w:rsidRPr="00033F8A" w:rsidRDefault="006E6CF2" w:rsidP="006E6CF2">
            <w:pPr>
              <w:rPr>
                <w:rFonts w:ascii="Times New Roman" w:hAnsi="Times New Roman" w:cs="Times New Roman"/>
              </w:rPr>
            </w:pPr>
            <w:r w:rsidRPr="00033F8A">
              <w:rPr>
                <w:rFonts w:ascii="Times New Roman" w:hAnsi="Times New Roman" w:cs="Times New Roman"/>
                <w:b/>
                <w:bCs/>
              </w:rPr>
              <w:t>Enrollment</w:t>
            </w:r>
          </w:p>
        </w:tc>
        <w:tc>
          <w:tcPr>
            <w:tcW w:w="1418" w:type="dxa"/>
            <w:tcBorders>
              <w:top w:val="single" w:sz="4" w:space="0" w:color="auto"/>
            </w:tcBorders>
            <w:tcMar>
              <w:top w:w="150" w:type="dxa"/>
              <w:left w:w="240" w:type="dxa"/>
              <w:bottom w:w="150" w:type="dxa"/>
              <w:right w:w="240" w:type="dxa"/>
            </w:tcMar>
            <w:vAlign w:val="center"/>
            <w:hideMark/>
          </w:tcPr>
          <w:p w14:paraId="5B641040" w14:textId="77777777" w:rsidR="006E6CF2" w:rsidRPr="00033F8A" w:rsidRDefault="006E6CF2" w:rsidP="006E6CF2">
            <w:pPr>
              <w:rPr>
                <w:rFonts w:ascii="Times New Roman" w:hAnsi="Times New Roman" w:cs="Times New Roman"/>
              </w:rPr>
            </w:pPr>
          </w:p>
        </w:tc>
        <w:tc>
          <w:tcPr>
            <w:tcW w:w="1843" w:type="dxa"/>
            <w:tcBorders>
              <w:top w:val="single" w:sz="4" w:space="0" w:color="auto"/>
            </w:tcBorders>
            <w:tcMar>
              <w:top w:w="150" w:type="dxa"/>
              <w:left w:w="240" w:type="dxa"/>
              <w:bottom w:w="150" w:type="dxa"/>
              <w:right w:w="240" w:type="dxa"/>
            </w:tcMar>
            <w:vAlign w:val="center"/>
            <w:hideMark/>
          </w:tcPr>
          <w:p w14:paraId="28D04ECD" w14:textId="77777777" w:rsidR="006E6CF2" w:rsidRPr="00033F8A" w:rsidRDefault="006E6CF2" w:rsidP="006E6CF2">
            <w:pPr>
              <w:rPr>
                <w:rFonts w:ascii="Times New Roman" w:hAnsi="Times New Roman" w:cs="Times New Roman"/>
              </w:rPr>
            </w:pPr>
          </w:p>
        </w:tc>
        <w:tc>
          <w:tcPr>
            <w:tcW w:w="1418" w:type="dxa"/>
            <w:tcBorders>
              <w:top w:val="single" w:sz="4" w:space="0" w:color="auto"/>
            </w:tcBorders>
            <w:tcMar>
              <w:top w:w="150" w:type="dxa"/>
              <w:left w:w="240" w:type="dxa"/>
              <w:bottom w:w="150" w:type="dxa"/>
              <w:right w:w="240" w:type="dxa"/>
            </w:tcMar>
            <w:vAlign w:val="center"/>
            <w:hideMark/>
          </w:tcPr>
          <w:p w14:paraId="5A6BE95C" w14:textId="77777777" w:rsidR="006E6CF2" w:rsidRPr="00033F8A" w:rsidRDefault="006E6CF2" w:rsidP="006E6CF2">
            <w:pPr>
              <w:rPr>
                <w:rFonts w:ascii="Times New Roman" w:hAnsi="Times New Roman" w:cs="Times New Roman"/>
              </w:rPr>
            </w:pPr>
          </w:p>
        </w:tc>
        <w:tc>
          <w:tcPr>
            <w:tcW w:w="708" w:type="dxa"/>
            <w:tcBorders>
              <w:top w:val="single" w:sz="4" w:space="0" w:color="auto"/>
            </w:tcBorders>
            <w:tcMar>
              <w:top w:w="150" w:type="dxa"/>
              <w:left w:w="240" w:type="dxa"/>
              <w:bottom w:w="150" w:type="dxa"/>
              <w:right w:w="240" w:type="dxa"/>
            </w:tcMar>
            <w:vAlign w:val="center"/>
            <w:hideMark/>
          </w:tcPr>
          <w:p w14:paraId="78E454EC" w14:textId="77777777" w:rsidR="006E6CF2" w:rsidRPr="00033F8A" w:rsidRDefault="006E6CF2" w:rsidP="006E6CF2">
            <w:pPr>
              <w:rPr>
                <w:rFonts w:ascii="Times New Roman" w:hAnsi="Times New Roman" w:cs="Times New Roman"/>
              </w:rPr>
            </w:pPr>
          </w:p>
        </w:tc>
        <w:tc>
          <w:tcPr>
            <w:tcW w:w="851" w:type="dxa"/>
            <w:tcBorders>
              <w:top w:val="single" w:sz="4" w:space="0" w:color="auto"/>
            </w:tcBorders>
            <w:tcMar>
              <w:top w:w="150" w:type="dxa"/>
              <w:left w:w="240" w:type="dxa"/>
              <w:bottom w:w="150" w:type="dxa"/>
              <w:right w:w="240" w:type="dxa"/>
            </w:tcMar>
            <w:vAlign w:val="center"/>
            <w:hideMark/>
          </w:tcPr>
          <w:p w14:paraId="6A9ACE27" w14:textId="77777777" w:rsidR="006E6CF2" w:rsidRPr="00033F8A" w:rsidRDefault="006E6CF2" w:rsidP="006E6CF2">
            <w:pPr>
              <w:rPr>
                <w:rFonts w:ascii="Times New Roman" w:hAnsi="Times New Roman" w:cs="Times New Roman"/>
              </w:rPr>
            </w:pPr>
          </w:p>
        </w:tc>
        <w:tc>
          <w:tcPr>
            <w:tcW w:w="850" w:type="dxa"/>
            <w:tcBorders>
              <w:top w:val="single" w:sz="4" w:space="0" w:color="auto"/>
            </w:tcBorders>
            <w:tcMar>
              <w:top w:w="150" w:type="dxa"/>
              <w:left w:w="240" w:type="dxa"/>
              <w:bottom w:w="150" w:type="dxa"/>
              <w:right w:w="240" w:type="dxa"/>
            </w:tcMar>
            <w:vAlign w:val="center"/>
            <w:hideMark/>
          </w:tcPr>
          <w:p w14:paraId="4FE3A813" w14:textId="77777777" w:rsidR="006E6CF2" w:rsidRPr="00033F8A" w:rsidRDefault="006E6CF2" w:rsidP="006E6CF2">
            <w:pPr>
              <w:rPr>
                <w:rFonts w:ascii="Times New Roman" w:hAnsi="Times New Roman" w:cs="Times New Roman"/>
              </w:rPr>
            </w:pPr>
          </w:p>
        </w:tc>
        <w:tc>
          <w:tcPr>
            <w:tcW w:w="851" w:type="dxa"/>
            <w:tcBorders>
              <w:top w:val="single" w:sz="4" w:space="0" w:color="auto"/>
            </w:tcBorders>
            <w:tcMar>
              <w:top w:w="150" w:type="dxa"/>
              <w:left w:w="240" w:type="dxa"/>
              <w:bottom w:w="150" w:type="dxa"/>
              <w:right w:w="240" w:type="dxa"/>
            </w:tcMar>
            <w:vAlign w:val="center"/>
            <w:hideMark/>
          </w:tcPr>
          <w:p w14:paraId="6BB3CF0B" w14:textId="77777777" w:rsidR="006E6CF2" w:rsidRPr="00033F8A" w:rsidRDefault="006E6CF2" w:rsidP="006E6CF2">
            <w:pPr>
              <w:rPr>
                <w:rFonts w:ascii="Times New Roman" w:hAnsi="Times New Roman" w:cs="Times New Roman"/>
              </w:rPr>
            </w:pPr>
          </w:p>
        </w:tc>
        <w:tc>
          <w:tcPr>
            <w:tcW w:w="850" w:type="dxa"/>
            <w:tcBorders>
              <w:top w:val="single" w:sz="4" w:space="0" w:color="auto"/>
            </w:tcBorders>
            <w:tcMar>
              <w:top w:w="150" w:type="dxa"/>
              <w:left w:w="240" w:type="dxa"/>
              <w:bottom w:w="150" w:type="dxa"/>
              <w:right w:w="240" w:type="dxa"/>
            </w:tcMar>
            <w:vAlign w:val="center"/>
            <w:hideMark/>
          </w:tcPr>
          <w:p w14:paraId="6C1AD9A5" w14:textId="77777777" w:rsidR="006E6CF2" w:rsidRPr="00033F8A" w:rsidRDefault="006E6CF2" w:rsidP="006E6CF2">
            <w:pPr>
              <w:rPr>
                <w:rFonts w:ascii="Times New Roman" w:hAnsi="Times New Roman" w:cs="Times New Roman"/>
              </w:rPr>
            </w:pPr>
          </w:p>
        </w:tc>
        <w:tc>
          <w:tcPr>
            <w:tcW w:w="1418" w:type="dxa"/>
            <w:tcBorders>
              <w:top w:val="single" w:sz="4" w:space="0" w:color="auto"/>
            </w:tcBorders>
            <w:tcMar>
              <w:top w:w="150" w:type="dxa"/>
              <w:left w:w="240" w:type="dxa"/>
              <w:bottom w:w="150" w:type="dxa"/>
              <w:right w:w="0" w:type="dxa"/>
            </w:tcMar>
            <w:vAlign w:val="center"/>
            <w:hideMark/>
          </w:tcPr>
          <w:p w14:paraId="5D1C8A7F" w14:textId="77777777" w:rsidR="006E6CF2" w:rsidRPr="00033F8A" w:rsidRDefault="006E6CF2" w:rsidP="006E6CF2">
            <w:pPr>
              <w:rPr>
                <w:rFonts w:ascii="Times New Roman" w:hAnsi="Times New Roman" w:cs="Times New Roman"/>
              </w:rPr>
            </w:pPr>
          </w:p>
        </w:tc>
      </w:tr>
      <w:tr w:rsidR="00033F8A" w:rsidRPr="00033F8A" w14:paraId="7041584C" w14:textId="77777777" w:rsidTr="00DE694E">
        <w:tc>
          <w:tcPr>
            <w:tcW w:w="1417" w:type="dxa"/>
            <w:tcMar>
              <w:top w:w="150" w:type="dxa"/>
              <w:left w:w="0" w:type="dxa"/>
              <w:bottom w:w="150" w:type="dxa"/>
              <w:right w:w="240" w:type="dxa"/>
            </w:tcMar>
            <w:vAlign w:val="center"/>
            <w:hideMark/>
          </w:tcPr>
          <w:p w14:paraId="577F7C93"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lastRenderedPageBreak/>
              <w:t>Eligibility screen</w:t>
            </w:r>
          </w:p>
        </w:tc>
        <w:tc>
          <w:tcPr>
            <w:tcW w:w="1418" w:type="dxa"/>
            <w:tcMar>
              <w:top w:w="150" w:type="dxa"/>
              <w:left w:w="240" w:type="dxa"/>
              <w:bottom w:w="150" w:type="dxa"/>
              <w:right w:w="240" w:type="dxa"/>
            </w:tcMar>
            <w:vAlign w:val="center"/>
            <w:hideMark/>
          </w:tcPr>
          <w:p w14:paraId="50DAECA4"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843" w:type="dxa"/>
            <w:tcMar>
              <w:top w:w="150" w:type="dxa"/>
              <w:left w:w="240" w:type="dxa"/>
              <w:bottom w:w="150" w:type="dxa"/>
              <w:right w:w="240" w:type="dxa"/>
            </w:tcMar>
            <w:vAlign w:val="center"/>
            <w:hideMark/>
          </w:tcPr>
          <w:p w14:paraId="79B5363A"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240" w:type="dxa"/>
            </w:tcMar>
            <w:vAlign w:val="center"/>
            <w:hideMark/>
          </w:tcPr>
          <w:p w14:paraId="37EE496E" w14:textId="77777777" w:rsidR="006E6CF2" w:rsidRPr="00033F8A" w:rsidRDefault="006E6CF2" w:rsidP="006E6CF2">
            <w:pPr>
              <w:rPr>
                <w:rFonts w:ascii="Times New Roman" w:hAnsi="Times New Roman" w:cs="Times New Roman"/>
              </w:rPr>
            </w:pPr>
          </w:p>
        </w:tc>
        <w:tc>
          <w:tcPr>
            <w:tcW w:w="708" w:type="dxa"/>
            <w:tcMar>
              <w:top w:w="150" w:type="dxa"/>
              <w:left w:w="240" w:type="dxa"/>
              <w:bottom w:w="150" w:type="dxa"/>
              <w:right w:w="240" w:type="dxa"/>
            </w:tcMar>
            <w:vAlign w:val="center"/>
            <w:hideMark/>
          </w:tcPr>
          <w:p w14:paraId="4B83CC43"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1A40153D"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277B720B"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45D2E244"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463F357A"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0" w:type="dxa"/>
            </w:tcMar>
            <w:vAlign w:val="center"/>
            <w:hideMark/>
          </w:tcPr>
          <w:p w14:paraId="01F35CF2" w14:textId="77777777" w:rsidR="006E6CF2" w:rsidRPr="00033F8A" w:rsidRDefault="006E6CF2" w:rsidP="006E6CF2">
            <w:pPr>
              <w:rPr>
                <w:rFonts w:ascii="Times New Roman" w:hAnsi="Times New Roman" w:cs="Times New Roman"/>
              </w:rPr>
            </w:pPr>
          </w:p>
        </w:tc>
      </w:tr>
      <w:tr w:rsidR="00033F8A" w:rsidRPr="00033F8A" w14:paraId="75C6E229" w14:textId="77777777" w:rsidTr="00DE694E">
        <w:tc>
          <w:tcPr>
            <w:tcW w:w="1417" w:type="dxa"/>
            <w:tcMar>
              <w:top w:w="150" w:type="dxa"/>
              <w:left w:w="0" w:type="dxa"/>
              <w:bottom w:w="150" w:type="dxa"/>
              <w:right w:w="240" w:type="dxa"/>
            </w:tcMar>
            <w:vAlign w:val="center"/>
            <w:hideMark/>
          </w:tcPr>
          <w:p w14:paraId="15E55825"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Informed consent</w:t>
            </w:r>
          </w:p>
        </w:tc>
        <w:tc>
          <w:tcPr>
            <w:tcW w:w="1418" w:type="dxa"/>
            <w:tcMar>
              <w:top w:w="150" w:type="dxa"/>
              <w:left w:w="240" w:type="dxa"/>
              <w:bottom w:w="150" w:type="dxa"/>
              <w:right w:w="240" w:type="dxa"/>
            </w:tcMar>
            <w:vAlign w:val="center"/>
            <w:hideMark/>
          </w:tcPr>
          <w:p w14:paraId="1A7349A7"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843" w:type="dxa"/>
            <w:tcMar>
              <w:top w:w="150" w:type="dxa"/>
              <w:left w:w="240" w:type="dxa"/>
              <w:bottom w:w="150" w:type="dxa"/>
              <w:right w:w="240" w:type="dxa"/>
            </w:tcMar>
            <w:vAlign w:val="center"/>
            <w:hideMark/>
          </w:tcPr>
          <w:p w14:paraId="53DD46B6"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240" w:type="dxa"/>
            </w:tcMar>
            <w:vAlign w:val="center"/>
            <w:hideMark/>
          </w:tcPr>
          <w:p w14:paraId="6AEE930D" w14:textId="77777777" w:rsidR="006E6CF2" w:rsidRPr="00033F8A" w:rsidRDefault="006E6CF2" w:rsidP="006E6CF2">
            <w:pPr>
              <w:rPr>
                <w:rFonts w:ascii="Times New Roman" w:hAnsi="Times New Roman" w:cs="Times New Roman"/>
              </w:rPr>
            </w:pPr>
          </w:p>
        </w:tc>
        <w:tc>
          <w:tcPr>
            <w:tcW w:w="708" w:type="dxa"/>
            <w:tcMar>
              <w:top w:w="150" w:type="dxa"/>
              <w:left w:w="240" w:type="dxa"/>
              <w:bottom w:w="150" w:type="dxa"/>
              <w:right w:w="240" w:type="dxa"/>
            </w:tcMar>
            <w:vAlign w:val="center"/>
            <w:hideMark/>
          </w:tcPr>
          <w:p w14:paraId="5D8C38E1"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676F03F3"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28F776EB"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3899CF97"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7FBDB2DC"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0" w:type="dxa"/>
            </w:tcMar>
            <w:vAlign w:val="center"/>
            <w:hideMark/>
          </w:tcPr>
          <w:p w14:paraId="2B83AE6A" w14:textId="77777777" w:rsidR="006E6CF2" w:rsidRPr="00033F8A" w:rsidRDefault="006E6CF2" w:rsidP="006E6CF2">
            <w:pPr>
              <w:rPr>
                <w:rFonts w:ascii="Times New Roman" w:hAnsi="Times New Roman" w:cs="Times New Roman"/>
              </w:rPr>
            </w:pPr>
          </w:p>
        </w:tc>
      </w:tr>
      <w:tr w:rsidR="00033F8A" w:rsidRPr="00033F8A" w14:paraId="3EB9E1A3" w14:textId="77777777" w:rsidTr="00DE694E">
        <w:tc>
          <w:tcPr>
            <w:tcW w:w="1417" w:type="dxa"/>
            <w:tcMar>
              <w:top w:w="150" w:type="dxa"/>
              <w:left w:w="0" w:type="dxa"/>
              <w:bottom w:w="150" w:type="dxa"/>
              <w:right w:w="240" w:type="dxa"/>
            </w:tcMar>
            <w:vAlign w:val="center"/>
            <w:hideMark/>
          </w:tcPr>
          <w:p w14:paraId="69DF2DF0"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Baseline demographics</w:t>
            </w:r>
          </w:p>
        </w:tc>
        <w:tc>
          <w:tcPr>
            <w:tcW w:w="1418" w:type="dxa"/>
            <w:tcMar>
              <w:top w:w="150" w:type="dxa"/>
              <w:left w:w="240" w:type="dxa"/>
              <w:bottom w:w="150" w:type="dxa"/>
              <w:right w:w="240" w:type="dxa"/>
            </w:tcMar>
            <w:vAlign w:val="center"/>
            <w:hideMark/>
          </w:tcPr>
          <w:p w14:paraId="31F23185"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843" w:type="dxa"/>
            <w:tcMar>
              <w:top w:w="150" w:type="dxa"/>
              <w:left w:w="240" w:type="dxa"/>
              <w:bottom w:w="150" w:type="dxa"/>
              <w:right w:w="240" w:type="dxa"/>
            </w:tcMar>
            <w:vAlign w:val="center"/>
            <w:hideMark/>
          </w:tcPr>
          <w:p w14:paraId="33629349"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240" w:type="dxa"/>
            </w:tcMar>
            <w:vAlign w:val="center"/>
            <w:hideMark/>
          </w:tcPr>
          <w:p w14:paraId="67B9146F" w14:textId="77777777" w:rsidR="006E6CF2" w:rsidRPr="00033F8A" w:rsidRDefault="006E6CF2" w:rsidP="006E6CF2">
            <w:pPr>
              <w:rPr>
                <w:rFonts w:ascii="Times New Roman" w:hAnsi="Times New Roman" w:cs="Times New Roman"/>
              </w:rPr>
            </w:pPr>
          </w:p>
        </w:tc>
        <w:tc>
          <w:tcPr>
            <w:tcW w:w="708" w:type="dxa"/>
            <w:tcMar>
              <w:top w:w="150" w:type="dxa"/>
              <w:left w:w="240" w:type="dxa"/>
              <w:bottom w:w="150" w:type="dxa"/>
              <w:right w:w="240" w:type="dxa"/>
            </w:tcMar>
            <w:vAlign w:val="center"/>
            <w:hideMark/>
          </w:tcPr>
          <w:p w14:paraId="4251DA04"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59259050"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111E2422"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4C5CE260"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2265554B"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0" w:type="dxa"/>
            </w:tcMar>
            <w:vAlign w:val="center"/>
            <w:hideMark/>
          </w:tcPr>
          <w:p w14:paraId="2485DE9D" w14:textId="77777777" w:rsidR="006E6CF2" w:rsidRPr="00033F8A" w:rsidRDefault="006E6CF2" w:rsidP="006E6CF2">
            <w:pPr>
              <w:rPr>
                <w:rFonts w:ascii="Times New Roman" w:hAnsi="Times New Roman" w:cs="Times New Roman"/>
              </w:rPr>
            </w:pPr>
          </w:p>
        </w:tc>
      </w:tr>
      <w:tr w:rsidR="00033F8A" w:rsidRPr="00033F8A" w14:paraId="589826F9" w14:textId="77777777" w:rsidTr="00DE694E">
        <w:tc>
          <w:tcPr>
            <w:tcW w:w="1417" w:type="dxa"/>
            <w:tcMar>
              <w:top w:w="150" w:type="dxa"/>
              <w:left w:w="0" w:type="dxa"/>
              <w:bottom w:w="150" w:type="dxa"/>
              <w:right w:w="240" w:type="dxa"/>
            </w:tcMar>
            <w:vAlign w:val="center"/>
            <w:hideMark/>
          </w:tcPr>
          <w:p w14:paraId="7C11F152"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Randomization</w:t>
            </w:r>
          </w:p>
        </w:tc>
        <w:tc>
          <w:tcPr>
            <w:tcW w:w="1418" w:type="dxa"/>
            <w:tcMar>
              <w:top w:w="150" w:type="dxa"/>
              <w:left w:w="240" w:type="dxa"/>
              <w:bottom w:w="150" w:type="dxa"/>
              <w:right w:w="240" w:type="dxa"/>
            </w:tcMar>
            <w:vAlign w:val="center"/>
            <w:hideMark/>
          </w:tcPr>
          <w:p w14:paraId="5763BF17" w14:textId="77777777" w:rsidR="006E6CF2" w:rsidRPr="00033F8A" w:rsidRDefault="006E6CF2" w:rsidP="006E6CF2">
            <w:pPr>
              <w:rPr>
                <w:rFonts w:ascii="Times New Roman" w:hAnsi="Times New Roman" w:cs="Times New Roman"/>
              </w:rPr>
            </w:pPr>
          </w:p>
        </w:tc>
        <w:tc>
          <w:tcPr>
            <w:tcW w:w="1843" w:type="dxa"/>
            <w:tcMar>
              <w:top w:w="150" w:type="dxa"/>
              <w:left w:w="240" w:type="dxa"/>
              <w:bottom w:w="150" w:type="dxa"/>
              <w:right w:w="240" w:type="dxa"/>
            </w:tcMar>
            <w:vAlign w:val="center"/>
            <w:hideMark/>
          </w:tcPr>
          <w:p w14:paraId="28A6A934"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 (pre</w:t>
            </w:r>
            <w:r w:rsidRPr="00033F8A">
              <w:rPr>
                <w:rFonts w:ascii="Times New Roman" w:hAnsi="Times New Roman" w:cs="Times New Roman"/>
              </w:rPr>
              <w:noBreakHyphen/>
              <w:t>op)</w:t>
            </w:r>
          </w:p>
        </w:tc>
        <w:tc>
          <w:tcPr>
            <w:tcW w:w="1418" w:type="dxa"/>
            <w:tcMar>
              <w:top w:w="150" w:type="dxa"/>
              <w:left w:w="240" w:type="dxa"/>
              <w:bottom w:w="150" w:type="dxa"/>
              <w:right w:w="240" w:type="dxa"/>
            </w:tcMar>
            <w:vAlign w:val="center"/>
            <w:hideMark/>
          </w:tcPr>
          <w:p w14:paraId="1CB5ED2F" w14:textId="77777777" w:rsidR="006E6CF2" w:rsidRPr="00033F8A" w:rsidRDefault="006E6CF2" w:rsidP="006E6CF2">
            <w:pPr>
              <w:rPr>
                <w:rFonts w:ascii="Times New Roman" w:hAnsi="Times New Roman" w:cs="Times New Roman"/>
              </w:rPr>
            </w:pPr>
          </w:p>
        </w:tc>
        <w:tc>
          <w:tcPr>
            <w:tcW w:w="708" w:type="dxa"/>
            <w:tcMar>
              <w:top w:w="150" w:type="dxa"/>
              <w:left w:w="240" w:type="dxa"/>
              <w:bottom w:w="150" w:type="dxa"/>
              <w:right w:w="240" w:type="dxa"/>
            </w:tcMar>
            <w:vAlign w:val="center"/>
            <w:hideMark/>
          </w:tcPr>
          <w:p w14:paraId="0A58EDE2"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10AAA75C"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7DE326FF"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0E5BF5C8"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78F0B7EB"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0" w:type="dxa"/>
            </w:tcMar>
            <w:vAlign w:val="center"/>
            <w:hideMark/>
          </w:tcPr>
          <w:p w14:paraId="45CCB067" w14:textId="77777777" w:rsidR="006E6CF2" w:rsidRPr="00033F8A" w:rsidRDefault="006E6CF2" w:rsidP="006E6CF2">
            <w:pPr>
              <w:rPr>
                <w:rFonts w:ascii="Times New Roman" w:hAnsi="Times New Roman" w:cs="Times New Roman"/>
              </w:rPr>
            </w:pPr>
          </w:p>
        </w:tc>
      </w:tr>
      <w:tr w:rsidR="00033F8A" w:rsidRPr="00033F8A" w14:paraId="2EDC5E7A" w14:textId="77777777" w:rsidTr="00DE694E">
        <w:tc>
          <w:tcPr>
            <w:tcW w:w="1417" w:type="dxa"/>
            <w:tcMar>
              <w:top w:w="150" w:type="dxa"/>
              <w:left w:w="0" w:type="dxa"/>
              <w:bottom w:w="150" w:type="dxa"/>
              <w:right w:w="240" w:type="dxa"/>
            </w:tcMar>
            <w:vAlign w:val="center"/>
            <w:hideMark/>
          </w:tcPr>
          <w:p w14:paraId="601C0A34" w14:textId="77777777" w:rsidR="006E6CF2" w:rsidRPr="00033F8A" w:rsidRDefault="006E6CF2" w:rsidP="006E6CF2">
            <w:pPr>
              <w:rPr>
                <w:rFonts w:ascii="Times New Roman" w:hAnsi="Times New Roman" w:cs="Times New Roman"/>
              </w:rPr>
            </w:pPr>
            <w:r w:rsidRPr="00033F8A">
              <w:rPr>
                <w:rFonts w:ascii="Times New Roman" w:hAnsi="Times New Roman" w:cs="Times New Roman"/>
                <w:b/>
                <w:bCs/>
              </w:rPr>
              <w:t>Interventions</w:t>
            </w:r>
          </w:p>
        </w:tc>
        <w:tc>
          <w:tcPr>
            <w:tcW w:w="1418" w:type="dxa"/>
            <w:tcMar>
              <w:top w:w="150" w:type="dxa"/>
              <w:left w:w="240" w:type="dxa"/>
              <w:bottom w:w="150" w:type="dxa"/>
              <w:right w:w="240" w:type="dxa"/>
            </w:tcMar>
            <w:vAlign w:val="center"/>
            <w:hideMark/>
          </w:tcPr>
          <w:p w14:paraId="2EC04E60" w14:textId="77777777" w:rsidR="006E6CF2" w:rsidRPr="00033F8A" w:rsidRDefault="006E6CF2" w:rsidP="006E6CF2">
            <w:pPr>
              <w:rPr>
                <w:rFonts w:ascii="Times New Roman" w:hAnsi="Times New Roman" w:cs="Times New Roman"/>
              </w:rPr>
            </w:pPr>
          </w:p>
        </w:tc>
        <w:tc>
          <w:tcPr>
            <w:tcW w:w="1843" w:type="dxa"/>
            <w:tcMar>
              <w:top w:w="150" w:type="dxa"/>
              <w:left w:w="240" w:type="dxa"/>
              <w:bottom w:w="150" w:type="dxa"/>
              <w:right w:w="240" w:type="dxa"/>
            </w:tcMar>
            <w:vAlign w:val="center"/>
            <w:hideMark/>
          </w:tcPr>
          <w:p w14:paraId="228B786B"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240" w:type="dxa"/>
            </w:tcMar>
            <w:vAlign w:val="center"/>
            <w:hideMark/>
          </w:tcPr>
          <w:p w14:paraId="5B97558B" w14:textId="77777777" w:rsidR="006E6CF2" w:rsidRPr="00033F8A" w:rsidRDefault="006E6CF2" w:rsidP="006E6CF2">
            <w:pPr>
              <w:rPr>
                <w:rFonts w:ascii="Times New Roman" w:hAnsi="Times New Roman" w:cs="Times New Roman"/>
              </w:rPr>
            </w:pPr>
          </w:p>
        </w:tc>
        <w:tc>
          <w:tcPr>
            <w:tcW w:w="708" w:type="dxa"/>
            <w:tcMar>
              <w:top w:w="150" w:type="dxa"/>
              <w:left w:w="240" w:type="dxa"/>
              <w:bottom w:w="150" w:type="dxa"/>
              <w:right w:w="240" w:type="dxa"/>
            </w:tcMar>
            <w:vAlign w:val="center"/>
            <w:hideMark/>
          </w:tcPr>
          <w:p w14:paraId="57B9A9EF"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08B91A02"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40276C95"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437D7043"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3E4895E7"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0" w:type="dxa"/>
            </w:tcMar>
            <w:vAlign w:val="center"/>
            <w:hideMark/>
          </w:tcPr>
          <w:p w14:paraId="01AB976A" w14:textId="77777777" w:rsidR="006E6CF2" w:rsidRPr="00033F8A" w:rsidRDefault="006E6CF2" w:rsidP="006E6CF2">
            <w:pPr>
              <w:rPr>
                <w:rFonts w:ascii="Times New Roman" w:hAnsi="Times New Roman" w:cs="Times New Roman"/>
              </w:rPr>
            </w:pPr>
          </w:p>
        </w:tc>
      </w:tr>
      <w:tr w:rsidR="00033F8A" w:rsidRPr="00033F8A" w14:paraId="26F78640" w14:textId="77777777" w:rsidTr="00DE694E">
        <w:tc>
          <w:tcPr>
            <w:tcW w:w="1417" w:type="dxa"/>
            <w:tcMar>
              <w:top w:w="150" w:type="dxa"/>
              <w:left w:w="0" w:type="dxa"/>
              <w:bottom w:w="150" w:type="dxa"/>
              <w:right w:w="240" w:type="dxa"/>
            </w:tcMar>
            <w:vAlign w:val="center"/>
            <w:hideMark/>
          </w:tcPr>
          <w:p w14:paraId="5721452A"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Nerve block (IPACK+ACB)</w:t>
            </w:r>
          </w:p>
        </w:tc>
        <w:tc>
          <w:tcPr>
            <w:tcW w:w="1418" w:type="dxa"/>
            <w:tcMar>
              <w:top w:w="150" w:type="dxa"/>
              <w:left w:w="240" w:type="dxa"/>
              <w:bottom w:w="150" w:type="dxa"/>
              <w:right w:w="240" w:type="dxa"/>
            </w:tcMar>
            <w:vAlign w:val="center"/>
            <w:hideMark/>
          </w:tcPr>
          <w:p w14:paraId="32673ABE" w14:textId="77777777" w:rsidR="006E6CF2" w:rsidRPr="00033F8A" w:rsidRDefault="006E6CF2" w:rsidP="006E6CF2">
            <w:pPr>
              <w:rPr>
                <w:rFonts w:ascii="Times New Roman" w:hAnsi="Times New Roman" w:cs="Times New Roman"/>
              </w:rPr>
            </w:pPr>
          </w:p>
        </w:tc>
        <w:tc>
          <w:tcPr>
            <w:tcW w:w="1843" w:type="dxa"/>
            <w:tcMar>
              <w:top w:w="150" w:type="dxa"/>
              <w:left w:w="240" w:type="dxa"/>
              <w:bottom w:w="150" w:type="dxa"/>
              <w:right w:w="240" w:type="dxa"/>
            </w:tcMar>
            <w:vAlign w:val="center"/>
            <w:hideMark/>
          </w:tcPr>
          <w:p w14:paraId="3D4566BC"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418" w:type="dxa"/>
            <w:tcMar>
              <w:top w:w="150" w:type="dxa"/>
              <w:left w:w="240" w:type="dxa"/>
              <w:bottom w:w="150" w:type="dxa"/>
              <w:right w:w="240" w:type="dxa"/>
            </w:tcMar>
            <w:vAlign w:val="center"/>
            <w:hideMark/>
          </w:tcPr>
          <w:p w14:paraId="2A8320BA" w14:textId="77777777" w:rsidR="006E6CF2" w:rsidRPr="00033F8A" w:rsidRDefault="006E6CF2" w:rsidP="006E6CF2">
            <w:pPr>
              <w:rPr>
                <w:rFonts w:ascii="Times New Roman" w:hAnsi="Times New Roman" w:cs="Times New Roman"/>
              </w:rPr>
            </w:pPr>
          </w:p>
        </w:tc>
        <w:tc>
          <w:tcPr>
            <w:tcW w:w="708" w:type="dxa"/>
            <w:tcMar>
              <w:top w:w="150" w:type="dxa"/>
              <w:left w:w="240" w:type="dxa"/>
              <w:bottom w:w="150" w:type="dxa"/>
              <w:right w:w="240" w:type="dxa"/>
            </w:tcMar>
            <w:vAlign w:val="center"/>
            <w:hideMark/>
          </w:tcPr>
          <w:p w14:paraId="038B3EAA"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0FEFB0FD"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79659A58"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49DF2A43"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116535C4"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0" w:type="dxa"/>
            </w:tcMar>
            <w:vAlign w:val="center"/>
            <w:hideMark/>
          </w:tcPr>
          <w:p w14:paraId="72CC697B" w14:textId="77777777" w:rsidR="006E6CF2" w:rsidRPr="00033F8A" w:rsidRDefault="006E6CF2" w:rsidP="006E6CF2">
            <w:pPr>
              <w:rPr>
                <w:rFonts w:ascii="Times New Roman" w:hAnsi="Times New Roman" w:cs="Times New Roman"/>
              </w:rPr>
            </w:pPr>
          </w:p>
        </w:tc>
      </w:tr>
      <w:tr w:rsidR="00033F8A" w:rsidRPr="00033F8A" w14:paraId="34B980CE" w14:textId="77777777" w:rsidTr="00DE694E">
        <w:tc>
          <w:tcPr>
            <w:tcW w:w="1417" w:type="dxa"/>
            <w:tcMar>
              <w:top w:w="150" w:type="dxa"/>
              <w:left w:w="0" w:type="dxa"/>
              <w:bottom w:w="150" w:type="dxa"/>
              <w:right w:w="240" w:type="dxa"/>
            </w:tcMar>
            <w:vAlign w:val="center"/>
            <w:hideMark/>
          </w:tcPr>
          <w:p w14:paraId="00E614C1"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OFA or OBA general anesthesia</w:t>
            </w:r>
          </w:p>
        </w:tc>
        <w:tc>
          <w:tcPr>
            <w:tcW w:w="1418" w:type="dxa"/>
            <w:tcMar>
              <w:top w:w="150" w:type="dxa"/>
              <w:left w:w="240" w:type="dxa"/>
              <w:bottom w:w="150" w:type="dxa"/>
              <w:right w:w="240" w:type="dxa"/>
            </w:tcMar>
            <w:vAlign w:val="center"/>
            <w:hideMark/>
          </w:tcPr>
          <w:p w14:paraId="15B6D8E1" w14:textId="77777777" w:rsidR="006E6CF2" w:rsidRPr="00033F8A" w:rsidRDefault="006E6CF2" w:rsidP="006E6CF2">
            <w:pPr>
              <w:rPr>
                <w:rFonts w:ascii="Times New Roman" w:hAnsi="Times New Roman" w:cs="Times New Roman"/>
              </w:rPr>
            </w:pPr>
          </w:p>
        </w:tc>
        <w:tc>
          <w:tcPr>
            <w:tcW w:w="1843" w:type="dxa"/>
            <w:tcMar>
              <w:top w:w="150" w:type="dxa"/>
              <w:left w:w="240" w:type="dxa"/>
              <w:bottom w:w="150" w:type="dxa"/>
              <w:right w:w="240" w:type="dxa"/>
            </w:tcMar>
            <w:vAlign w:val="center"/>
            <w:hideMark/>
          </w:tcPr>
          <w:p w14:paraId="22AADC06"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418" w:type="dxa"/>
            <w:tcMar>
              <w:top w:w="150" w:type="dxa"/>
              <w:left w:w="240" w:type="dxa"/>
              <w:bottom w:w="150" w:type="dxa"/>
              <w:right w:w="240" w:type="dxa"/>
            </w:tcMar>
            <w:vAlign w:val="center"/>
            <w:hideMark/>
          </w:tcPr>
          <w:p w14:paraId="0FC79E93" w14:textId="77777777" w:rsidR="006E6CF2" w:rsidRPr="00033F8A" w:rsidRDefault="006E6CF2" w:rsidP="006E6CF2">
            <w:pPr>
              <w:rPr>
                <w:rFonts w:ascii="Times New Roman" w:hAnsi="Times New Roman" w:cs="Times New Roman"/>
              </w:rPr>
            </w:pPr>
          </w:p>
        </w:tc>
        <w:tc>
          <w:tcPr>
            <w:tcW w:w="708" w:type="dxa"/>
            <w:tcMar>
              <w:top w:w="150" w:type="dxa"/>
              <w:left w:w="240" w:type="dxa"/>
              <w:bottom w:w="150" w:type="dxa"/>
              <w:right w:w="240" w:type="dxa"/>
            </w:tcMar>
            <w:vAlign w:val="center"/>
            <w:hideMark/>
          </w:tcPr>
          <w:p w14:paraId="781B14B3"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41F60E6D"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17944357"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2DE82EFB"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3F5F2CE0"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0" w:type="dxa"/>
            </w:tcMar>
            <w:vAlign w:val="center"/>
            <w:hideMark/>
          </w:tcPr>
          <w:p w14:paraId="4149511C" w14:textId="77777777" w:rsidR="006E6CF2" w:rsidRPr="00033F8A" w:rsidRDefault="006E6CF2" w:rsidP="006E6CF2">
            <w:pPr>
              <w:rPr>
                <w:rFonts w:ascii="Times New Roman" w:hAnsi="Times New Roman" w:cs="Times New Roman"/>
              </w:rPr>
            </w:pPr>
          </w:p>
        </w:tc>
      </w:tr>
      <w:tr w:rsidR="00033F8A" w:rsidRPr="00033F8A" w14:paraId="55E502CE" w14:textId="77777777" w:rsidTr="00DE694E">
        <w:tc>
          <w:tcPr>
            <w:tcW w:w="1417" w:type="dxa"/>
            <w:tcMar>
              <w:top w:w="150" w:type="dxa"/>
              <w:left w:w="0" w:type="dxa"/>
              <w:bottom w:w="150" w:type="dxa"/>
              <w:right w:w="240" w:type="dxa"/>
            </w:tcMar>
            <w:vAlign w:val="center"/>
            <w:hideMark/>
          </w:tcPr>
          <w:p w14:paraId="4B8F2C50"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PCIA</w:t>
            </w:r>
          </w:p>
        </w:tc>
        <w:tc>
          <w:tcPr>
            <w:tcW w:w="1418" w:type="dxa"/>
            <w:tcMar>
              <w:top w:w="150" w:type="dxa"/>
              <w:left w:w="240" w:type="dxa"/>
              <w:bottom w:w="150" w:type="dxa"/>
              <w:right w:w="240" w:type="dxa"/>
            </w:tcMar>
            <w:vAlign w:val="center"/>
            <w:hideMark/>
          </w:tcPr>
          <w:p w14:paraId="4EA3CBDC" w14:textId="77777777" w:rsidR="006E6CF2" w:rsidRPr="00033F8A" w:rsidRDefault="006E6CF2" w:rsidP="006E6CF2">
            <w:pPr>
              <w:rPr>
                <w:rFonts w:ascii="Times New Roman" w:hAnsi="Times New Roman" w:cs="Times New Roman"/>
              </w:rPr>
            </w:pPr>
          </w:p>
        </w:tc>
        <w:tc>
          <w:tcPr>
            <w:tcW w:w="1843" w:type="dxa"/>
            <w:tcMar>
              <w:top w:w="150" w:type="dxa"/>
              <w:left w:w="240" w:type="dxa"/>
              <w:bottom w:w="150" w:type="dxa"/>
              <w:right w:w="240" w:type="dxa"/>
            </w:tcMar>
            <w:vAlign w:val="center"/>
            <w:hideMark/>
          </w:tcPr>
          <w:p w14:paraId="7CD085BE"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240" w:type="dxa"/>
            </w:tcMar>
            <w:vAlign w:val="center"/>
            <w:hideMark/>
          </w:tcPr>
          <w:p w14:paraId="66A7CD85"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708" w:type="dxa"/>
            <w:tcMar>
              <w:top w:w="150" w:type="dxa"/>
              <w:left w:w="240" w:type="dxa"/>
              <w:bottom w:w="150" w:type="dxa"/>
              <w:right w:w="240" w:type="dxa"/>
            </w:tcMar>
            <w:vAlign w:val="center"/>
            <w:hideMark/>
          </w:tcPr>
          <w:p w14:paraId="4E845F20"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1" w:type="dxa"/>
            <w:tcMar>
              <w:top w:w="150" w:type="dxa"/>
              <w:left w:w="240" w:type="dxa"/>
              <w:bottom w:w="150" w:type="dxa"/>
              <w:right w:w="240" w:type="dxa"/>
            </w:tcMar>
            <w:vAlign w:val="center"/>
            <w:hideMark/>
          </w:tcPr>
          <w:p w14:paraId="47423979"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0" w:type="dxa"/>
            <w:tcMar>
              <w:top w:w="150" w:type="dxa"/>
              <w:left w:w="240" w:type="dxa"/>
              <w:bottom w:w="150" w:type="dxa"/>
              <w:right w:w="240" w:type="dxa"/>
            </w:tcMar>
            <w:vAlign w:val="center"/>
            <w:hideMark/>
          </w:tcPr>
          <w:p w14:paraId="52A3B18B"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1" w:type="dxa"/>
            <w:tcMar>
              <w:top w:w="150" w:type="dxa"/>
              <w:left w:w="240" w:type="dxa"/>
              <w:bottom w:w="150" w:type="dxa"/>
              <w:right w:w="240" w:type="dxa"/>
            </w:tcMar>
            <w:vAlign w:val="center"/>
            <w:hideMark/>
          </w:tcPr>
          <w:p w14:paraId="6CDF127C"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0" w:type="dxa"/>
            <w:tcMar>
              <w:top w:w="150" w:type="dxa"/>
              <w:left w:w="240" w:type="dxa"/>
              <w:bottom w:w="150" w:type="dxa"/>
              <w:right w:w="240" w:type="dxa"/>
            </w:tcMar>
            <w:vAlign w:val="center"/>
            <w:hideMark/>
          </w:tcPr>
          <w:p w14:paraId="44D51BF4"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418" w:type="dxa"/>
            <w:tcMar>
              <w:top w:w="150" w:type="dxa"/>
              <w:left w:w="240" w:type="dxa"/>
              <w:bottom w:w="150" w:type="dxa"/>
              <w:right w:w="0" w:type="dxa"/>
            </w:tcMar>
            <w:vAlign w:val="center"/>
            <w:hideMark/>
          </w:tcPr>
          <w:p w14:paraId="3E9E31B0" w14:textId="77777777" w:rsidR="006E6CF2" w:rsidRPr="00033F8A" w:rsidRDefault="006E6CF2" w:rsidP="006E6CF2">
            <w:pPr>
              <w:rPr>
                <w:rFonts w:ascii="Times New Roman" w:hAnsi="Times New Roman" w:cs="Times New Roman"/>
              </w:rPr>
            </w:pPr>
          </w:p>
        </w:tc>
      </w:tr>
      <w:tr w:rsidR="00033F8A" w:rsidRPr="00033F8A" w14:paraId="3B044009" w14:textId="77777777" w:rsidTr="00DE694E">
        <w:tc>
          <w:tcPr>
            <w:tcW w:w="1417" w:type="dxa"/>
            <w:tcMar>
              <w:top w:w="150" w:type="dxa"/>
              <w:left w:w="0" w:type="dxa"/>
              <w:bottom w:w="150" w:type="dxa"/>
              <w:right w:w="240" w:type="dxa"/>
            </w:tcMar>
            <w:vAlign w:val="center"/>
            <w:hideMark/>
          </w:tcPr>
          <w:p w14:paraId="4DA978D2" w14:textId="77777777" w:rsidR="006E6CF2" w:rsidRPr="00033F8A" w:rsidRDefault="006E6CF2" w:rsidP="006E6CF2">
            <w:pPr>
              <w:rPr>
                <w:rFonts w:ascii="Times New Roman" w:hAnsi="Times New Roman" w:cs="Times New Roman"/>
              </w:rPr>
            </w:pPr>
            <w:r w:rsidRPr="00033F8A">
              <w:rPr>
                <w:rFonts w:ascii="Times New Roman" w:hAnsi="Times New Roman" w:cs="Times New Roman"/>
                <w:b/>
                <w:bCs/>
              </w:rPr>
              <w:t>Assessments</w:t>
            </w:r>
          </w:p>
        </w:tc>
        <w:tc>
          <w:tcPr>
            <w:tcW w:w="1418" w:type="dxa"/>
            <w:tcMar>
              <w:top w:w="150" w:type="dxa"/>
              <w:left w:w="240" w:type="dxa"/>
              <w:bottom w:w="150" w:type="dxa"/>
              <w:right w:w="240" w:type="dxa"/>
            </w:tcMar>
            <w:vAlign w:val="center"/>
            <w:hideMark/>
          </w:tcPr>
          <w:p w14:paraId="798CDDE9" w14:textId="77777777" w:rsidR="006E6CF2" w:rsidRPr="00033F8A" w:rsidRDefault="006E6CF2" w:rsidP="006E6CF2">
            <w:pPr>
              <w:rPr>
                <w:rFonts w:ascii="Times New Roman" w:hAnsi="Times New Roman" w:cs="Times New Roman"/>
              </w:rPr>
            </w:pPr>
          </w:p>
        </w:tc>
        <w:tc>
          <w:tcPr>
            <w:tcW w:w="1843" w:type="dxa"/>
            <w:tcMar>
              <w:top w:w="150" w:type="dxa"/>
              <w:left w:w="240" w:type="dxa"/>
              <w:bottom w:w="150" w:type="dxa"/>
              <w:right w:w="240" w:type="dxa"/>
            </w:tcMar>
            <w:vAlign w:val="center"/>
            <w:hideMark/>
          </w:tcPr>
          <w:p w14:paraId="2C2A3ABE"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240" w:type="dxa"/>
            </w:tcMar>
            <w:vAlign w:val="center"/>
            <w:hideMark/>
          </w:tcPr>
          <w:p w14:paraId="6B1C51AE" w14:textId="77777777" w:rsidR="006E6CF2" w:rsidRPr="00033F8A" w:rsidRDefault="006E6CF2" w:rsidP="006E6CF2">
            <w:pPr>
              <w:rPr>
                <w:rFonts w:ascii="Times New Roman" w:hAnsi="Times New Roman" w:cs="Times New Roman"/>
              </w:rPr>
            </w:pPr>
          </w:p>
        </w:tc>
        <w:tc>
          <w:tcPr>
            <w:tcW w:w="708" w:type="dxa"/>
            <w:tcMar>
              <w:top w:w="150" w:type="dxa"/>
              <w:left w:w="240" w:type="dxa"/>
              <w:bottom w:w="150" w:type="dxa"/>
              <w:right w:w="240" w:type="dxa"/>
            </w:tcMar>
            <w:vAlign w:val="center"/>
            <w:hideMark/>
          </w:tcPr>
          <w:p w14:paraId="38766511"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31100389"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4E6467C0"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7CED0770"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2C4359F6"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0" w:type="dxa"/>
            </w:tcMar>
            <w:vAlign w:val="center"/>
            <w:hideMark/>
          </w:tcPr>
          <w:p w14:paraId="2EDEF907" w14:textId="77777777" w:rsidR="006E6CF2" w:rsidRPr="00033F8A" w:rsidRDefault="006E6CF2" w:rsidP="006E6CF2">
            <w:pPr>
              <w:rPr>
                <w:rFonts w:ascii="Times New Roman" w:hAnsi="Times New Roman" w:cs="Times New Roman"/>
              </w:rPr>
            </w:pPr>
          </w:p>
        </w:tc>
      </w:tr>
      <w:tr w:rsidR="00033F8A" w:rsidRPr="00033F8A" w14:paraId="4269FDB6" w14:textId="77777777" w:rsidTr="00DE694E">
        <w:tc>
          <w:tcPr>
            <w:tcW w:w="1417" w:type="dxa"/>
            <w:tcMar>
              <w:top w:w="150" w:type="dxa"/>
              <w:left w:w="0" w:type="dxa"/>
              <w:bottom w:w="150" w:type="dxa"/>
              <w:right w:w="240" w:type="dxa"/>
            </w:tcMar>
            <w:vAlign w:val="center"/>
            <w:hideMark/>
          </w:tcPr>
          <w:p w14:paraId="2D195F7B"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Immune function (NK, etc.)</w:t>
            </w:r>
          </w:p>
        </w:tc>
        <w:tc>
          <w:tcPr>
            <w:tcW w:w="1418" w:type="dxa"/>
            <w:tcMar>
              <w:top w:w="150" w:type="dxa"/>
              <w:left w:w="240" w:type="dxa"/>
              <w:bottom w:w="150" w:type="dxa"/>
              <w:right w:w="240" w:type="dxa"/>
            </w:tcMar>
            <w:vAlign w:val="center"/>
            <w:hideMark/>
          </w:tcPr>
          <w:p w14:paraId="4170ACBA"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843" w:type="dxa"/>
            <w:tcMar>
              <w:top w:w="150" w:type="dxa"/>
              <w:left w:w="240" w:type="dxa"/>
              <w:bottom w:w="150" w:type="dxa"/>
              <w:right w:w="240" w:type="dxa"/>
            </w:tcMar>
            <w:vAlign w:val="center"/>
            <w:hideMark/>
          </w:tcPr>
          <w:p w14:paraId="1A9F3A82"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240" w:type="dxa"/>
            </w:tcMar>
            <w:vAlign w:val="center"/>
            <w:hideMark/>
          </w:tcPr>
          <w:p w14:paraId="69944605" w14:textId="77777777" w:rsidR="006E6CF2" w:rsidRPr="00033F8A" w:rsidRDefault="006E6CF2" w:rsidP="006E6CF2">
            <w:pPr>
              <w:rPr>
                <w:rFonts w:ascii="Times New Roman" w:hAnsi="Times New Roman" w:cs="Times New Roman"/>
              </w:rPr>
            </w:pPr>
          </w:p>
        </w:tc>
        <w:tc>
          <w:tcPr>
            <w:tcW w:w="708" w:type="dxa"/>
            <w:tcMar>
              <w:top w:w="150" w:type="dxa"/>
              <w:left w:w="240" w:type="dxa"/>
              <w:bottom w:w="150" w:type="dxa"/>
              <w:right w:w="240" w:type="dxa"/>
            </w:tcMar>
            <w:vAlign w:val="center"/>
            <w:hideMark/>
          </w:tcPr>
          <w:p w14:paraId="784F21E1"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0ED39C71"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67255D83"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1F8148DA"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0" w:type="dxa"/>
            <w:tcMar>
              <w:top w:w="150" w:type="dxa"/>
              <w:left w:w="240" w:type="dxa"/>
              <w:bottom w:w="150" w:type="dxa"/>
              <w:right w:w="240" w:type="dxa"/>
            </w:tcMar>
            <w:vAlign w:val="center"/>
            <w:hideMark/>
          </w:tcPr>
          <w:p w14:paraId="3DD49A01"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0" w:type="dxa"/>
            </w:tcMar>
            <w:vAlign w:val="center"/>
            <w:hideMark/>
          </w:tcPr>
          <w:p w14:paraId="2024E4CB" w14:textId="77777777" w:rsidR="006E6CF2" w:rsidRPr="00033F8A" w:rsidRDefault="006E6CF2" w:rsidP="006E6CF2">
            <w:pPr>
              <w:rPr>
                <w:rFonts w:ascii="Times New Roman" w:hAnsi="Times New Roman" w:cs="Times New Roman"/>
              </w:rPr>
            </w:pPr>
          </w:p>
        </w:tc>
      </w:tr>
      <w:tr w:rsidR="00033F8A" w:rsidRPr="00033F8A" w14:paraId="5AD61E14" w14:textId="77777777" w:rsidTr="00DE694E">
        <w:tc>
          <w:tcPr>
            <w:tcW w:w="1417" w:type="dxa"/>
            <w:tcMar>
              <w:top w:w="150" w:type="dxa"/>
              <w:left w:w="0" w:type="dxa"/>
              <w:bottom w:w="150" w:type="dxa"/>
              <w:right w:w="240" w:type="dxa"/>
            </w:tcMar>
            <w:vAlign w:val="center"/>
            <w:hideMark/>
          </w:tcPr>
          <w:p w14:paraId="77371145"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VAS pain score</w:t>
            </w:r>
          </w:p>
        </w:tc>
        <w:tc>
          <w:tcPr>
            <w:tcW w:w="1418" w:type="dxa"/>
            <w:tcMar>
              <w:top w:w="150" w:type="dxa"/>
              <w:left w:w="240" w:type="dxa"/>
              <w:bottom w:w="150" w:type="dxa"/>
              <w:right w:w="240" w:type="dxa"/>
            </w:tcMar>
            <w:vAlign w:val="center"/>
            <w:hideMark/>
          </w:tcPr>
          <w:p w14:paraId="169E8253"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843" w:type="dxa"/>
            <w:tcMar>
              <w:top w:w="150" w:type="dxa"/>
              <w:left w:w="240" w:type="dxa"/>
              <w:bottom w:w="150" w:type="dxa"/>
              <w:right w:w="240" w:type="dxa"/>
            </w:tcMar>
            <w:vAlign w:val="center"/>
            <w:hideMark/>
          </w:tcPr>
          <w:p w14:paraId="59FA602D"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240" w:type="dxa"/>
            </w:tcMar>
            <w:vAlign w:val="center"/>
            <w:hideMark/>
          </w:tcPr>
          <w:p w14:paraId="754876C3"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708" w:type="dxa"/>
            <w:tcMar>
              <w:top w:w="150" w:type="dxa"/>
              <w:left w:w="240" w:type="dxa"/>
              <w:bottom w:w="150" w:type="dxa"/>
              <w:right w:w="240" w:type="dxa"/>
            </w:tcMar>
            <w:vAlign w:val="center"/>
            <w:hideMark/>
          </w:tcPr>
          <w:p w14:paraId="7800FD90"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1" w:type="dxa"/>
            <w:tcMar>
              <w:top w:w="150" w:type="dxa"/>
              <w:left w:w="240" w:type="dxa"/>
              <w:bottom w:w="150" w:type="dxa"/>
              <w:right w:w="240" w:type="dxa"/>
            </w:tcMar>
            <w:vAlign w:val="center"/>
            <w:hideMark/>
          </w:tcPr>
          <w:p w14:paraId="590C7EB6"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0" w:type="dxa"/>
            <w:tcMar>
              <w:top w:w="150" w:type="dxa"/>
              <w:left w:w="240" w:type="dxa"/>
              <w:bottom w:w="150" w:type="dxa"/>
              <w:right w:w="240" w:type="dxa"/>
            </w:tcMar>
            <w:vAlign w:val="center"/>
            <w:hideMark/>
          </w:tcPr>
          <w:p w14:paraId="4F6600A1"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1" w:type="dxa"/>
            <w:tcMar>
              <w:top w:w="150" w:type="dxa"/>
              <w:left w:w="240" w:type="dxa"/>
              <w:bottom w:w="150" w:type="dxa"/>
              <w:right w:w="240" w:type="dxa"/>
            </w:tcMar>
            <w:vAlign w:val="center"/>
            <w:hideMark/>
          </w:tcPr>
          <w:p w14:paraId="17330BA3"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0" w:type="dxa"/>
            <w:tcMar>
              <w:top w:w="150" w:type="dxa"/>
              <w:left w:w="240" w:type="dxa"/>
              <w:bottom w:w="150" w:type="dxa"/>
              <w:right w:w="240" w:type="dxa"/>
            </w:tcMar>
            <w:vAlign w:val="center"/>
            <w:hideMark/>
          </w:tcPr>
          <w:p w14:paraId="1C523C51"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418" w:type="dxa"/>
            <w:tcMar>
              <w:top w:w="150" w:type="dxa"/>
              <w:left w:w="240" w:type="dxa"/>
              <w:bottom w:w="150" w:type="dxa"/>
              <w:right w:w="0" w:type="dxa"/>
            </w:tcMar>
            <w:vAlign w:val="center"/>
            <w:hideMark/>
          </w:tcPr>
          <w:p w14:paraId="19E0A993" w14:textId="77777777" w:rsidR="006E6CF2" w:rsidRPr="00033F8A" w:rsidRDefault="006E6CF2" w:rsidP="006E6CF2">
            <w:pPr>
              <w:rPr>
                <w:rFonts w:ascii="Times New Roman" w:hAnsi="Times New Roman" w:cs="Times New Roman"/>
              </w:rPr>
            </w:pPr>
          </w:p>
        </w:tc>
      </w:tr>
      <w:tr w:rsidR="00033F8A" w:rsidRPr="00033F8A" w14:paraId="3E797242" w14:textId="77777777" w:rsidTr="00DE694E">
        <w:tc>
          <w:tcPr>
            <w:tcW w:w="1417" w:type="dxa"/>
            <w:tcMar>
              <w:top w:w="150" w:type="dxa"/>
              <w:left w:w="0" w:type="dxa"/>
              <w:bottom w:w="150" w:type="dxa"/>
              <w:right w:w="240" w:type="dxa"/>
            </w:tcMar>
            <w:vAlign w:val="center"/>
            <w:hideMark/>
          </w:tcPr>
          <w:p w14:paraId="634CCF83"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Active knee flexion angle</w:t>
            </w:r>
          </w:p>
        </w:tc>
        <w:tc>
          <w:tcPr>
            <w:tcW w:w="1418" w:type="dxa"/>
            <w:tcMar>
              <w:top w:w="150" w:type="dxa"/>
              <w:left w:w="240" w:type="dxa"/>
              <w:bottom w:w="150" w:type="dxa"/>
              <w:right w:w="240" w:type="dxa"/>
            </w:tcMar>
            <w:vAlign w:val="center"/>
            <w:hideMark/>
          </w:tcPr>
          <w:p w14:paraId="14C1C429"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843" w:type="dxa"/>
            <w:tcMar>
              <w:top w:w="150" w:type="dxa"/>
              <w:left w:w="240" w:type="dxa"/>
              <w:bottom w:w="150" w:type="dxa"/>
              <w:right w:w="240" w:type="dxa"/>
            </w:tcMar>
            <w:vAlign w:val="center"/>
            <w:hideMark/>
          </w:tcPr>
          <w:p w14:paraId="688F1E20"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240" w:type="dxa"/>
            </w:tcMar>
            <w:vAlign w:val="center"/>
            <w:hideMark/>
          </w:tcPr>
          <w:p w14:paraId="5583AB88" w14:textId="77777777" w:rsidR="006E6CF2" w:rsidRPr="00033F8A" w:rsidRDefault="006E6CF2" w:rsidP="006E6CF2">
            <w:pPr>
              <w:rPr>
                <w:rFonts w:ascii="Times New Roman" w:hAnsi="Times New Roman" w:cs="Times New Roman"/>
              </w:rPr>
            </w:pPr>
          </w:p>
        </w:tc>
        <w:tc>
          <w:tcPr>
            <w:tcW w:w="708" w:type="dxa"/>
            <w:tcMar>
              <w:top w:w="150" w:type="dxa"/>
              <w:left w:w="240" w:type="dxa"/>
              <w:bottom w:w="150" w:type="dxa"/>
              <w:right w:w="240" w:type="dxa"/>
            </w:tcMar>
            <w:vAlign w:val="center"/>
            <w:hideMark/>
          </w:tcPr>
          <w:p w14:paraId="37586E8D"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5695F183"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515F03B5" w14:textId="5F61B72B" w:rsidR="006E6CF2" w:rsidRPr="00033F8A" w:rsidRDefault="006E6CF2" w:rsidP="006E6CF2">
            <w:pPr>
              <w:rPr>
                <w:rFonts w:ascii="Times New Roman" w:hAnsi="Times New Roman" w:cs="Times New Roman" w:hint="eastAsia"/>
                <w:strike/>
              </w:rPr>
            </w:pPr>
          </w:p>
        </w:tc>
        <w:tc>
          <w:tcPr>
            <w:tcW w:w="851" w:type="dxa"/>
            <w:tcMar>
              <w:top w:w="150" w:type="dxa"/>
              <w:left w:w="240" w:type="dxa"/>
              <w:bottom w:w="150" w:type="dxa"/>
              <w:right w:w="240" w:type="dxa"/>
            </w:tcMar>
            <w:vAlign w:val="center"/>
            <w:hideMark/>
          </w:tcPr>
          <w:p w14:paraId="451E1DC8"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0" w:type="dxa"/>
            <w:tcMar>
              <w:top w:w="150" w:type="dxa"/>
              <w:left w:w="240" w:type="dxa"/>
              <w:bottom w:w="150" w:type="dxa"/>
              <w:right w:w="240" w:type="dxa"/>
            </w:tcMar>
            <w:vAlign w:val="center"/>
            <w:hideMark/>
          </w:tcPr>
          <w:p w14:paraId="2F695221"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418" w:type="dxa"/>
            <w:tcMar>
              <w:top w:w="150" w:type="dxa"/>
              <w:left w:w="240" w:type="dxa"/>
              <w:bottom w:w="150" w:type="dxa"/>
              <w:right w:w="0" w:type="dxa"/>
            </w:tcMar>
            <w:vAlign w:val="center"/>
            <w:hideMark/>
          </w:tcPr>
          <w:p w14:paraId="768098F9" w14:textId="77777777" w:rsidR="006E6CF2" w:rsidRPr="00033F8A" w:rsidRDefault="006E6CF2" w:rsidP="006E6CF2">
            <w:pPr>
              <w:rPr>
                <w:rFonts w:ascii="Times New Roman" w:hAnsi="Times New Roman" w:cs="Times New Roman"/>
              </w:rPr>
            </w:pPr>
          </w:p>
        </w:tc>
      </w:tr>
      <w:tr w:rsidR="00033F8A" w:rsidRPr="00033F8A" w14:paraId="5BAB2531" w14:textId="77777777" w:rsidTr="00DE694E">
        <w:tc>
          <w:tcPr>
            <w:tcW w:w="1417" w:type="dxa"/>
            <w:tcMar>
              <w:top w:w="150" w:type="dxa"/>
              <w:left w:w="0" w:type="dxa"/>
              <w:bottom w:w="150" w:type="dxa"/>
              <w:right w:w="240" w:type="dxa"/>
            </w:tcMar>
            <w:vAlign w:val="center"/>
            <w:hideMark/>
          </w:tcPr>
          <w:p w14:paraId="542113BC"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Walking distance</w:t>
            </w:r>
          </w:p>
        </w:tc>
        <w:tc>
          <w:tcPr>
            <w:tcW w:w="1418" w:type="dxa"/>
            <w:tcMar>
              <w:top w:w="150" w:type="dxa"/>
              <w:left w:w="240" w:type="dxa"/>
              <w:bottom w:w="150" w:type="dxa"/>
              <w:right w:w="240" w:type="dxa"/>
            </w:tcMar>
            <w:vAlign w:val="center"/>
            <w:hideMark/>
          </w:tcPr>
          <w:p w14:paraId="13FEF143" w14:textId="77777777" w:rsidR="006E6CF2" w:rsidRPr="00033F8A" w:rsidRDefault="006E6CF2" w:rsidP="006E6CF2">
            <w:pPr>
              <w:rPr>
                <w:rFonts w:ascii="Times New Roman" w:hAnsi="Times New Roman" w:cs="Times New Roman"/>
              </w:rPr>
            </w:pPr>
          </w:p>
        </w:tc>
        <w:tc>
          <w:tcPr>
            <w:tcW w:w="1843" w:type="dxa"/>
            <w:tcMar>
              <w:top w:w="150" w:type="dxa"/>
              <w:left w:w="240" w:type="dxa"/>
              <w:bottom w:w="150" w:type="dxa"/>
              <w:right w:w="240" w:type="dxa"/>
            </w:tcMar>
            <w:vAlign w:val="center"/>
            <w:hideMark/>
          </w:tcPr>
          <w:p w14:paraId="367A4246"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240" w:type="dxa"/>
            </w:tcMar>
            <w:vAlign w:val="center"/>
            <w:hideMark/>
          </w:tcPr>
          <w:p w14:paraId="0B4D5458" w14:textId="77777777" w:rsidR="006E6CF2" w:rsidRPr="00033F8A" w:rsidRDefault="006E6CF2" w:rsidP="006E6CF2">
            <w:pPr>
              <w:rPr>
                <w:rFonts w:ascii="Times New Roman" w:hAnsi="Times New Roman" w:cs="Times New Roman"/>
              </w:rPr>
            </w:pPr>
          </w:p>
        </w:tc>
        <w:tc>
          <w:tcPr>
            <w:tcW w:w="708" w:type="dxa"/>
            <w:tcMar>
              <w:top w:w="150" w:type="dxa"/>
              <w:left w:w="240" w:type="dxa"/>
              <w:bottom w:w="150" w:type="dxa"/>
              <w:right w:w="240" w:type="dxa"/>
            </w:tcMar>
            <w:vAlign w:val="center"/>
            <w:hideMark/>
          </w:tcPr>
          <w:p w14:paraId="30A97070"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6F4B4290"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35459243" w14:textId="42BCC7E3" w:rsidR="006E6CF2" w:rsidRPr="00033F8A" w:rsidRDefault="006E6CF2" w:rsidP="006E6CF2">
            <w:pPr>
              <w:rPr>
                <w:rFonts w:ascii="Times New Roman" w:hAnsi="Times New Roman" w:cs="Times New Roman" w:hint="eastAsia"/>
                <w:strike/>
              </w:rPr>
            </w:pPr>
          </w:p>
        </w:tc>
        <w:tc>
          <w:tcPr>
            <w:tcW w:w="851" w:type="dxa"/>
            <w:tcMar>
              <w:top w:w="150" w:type="dxa"/>
              <w:left w:w="240" w:type="dxa"/>
              <w:bottom w:w="150" w:type="dxa"/>
              <w:right w:w="240" w:type="dxa"/>
            </w:tcMar>
            <w:vAlign w:val="center"/>
            <w:hideMark/>
          </w:tcPr>
          <w:p w14:paraId="4908E93C"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0" w:type="dxa"/>
            <w:tcMar>
              <w:top w:w="150" w:type="dxa"/>
              <w:left w:w="240" w:type="dxa"/>
              <w:bottom w:w="150" w:type="dxa"/>
              <w:right w:w="240" w:type="dxa"/>
            </w:tcMar>
            <w:vAlign w:val="center"/>
            <w:hideMark/>
          </w:tcPr>
          <w:p w14:paraId="75E874EA"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418" w:type="dxa"/>
            <w:tcMar>
              <w:top w:w="150" w:type="dxa"/>
              <w:left w:w="240" w:type="dxa"/>
              <w:bottom w:w="150" w:type="dxa"/>
              <w:right w:w="0" w:type="dxa"/>
            </w:tcMar>
            <w:vAlign w:val="center"/>
            <w:hideMark/>
          </w:tcPr>
          <w:p w14:paraId="71DA3834" w14:textId="77777777" w:rsidR="006E6CF2" w:rsidRPr="00033F8A" w:rsidRDefault="006E6CF2" w:rsidP="006E6CF2">
            <w:pPr>
              <w:rPr>
                <w:rFonts w:ascii="Times New Roman" w:hAnsi="Times New Roman" w:cs="Times New Roman"/>
              </w:rPr>
            </w:pPr>
          </w:p>
        </w:tc>
      </w:tr>
      <w:tr w:rsidR="00033F8A" w:rsidRPr="00033F8A" w14:paraId="06BF6BB7" w14:textId="77777777" w:rsidTr="00DE694E">
        <w:tc>
          <w:tcPr>
            <w:tcW w:w="1417" w:type="dxa"/>
            <w:tcMar>
              <w:top w:w="150" w:type="dxa"/>
              <w:left w:w="0" w:type="dxa"/>
              <w:bottom w:w="150" w:type="dxa"/>
              <w:right w:w="240" w:type="dxa"/>
            </w:tcMar>
            <w:vAlign w:val="center"/>
            <w:hideMark/>
          </w:tcPr>
          <w:p w14:paraId="4FBE9DD8"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lastRenderedPageBreak/>
              <w:t>PCIA bolus count</w:t>
            </w:r>
          </w:p>
        </w:tc>
        <w:tc>
          <w:tcPr>
            <w:tcW w:w="1418" w:type="dxa"/>
            <w:tcMar>
              <w:top w:w="150" w:type="dxa"/>
              <w:left w:w="240" w:type="dxa"/>
              <w:bottom w:w="150" w:type="dxa"/>
              <w:right w:w="240" w:type="dxa"/>
            </w:tcMar>
            <w:vAlign w:val="center"/>
            <w:hideMark/>
          </w:tcPr>
          <w:p w14:paraId="5EBA4786" w14:textId="77777777" w:rsidR="006E6CF2" w:rsidRPr="00033F8A" w:rsidRDefault="006E6CF2" w:rsidP="006E6CF2">
            <w:pPr>
              <w:rPr>
                <w:rFonts w:ascii="Times New Roman" w:hAnsi="Times New Roman" w:cs="Times New Roman"/>
              </w:rPr>
            </w:pPr>
          </w:p>
        </w:tc>
        <w:tc>
          <w:tcPr>
            <w:tcW w:w="1843" w:type="dxa"/>
            <w:tcMar>
              <w:top w:w="150" w:type="dxa"/>
              <w:left w:w="240" w:type="dxa"/>
              <w:bottom w:w="150" w:type="dxa"/>
              <w:right w:w="240" w:type="dxa"/>
            </w:tcMar>
            <w:vAlign w:val="center"/>
            <w:hideMark/>
          </w:tcPr>
          <w:p w14:paraId="2B56DAA3"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240" w:type="dxa"/>
            </w:tcMar>
            <w:vAlign w:val="center"/>
            <w:hideMark/>
          </w:tcPr>
          <w:p w14:paraId="3E0E7BD4"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708" w:type="dxa"/>
            <w:tcMar>
              <w:top w:w="150" w:type="dxa"/>
              <w:left w:w="240" w:type="dxa"/>
              <w:bottom w:w="150" w:type="dxa"/>
              <w:right w:w="240" w:type="dxa"/>
            </w:tcMar>
            <w:vAlign w:val="center"/>
            <w:hideMark/>
          </w:tcPr>
          <w:p w14:paraId="4CB13AF9"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1" w:type="dxa"/>
            <w:tcMar>
              <w:top w:w="150" w:type="dxa"/>
              <w:left w:w="240" w:type="dxa"/>
              <w:bottom w:w="150" w:type="dxa"/>
              <w:right w:w="240" w:type="dxa"/>
            </w:tcMar>
            <w:vAlign w:val="center"/>
            <w:hideMark/>
          </w:tcPr>
          <w:p w14:paraId="46303CD2"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0" w:type="dxa"/>
            <w:tcMar>
              <w:top w:w="150" w:type="dxa"/>
              <w:left w:w="240" w:type="dxa"/>
              <w:bottom w:w="150" w:type="dxa"/>
              <w:right w:w="240" w:type="dxa"/>
            </w:tcMar>
            <w:vAlign w:val="center"/>
            <w:hideMark/>
          </w:tcPr>
          <w:p w14:paraId="439A2060"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1" w:type="dxa"/>
            <w:tcMar>
              <w:top w:w="150" w:type="dxa"/>
              <w:left w:w="240" w:type="dxa"/>
              <w:bottom w:w="150" w:type="dxa"/>
              <w:right w:w="240" w:type="dxa"/>
            </w:tcMar>
            <w:vAlign w:val="center"/>
            <w:hideMark/>
          </w:tcPr>
          <w:p w14:paraId="0AD8E5C9"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0" w:type="dxa"/>
            <w:tcMar>
              <w:top w:w="150" w:type="dxa"/>
              <w:left w:w="240" w:type="dxa"/>
              <w:bottom w:w="150" w:type="dxa"/>
              <w:right w:w="240" w:type="dxa"/>
            </w:tcMar>
            <w:vAlign w:val="center"/>
            <w:hideMark/>
          </w:tcPr>
          <w:p w14:paraId="3DF3FA81"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418" w:type="dxa"/>
            <w:tcMar>
              <w:top w:w="150" w:type="dxa"/>
              <w:left w:w="240" w:type="dxa"/>
              <w:bottom w:w="150" w:type="dxa"/>
              <w:right w:w="0" w:type="dxa"/>
            </w:tcMar>
            <w:vAlign w:val="center"/>
            <w:hideMark/>
          </w:tcPr>
          <w:p w14:paraId="53DE0054" w14:textId="77777777" w:rsidR="006E6CF2" w:rsidRPr="00033F8A" w:rsidRDefault="006E6CF2" w:rsidP="006E6CF2">
            <w:pPr>
              <w:rPr>
                <w:rFonts w:ascii="Times New Roman" w:hAnsi="Times New Roman" w:cs="Times New Roman"/>
              </w:rPr>
            </w:pPr>
          </w:p>
        </w:tc>
      </w:tr>
      <w:tr w:rsidR="00033F8A" w:rsidRPr="00033F8A" w14:paraId="36BD25D5" w14:textId="77777777" w:rsidTr="00DE694E">
        <w:tc>
          <w:tcPr>
            <w:tcW w:w="1417" w:type="dxa"/>
            <w:tcMar>
              <w:top w:w="150" w:type="dxa"/>
              <w:left w:w="0" w:type="dxa"/>
              <w:bottom w:w="150" w:type="dxa"/>
              <w:right w:w="240" w:type="dxa"/>
            </w:tcMar>
            <w:vAlign w:val="center"/>
            <w:hideMark/>
          </w:tcPr>
          <w:p w14:paraId="7893ECBF"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Hemodynamics (MAP, HR)</w:t>
            </w:r>
          </w:p>
        </w:tc>
        <w:tc>
          <w:tcPr>
            <w:tcW w:w="1418" w:type="dxa"/>
            <w:tcMar>
              <w:top w:w="150" w:type="dxa"/>
              <w:left w:w="240" w:type="dxa"/>
              <w:bottom w:w="150" w:type="dxa"/>
              <w:right w:w="240" w:type="dxa"/>
            </w:tcMar>
            <w:vAlign w:val="center"/>
            <w:hideMark/>
          </w:tcPr>
          <w:p w14:paraId="5DEE4E1A" w14:textId="77777777" w:rsidR="006E6CF2" w:rsidRPr="00033F8A" w:rsidRDefault="006E6CF2" w:rsidP="006E6CF2">
            <w:pPr>
              <w:rPr>
                <w:rFonts w:ascii="Times New Roman" w:hAnsi="Times New Roman" w:cs="Times New Roman"/>
              </w:rPr>
            </w:pPr>
          </w:p>
        </w:tc>
        <w:tc>
          <w:tcPr>
            <w:tcW w:w="1843" w:type="dxa"/>
            <w:tcMar>
              <w:top w:w="150" w:type="dxa"/>
              <w:left w:w="240" w:type="dxa"/>
              <w:bottom w:w="150" w:type="dxa"/>
              <w:right w:w="240" w:type="dxa"/>
            </w:tcMar>
            <w:vAlign w:val="center"/>
            <w:hideMark/>
          </w:tcPr>
          <w:p w14:paraId="1A3718E2"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 (T0–T4)</w:t>
            </w:r>
          </w:p>
        </w:tc>
        <w:tc>
          <w:tcPr>
            <w:tcW w:w="1418" w:type="dxa"/>
            <w:tcMar>
              <w:top w:w="150" w:type="dxa"/>
              <w:left w:w="240" w:type="dxa"/>
              <w:bottom w:w="150" w:type="dxa"/>
              <w:right w:w="240" w:type="dxa"/>
            </w:tcMar>
            <w:vAlign w:val="center"/>
            <w:hideMark/>
          </w:tcPr>
          <w:p w14:paraId="4EC25CFC" w14:textId="77777777" w:rsidR="006E6CF2" w:rsidRPr="00033F8A" w:rsidRDefault="006E6CF2" w:rsidP="006E6CF2">
            <w:pPr>
              <w:rPr>
                <w:rFonts w:ascii="Times New Roman" w:hAnsi="Times New Roman" w:cs="Times New Roman"/>
              </w:rPr>
            </w:pPr>
          </w:p>
        </w:tc>
        <w:tc>
          <w:tcPr>
            <w:tcW w:w="708" w:type="dxa"/>
            <w:tcMar>
              <w:top w:w="150" w:type="dxa"/>
              <w:left w:w="240" w:type="dxa"/>
              <w:bottom w:w="150" w:type="dxa"/>
              <w:right w:w="240" w:type="dxa"/>
            </w:tcMar>
            <w:vAlign w:val="center"/>
            <w:hideMark/>
          </w:tcPr>
          <w:p w14:paraId="117602F2"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775BB7C1"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14A57003"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29C6D12C"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4B5353A9"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0" w:type="dxa"/>
            </w:tcMar>
            <w:vAlign w:val="center"/>
            <w:hideMark/>
          </w:tcPr>
          <w:p w14:paraId="56BD4998" w14:textId="77777777" w:rsidR="006E6CF2" w:rsidRPr="00033F8A" w:rsidRDefault="006E6CF2" w:rsidP="006E6CF2">
            <w:pPr>
              <w:rPr>
                <w:rFonts w:ascii="Times New Roman" w:hAnsi="Times New Roman" w:cs="Times New Roman"/>
              </w:rPr>
            </w:pPr>
          </w:p>
        </w:tc>
      </w:tr>
      <w:tr w:rsidR="00033F8A" w:rsidRPr="00033F8A" w14:paraId="7D651CC4" w14:textId="77777777" w:rsidTr="00DE694E">
        <w:tc>
          <w:tcPr>
            <w:tcW w:w="1417" w:type="dxa"/>
            <w:tcMar>
              <w:top w:w="150" w:type="dxa"/>
              <w:left w:w="0" w:type="dxa"/>
              <w:bottom w:w="150" w:type="dxa"/>
              <w:right w:w="240" w:type="dxa"/>
            </w:tcMar>
            <w:vAlign w:val="center"/>
            <w:hideMark/>
          </w:tcPr>
          <w:p w14:paraId="11613F83"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Vasopressor use</w:t>
            </w:r>
          </w:p>
        </w:tc>
        <w:tc>
          <w:tcPr>
            <w:tcW w:w="1418" w:type="dxa"/>
            <w:tcMar>
              <w:top w:w="150" w:type="dxa"/>
              <w:left w:w="240" w:type="dxa"/>
              <w:bottom w:w="150" w:type="dxa"/>
              <w:right w:w="240" w:type="dxa"/>
            </w:tcMar>
            <w:vAlign w:val="center"/>
            <w:hideMark/>
          </w:tcPr>
          <w:p w14:paraId="5ACE43FA" w14:textId="77777777" w:rsidR="006E6CF2" w:rsidRPr="00033F8A" w:rsidRDefault="006E6CF2" w:rsidP="006E6CF2">
            <w:pPr>
              <w:rPr>
                <w:rFonts w:ascii="Times New Roman" w:hAnsi="Times New Roman" w:cs="Times New Roman"/>
              </w:rPr>
            </w:pPr>
          </w:p>
        </w:tc>
        <w:tc>
          <w:tcPr>
            <w:tcW w:w="1843" w:type="dxa"/>
            <w:tcMar>
              <w:top w:w="150" w:type="dxa"/>
              <w:left w:w="240" w:type="dxa"/>
              <w:bottom w:w="150" w:type="dxa"/>
              <w:right w:w="240" w:type="dxa"/>
            </w:tcMar>
            <w:vAlign w:val="center"/>
            <w:hideMark/>
          </w:tcPr>
          <w:p w14:paraId="3612C149"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418" w:type="dxa"/>
            <w:tcMar>
              <w:top w:w="150" w:type="dxa"/>
              <w:left w:w="240" w:type="dxa"/>
              <w:bottom w:w="150" w:type="dxa"/>
              <w:right w:w="240" w:type="dxa"/>
            </w:tcMar>
            <w:vAlign w:val="center"/>
            <w:hideMark/>
          </w:tcPr>
          <w:p w14:paraId="088DE3D7" w14:textId="77777777" w:rsidR="006E6CF2" w:rsidRPr="00033F8A" w:rsidRDefault="006E6CF2" w:rsidP="006E6CF2">
            <w:pPr>
              <w:rPr>
                <w:rFonts w:ascii="Times New Roman" w:hAnsi="Times New Roman" w:cs="Times New Roman"/>
              </w:rPr>
            </w:pPr>
          </w:p>
        </w:tc>
        <w:tc>
          <w:tcPr>
            <w:tcW w:w="708" w:type="dxa"/>
            <w:tcMar>
              <w:top w:w="150" w:type="dxa"/>
              <w:left w:w="240" w:type="dxa"/>
              <w:bottom w:w="150" w:type="dxa"/>
              <w:right w:w="240" w:type="dxa"/>
            </w:tcMar>
            <w:vAlign w:val="center"/>
            <w:hideMark/>
          </w:tcPr>
          <w:p w14:paraId="466A6C2C"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7BC4AF3E"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4383E6DE"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363CAA8A"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50674C72"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0" w:type="dxa"/>
            </w:tcMar>
            <w:vAlign w:val="center"/>
            <w:hideMark/>
          </w:tcPr>
          <w:p w14:paraId="25EC82DD" w14:textId="77777777" w:rsidR="006E6CF2" w:rsidRPr="00033F8A" w:rsidRDefault="006E6CF2" w:rsidP="006E6CF2">
            <w:pPr>
              <w:rPr>
                <w:rFonts w:ascii="Times New Roman" w:hAnsi="Times New Roman" w:cs="Times New Roman"/>
              </w:rPr>
            </w:pPr>
          </w:p>
        </w:tc>
      </w:tr>
      <w:tr w:rsidR="00033F8A" w:rsidRPr="00033F8A" w14:paraId="25373730" w14:textId="77777777" w:rsidTr="00DE694E">
        <w:tc>
          <w:tcPr>
            <w:tcW w:w="1417" w:type="dxa"/>
            <w:tcMar>
              <w:top w:w="150" w:type="dxa"/>
              <w:left w:w="0" w:type="dxa"/>
              <w:bottom w:w="150" w:type="dxa"/>
              <w:right w:w="240" w:type="dxa"/>
            </w:tcMar>
            <w:vAlign w:val="center"/>
            <w:hideMark/>
          </w:tcPr>
          <w:p w14:paraId="2B0D8C28"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LAST symptoms</w:t>
            </w:r>
          </w:p>
        </w:tc>
        <w:tc>
          <w:tcPr>
            <w:tcW w:w="1418" w:type="dxa"/>
            <w:tcMar>
              <w:top w:w="150" w:type="dxa"/>
              <w:left w:w="240" w:type="dxa"/>
              <w:bottom w:w="150" w:type="dxa"/>
              <w:right w:w="240" w:type="dxa"/>
            </w:tcMar>
            <w:vAlign w:val="center"/>
            <w:hideMark/>
          </w:tcPr>
          <w:p w14:paraId="41C6A53C" w14:textId="77777777" w:rsidR="006E6CF2" w:rsidRPr="00033F8A" w:rsidRDefault="006E6CF2" w:rsidP="006E6CF2">
            <w:pPr>
              <w:rPr>
                <w:rFonts w:ascii="Times New Roman" w:hAnsi="Times New Roman" w:cs="Times New Roman"/>
              </w:rPr>
            </w:pPr>
          </w:p>
        </w:tc>
        <w:tc>
          <w:tcPr>
            <w:tcW w:w="1843" w:type="dxa"/>
            <w:tcMar>
              <w:top w:w="150" w:type="dxa"/>
              <w:left w:w="240" w:type="dxa"/>
              <w:bottom w:w="150" w:type="dxa"/>
              <w:right w:w="240" w:type="dxa"/>
            </w:tcMar>
            <w:vAlign w:val="center"/>
            <w:hideMark/>
          </w:tcPr>
          <w:p w14:paraId="7CBDCC4E"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418" w:type="dxa"/>
            <w:tcMar>
              <w:top w:w="150" w:type="dxa"/>
              <w:left w:w="240" w:type="dxa"/>
              <w:bottom w:w="150" w:type="dxa"/>
              <w:right w:w="240" w:type="dxa"/>
            </w:tcMar>
            <w:vAlign w:val="center"/>
            <w:hideMark/>
          </w:tcPr>
          <w:p w14:paraId="1853C08D" w14:textId="77777777" w:rsidR="006E6CF2" w:rsidRPr="00033F8A" w:rsidRDefault="006E6CF2" w:rsidP="006E6CF2">
            <w:pPr>
              <w:rPr>
                <w:rFonts w:ascii="Times New Roman" w:hAnsi="Times New Roman" w:cs="Times New Roman"/>
              </w:rPr>
            </w:pPr>
          </w:p>
        </w:tc>
        <w:tc>
          <w:tcPr>
            <w:tcW w:w="708" w:type="dxa"/>
            <w:tcMar>
              <w:top w:w="150" w:type="dxa"/>
              <w:left w:w="240" w:type="dxa"/>
              <w:bottom w:w="150" w:type="dxa"/>
              <w:right w:w="240" w:type="dxa"/>
            </w:tcMar>
            <w:vAlign w:val="center"/>
            <w:hideMark/>
          </w:tcPr>
          <w:p w14:paraId="600EB092"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2E98B897"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33EE53BF"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590F8686"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43A8AF1A"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0" w:type="dxa"/>
            </w:tcMar>
            <w:vAlign w:val="center"/>
            <w:hideMark/>
          </w:tcPr>
          <w:p w14:paraId="39524BEB" w14:textId="77777777" w:rsidR="006E6CF2" w:rsidRPr="00033F8A" w:rsidRDefault="006E6CF2" w:rsidP="006E6CF2">
            <w:pPr>
              <w:rPr>
                <w:rFonts w:ascii="Times New Roman" w:hAnsi="Times New Roman" w:cs="Times New Roman"/>
              </w:rPr>
            </w:pPr>
          </w:p>
        </w:tc>
      </w:tr>
      <w:tr w:rsidR="00033F8A" w:rsidRPr="00033F8A" w14:paraId="3D01CF09" w14:textId="77777777" w:rsidTr="00DE694E">
        <w:tc>
          <w:tcPr>
            <w:tcW w:w="1417" w:type="dxa"/>
            <w:tcMar>
              <w:top w:w="150" w:type="dxa"/>
              <w:left w:w="0" w:type="dxa"/>
              <w:bottom w:w="150" w:type="dxa"/>
              <w:right w:w="240" w:type="dxa"/>
            </w:tcMar>
            <w:vAlign w:val="center"/>
            <w:hideMark/>
          </w:tcPr>
          <w:p w14:paraId="524CE47C"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Time to extubation</w:t>
            </w:r>
          </w:p>
        </w:tc>
        <w:tc>
          <w:tcPr>
            <w:tcW w:w="1418" w:type="dxa"/>
            <w:tcMar>
              <w:top w:w="150" w:type="dxa"/>
              <w:left w:w="240" w:type="dxa"/>
              <w:bottom w:w="150" w:type="dxa"/>
              <w:right w:w="240" w:type="dxa"/>
            </w:tcMar>
            <w:vAlign w:val="center"/>
            <w:hideMark/>
          </w:tcPr>
          <w:p w14:paraId="6AE63DCA" w14:textId="77777777" w:rsidR="006E6CF2" w:rsidRPr="00033F8A" w:rsidRDefault="006E6CF2" w:rsidP="006E6CF2">
            <w:pPr>
              <w:rPr>
                <w:rFonts w:ascii="Times New Roman" w:hAnsi="Times New Roman" w:cs="Times New Roman"/>
              </w:rPr>
            </w:pPr>
          </w:p>
        </w:tc>
        <w:tc>
          <w:tcPr>
            <w:tcW w:w="1843" w:type="dxa"/>
            <w:tcMar>
              <w:top w:w="150" w:type="dxa"/>
              <w:left w:w="240" w:type="dxa"/>
              <w:bottom w:w="150" w:type="dxa"/>
              <w:right w:w="240" w:type="dxa"/>
            </w:tcMar>
            <w:vAlign w:val="center"/>
            <w:hideMark/>
          </w:tcPr>
          <w:p w14:paraId="1DDD58EF"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240" w:type="dxa"/>
            </w:tcMar>
            <w:vAlign w:val="center"/>
            <w:hideMark/>
          </w:tcPr>
          <w:p w14:paraId="4FA987B0"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708" w:type="dxa"/>
            <w:tcMar>
              <w:top w:w="150" w:type="dxa"/>
              <w:left w:w="240" w:type="dxa"/>
              <w:bottom w:w="150" w:type="dxa"/>
              <w:right w:w="240" w:type="dxa"/>
            </w:tcMar>
            <w:vAlign w:val="center"/>
            <w:hideMark/>
          </w:tcPr>
          <w:p w14:paraId="35C753FD"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3AEDDDB6"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525F6FEC"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3255A4A6"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1A9A4E12"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0" w:type="dxa"/>
            </w:tcMar>
            <w:vAlign w:val="center"/>
            <w:hideMark/>
          </w:tcPr>
          <w:p w14:paraId="2CB1D33E" w14:textId="77777777" w:rsidR="006E6CF2" w:rsidRPr="00033F8A" w:rsidRDefault="006E6CF2" w:rsidP="006E6CF2">
            <w:pPr>
              <w:rPr>
                <w:rFonts w:ascii="Times New Roman" w:hAnsi="Times New Roman" w:cs="Times New Roman"/>
              </w:rPr>
            </w:pPr>
          </w:p>
        </w:tc>
      </w:tr>
      <w:tr w:rsidR="00033F8A" w:rsidRPr="00033F8A" w14:paraId="1134FF36" w14:textId="77777777" w:rsidTr="00DE694E">
        <w:tc>
          <w:tcPr>
            <w:tcW w:w="1417" w:type="dxa"/>
            <w:tcMar>
              <w:top w:w="150" w:type="dxa"/>
              <w:left w:w="0" w:type="dxa"/>
              <w:bottom w:w="150" w:type="dxa"/>
              <w:right w:w="240" w:type="dxa"/>
            </w:tcMar>
            <w:vAlign w:val="center"/>
            <w:hideMark/>
          </w:tcPr>
          <w:p w14:paraId="09705A20"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PONV</w:t>
            </w:r>
          </w:p>
        </w:tc>
        <w:tc>
          <w:tcPr>
            <w:tcW w:w="1418" w:type="dxa"/>
            <w:tcMar>
              <w:top w:w="150" w:type="dxa"/>
              <w:left w:w="240" w:type="dxa"/>
              <w:bottom w:w="150" w:type="dxa"/>
              <w:right w:w="240" w:type="dxa"/>
            </w:tcMar>
            <w:vAlign w:val="center"/>
            <w:hideMark/>
          </w:tcPr>
          <w:p w14:paraId="363E2689" w14:textId="77777777" w:rsidR="006E6CF2" w:rsidRPr="00033F8A" w:rsidRDefault="006E6CF2" w:rsidP="006E6CF2">
            <w:pPr>
              <w:rPr>
                <w:rFonts w:ascii="Times New Roman" w:hAnsi="Times New Roman" w:cs="Times New Roman"/>
              </w:rPr>
            </w:pPr>
          </w:p>
        </w:tc>
        <w:tc>
          <w:tcPr>
            <w:tcW w:w="1843" w:type="dxa"/>
            <w:tcMar>
              <w:top w:w="150" w:type="dxa"/>
              <w:left w:w="240" w:type="dxa"/>
              <w:bottom w:w="150" w:type="dxa"/>
              <w:right w:w="240" w:type="dxa"/>
            </w:tcMar>
            <w:vAlign w:val="center"/>
            <w:hideMark/>
          </w:tcPr>
          <w:p w14:paraId="0959365B"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240" w:type="dxa"/>
            </w:tcMar>
            <w:vAlign w:val="center"/>
            <w:hideMark/>
          </w:tcPr>
          <w:p w14:paraId="3E86F9B4"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708" w:type="dxa"/>
            <w:tcMar>
              <w:top w:w="150" w:type="dxa"/>
              <w:left w:w="240" w:type="dxa"/>
              <w:bottom w:w="150" w:type="dxa"/>
              <w:right w:w="240" w:type="dxa"/>
            </w:tcMar>
            <w:vAlign w:val="center"/>
            <w:hideMark/>
          </w:tcPr>
          <w:p w14:paraId="5B265484"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1" w:type="dxa"/>
            <w:tcMar>
              <w:top w:w="150" w:type="dxa"/>
              <w:left w:w="240" w:type="dxa"/>
              <w:bottom w:w="150" w:type="dxa"/>
              <w:right w:w="240" w:type="dxa"/>
            </w:tcMar>
            <w:vAlign w:val="center"/>
            <w:hideMark/>
          </w:tcPr>
          <w:p w14:paraId="68853BE5"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0" w:type="dxa"/>
            <w:tcMar>
              <w:top w:w="150" w:type="dxa"/>
              <w:left w:w="240" w:type="dxa"/>
              <w:bottom w:w="150" w:type="dxa"/>
              <w:right w:w="240" w:type="dxa"/>
            </w:tcMar>
            <w:vAlign w:val="center"/>
            <w:hideMark/>
          </w:tcPr>
          <w:p w14:paraId="5A57A844"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1" w:type="dxa"/>
            <w:tcMar>
              <w:top w:w="150" w:type="dxa"/>
              <w:left w:w="240" w:type="dxa"/>
              <w:bottom w:w="150" w:type="dxa"/>
              <w:right w:w="240" w:type="dxa"/>
            </w:tcMar>
            <w:vAlign w:val="center"/>
            <w:hideMark/>
          </w:tcPr>
          <w:p w14:paraId="6FDF1E01"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0" w:type="dxa"/>
            <w:tcMar>
              <w:top w:w="150" w:type="dxa"/>
              <w:left w:w="240" w:type="dxa"/>
              <w:bottom w:w="150" w:type="dxa"/>
              <w:right w:w="240" w:type="dxa"/>
            </w:tcMar>
            <w:vAlign w:val="center"/>
            <w:hideMark/>
          </w:tcPr>
          <w:p w14:paraId="5D8EFC61"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418" w:type="dxa"/>
            <w:tcMar>
              <w:top w:w="150" w:type="dxa"/>
              <w:left w:w="240" w:type="dxa"/>
              <w:bottom w:w="150" w:type="dxa"/>
              <w:right w:w="0" w:type="dxa"/>
            </w:tcMar>
            <w:vAlign w:val="center"/>
            <w:hideMark/>
          </w:tcPr>
          <w:p w14:paraId="5175045B" w14:textId="77777777" w:rsidR="006E6CF2" w:rsidRPr="00033F8A" w:rsidRDefault="006E6CF2" w:rsidP="006E6CF2">
            <w:pPr>
              <w:rPr>
                <w:rFonts w:ascii="Times New Roman" w:hAnsi="Times New Roman" w:cs="Times New Roman"/>
              </w:rPr>
            </w:pPr>
          </w:p>
        </w:tc>
      </w:tr>
      <w:tr w:rsidR="00033F8A" w:rsidRPr="00033F8A" w14:paraId="533F6F1D" w14:textId="77777777" w:rsidTr="00DE694E">
        <w:tc>
          <w:tcPr>
            <w:tcW w:w="1417" w:type="dxa"/>
            <w:tcMar>
              <w:top w:w="150" w:type="dxa"/>
              <w:left w:w="0" w:type="dxa"/>
              <w:bottom w:w="150" w:type="dxa"/>
              <w:right w:w="240" w:type="dxa"/>
            </w:tcMar>
            <w:vAlign w:val="center"/>
            <w:hideMark/>
          </w:tcPr>
          <w:p w14:paraId="392F8087"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PSQI sleep quality</w:t>
            </w:r>
          </w:p>
        </w:tc>
        <w:tc>
          <w:tcPr>
            <w:tcW w:w="1418" w:type="dxa"/>
            <w:tcMar>
              <w:top w:w="150" w:type="dxa"/>
              <w:left w:w="240" w:type="dxa"/>
              <w:bottom w:w="150" w:type="dxa"/>
              <w:right w:w="240" w:type="dxa"/>
            </w:tcMar>
            <w:vAlign w:val="center"/>
            <w:hideMark/>
          </w:tcPr>
          <w:p w14:paraId="6E628093"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843" w:type="dxa"/>
            <w:tcMar>
              <w:top w:w="150" w:type="dxa"/>
              <w:left w:w="240" w:type="dxa"/>
              <w:bottom w:w="150" w:type="dxa"/>
              <w:right w:w="240" w:type="dxa"/>
            </w:tcMar>
            <w:vAlign w:val="center"/>
            <w:hideMark/>
          </w:tcPr>
          <w:p w14:paraId="53EB76D2"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240" w:type="dxa"/>
            </w:tcMar>
            <w:vAlign w:val="center"/>
            <w:hideMark/>
          </w:tcPr>
          <w:p w14:paraId="0B3A3407" w14:textId="77777777" w:rsidR="006E6CF2" w:rsidRPr="00033F8A" w:rsidRDefault="006E6CF2" w:rsidP="006E6CF2">
            <w:pPr>
              <w:rPr>
                <w:rFonts w:ascii="Times New Roman" w:hAnsi="Times New Roman" w:cs="Times New Roman"/>
              </w:rPr>
            </w:pPr>
          </w:p>
        </w:tc>
        <w:tc>
          <w:tcPr>
            <w:tcW w:w="708" w:type="dxa"/>
            <w:tcMar>
              <w:top w:w="150" w:type="dxa"/>
              <w:left w:w="240" w:type="dxa"/>
              <w:bottom w:w="150" w:type="dxa"/>
              <w:right w:w="240" w:type="dxa"/>
            </w:tcMar>
            <w:vAlign w:val="center"/>
            <w:hideMark/>
          </w:tcPr>
          <w:p w14:paraId="52EAACEF"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0FF9361A"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669D3EC9"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397E9FD4" w14:textId="5F4D19B8" w:rsidR="006E6CF2" w:rsidRPr="00033F8A" w:rsidRDefault="006E6CF2" w:rsidP="006E6CF2">
            <w:pPr>
              <w:rPr>
                <w:rFonts w:ascii="Times New Roman" w:hAnsi="Times New Roman" w:cs="Times New Roman" w:hint="eastAsia"/>
                <w:strike/>
              </w:rPr>
            </w:pPr>
          </w:p>
        </w:tc>
        <w:tc>
          <w:tcPr>
            <w:tcW w:w="850" w:type="dxa"/>
            <w:tcMar>
              <w:top w:w="150" w:type="dxa"/>
              <w:left w:w="240" w:type="dxa"/>
              <w:bottom w:w="150" w:type="dxa"/>
              <w:right w:w="240" w:type="dxa"/>
            </w:tcMar>
            <w:vAlign w:val="center"/>
            <w:hideMark/>
          </w:tcPr>
          <w:p w14:paraId="49C656B1" w14:textId="3BF87F88" w:rsidR="006E6CF2" w:rsidRPr="00033F8A" w:rsidRDefault="00BB3891" w:rsidP="006E6CF2">
            <w:pPr>
              <w:rPr>
                <w:rFonts w:ascii="Times New Roman" w:hAnsi="Times New Roman" w:cs="Times New Roman"/>
              </w:rPr>
            </w:pPr>
            <w:r w:rsidRPr="00033F8A">
              <w:rPr>
                <w:rFonts w:ascii="Times New Roman" w:hAnsi="Times New Roman" w:cs="Times New Roman"/>
              </w:rPr>
              <w:t>X</w:t>
            </w:r>
          </w:p>
        </w:tc>
        <w:tc>
          <w:tcPr>
            <w:tcW w:w="1418" w:type="dxa"/>
            <w:tcMar>
              <w:top w:w="150" w:type="dxa"/>
              <w:left w:w="240" w:type="dxa"/>
              <w:bottom w:w="150" w:type="dxa"/>
              <w:right w:w="0" w:type="dxa"/>
            </w:tcMar>
            <w:vAlign w:val="center"/>
            <w:hideMark/>
          </w:tcPr>
          <w:p w14:paraId="58F89380" w14:textId="77777777" w:rsidR="006E6CF2" w:rsidRPr="00033F8A" w:rsidRDefault="006E6CF2" w:rsidP="006E6CF2">
            <w:pPr>
              <w:rPr>
                <w:rFonts w:ascii="Times New Roman" w:hAnsi="Times New Roman" w:cs="Times New Roman"/>
              </w:rPr>
            </w:pPr>
          </w:p>
        </w:tc>
      </w:tr>
      <w:tr w:rsidR="00033F8A" w:rsidRPr="00033F8A" w14:paraId="645C82C2" w14:textId="77777777" w:rsidTr="00DE694E">
        <w:tc>
          <w:tcPr>
            <w:tcW w:w="1417" w:type="dxa"/>
            <w:tcMar>
              <w:top w:w="150" w:type="dxa"/>
              <w:left w:w="0" w:type="dxa"/>
              <w:bottom w:w="150" w:type="dxa"/>
              <w:right w:w="240" w:type="dxa"/>
            </w:tcMar>
            <w:vAlign w:val="center"/>
            <w:hideMark/>
          </w:tcPr>
          <w:p w14:paraId="43968EAA"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Rescue analgesia</w:t>
            </w:r>
          </w:p>
        </w:tc>
        <w:tc>
          <w:tcPr>
            <w:tcW w:w="1418" w:type="dxa"/>
            <w:tcMar>
              <w:top w:w="150" w:type="dxa"/>
              <w:left w:w="240" w:type="dxa"/>
              <w:bottom w:w="150" w:type="dxa"/>
              <w:right w:w="240" w:type="dxa"/>
            </w:tcMar>
            <w:vAlign w:val="center"/>
            <w:hideMark/>
          </w:tcPr>
          <w:p w14:paraId="01EBF584" w14:textId="77777777" w:rsidR="006E6CF2" w:rsidRPr="00033F8A" w:rsidRDefault="006E6CF2" w:rsidP="006E6CF2">
            <w:pPr>
              <w:rPr>
                <w:rFonts w:ascii="Times New Roman" w:hAnsi="Times New Roman" w:cs="Times New Roman"/>
              </w:rPr>
            </w:pPr>
          </w:p>
        </w:tc>
        <w:tc>
          <w:tcPr>
            <w:tcW w:w="1843" w:type="dxa"/>
            <w:tcMar>
              <w:top w:w="150" w:type="dxa"/>
              <w:left w:w="240" w:type="dxa"/>
              <w:bottom w:w="150" w:type="dxa"/>
              <w:right w:w="240" w:type="dxa"/>
            </w:tcMar>
            <w:vAlign w:val="center"/>
            <w:hideMark/>
          </w:tcPr>
          <w:p w14:paraId="54366FB1"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240" w:type="dxa"/>
            </w:tcMar>
            <w:vAlign w:val="center"/>
            <w:hideMark/>
          </w:tcPr>
          <w:p w14:paraId="4767AF9F"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708" w:type="dxa"/>
            <w:tcMar>
              <w:top w:w="150" w:type="dxa"/>
              <w:left w:w="240" w:type="dxa"/>
              <w:bottom w:w="150" w:type="dxa"/>
              <w:right w:w="240" w:type="dxa"/>
            </w:tcMar>
            <w:vAlign w:val="center"/>
            <w:hideMark/>
          </w:tcPr>
          <w:p w14:paraId="6FC93AD4"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1" w:type="dxa"/>
            <w:tcMar>
              <w:top w:w="150" w:type="dxa"/>
              <w:left w:w="240" w:type="dxa"/>
              <w:bottom w:w="150" w:type="dxa"/>
              <w:right w:w="240" w:type="dxa"/>
            </w:tcMar>
            <w:vAlign w:val="center"/>
            <w:hideMark/>
          </w:tcPr>
          <w:p w14:paraId="15E2CF94"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0" w:type="dxa"/>
            <w:tcMar>
              <w:top w:w="150" w:type="dxa"/>
              <w:left w:w="240" w:type="dxa"/>
              <w:bottom w:w="150" w:type="dxa"/>
              <w:right w:w="240" w:type="dxa"/>
            </w:tcMar>
            <w:vAlign w:val="center"/>
            <w:hideMark/>
          </w:tcPr>
          <w:p w14:paraId="39421E48"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1" w:type="dxa"/>
            <w:tcMar>
              <w:top w:w="150" w:type="dxa"/>
              <w:left w:w="240" w:type="dxa"/>
              <w:bottom w:w="150" w:type="dxa"/>
              <w:right w:w="240" w:type="dxa"/>
            </w:tcMar>
            <w:vAlign w:val="center"/>
            <w:hideMark/>
          </w:tcPr>
          <w:p w14:paraId="38908EDE"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0" w:type="dxa"/>
            <w:tcMar>
              <w:top w:w="150" w:type="dxa"/>
              <w:left w:w="240" w:type="dxa"/>
              <w:bottom w:w="150" w:type="dxa"/>
              <w:right w:w="240" w:type="dxa"/>
            </w:tcMar>
            <w:vAlign w:val="center"/>
            <w:hideMark/>
          </w:tcPr>
          <w:p w14:paraId="1CC5A4E8"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418" w:type="dxa"/>
            <w:tcMar>
              <w:top w:w="150" w:type="dxa"/>
              <w:left w:w="240" w:type="dxa"/>
              <w:bottom w:w="150" w:type="dxa"/>
              <w:right w:w="0" w:type="dxa"/>
            </w:tcMar>
            <w:vAlign w:val="center"/>
            <w:hideMark/>
          </w:tcPr>
          <w:p w14:paraId="65540BFB" w14:textId="77777777" w:rsidR="006E6CF2" w:rsidRPr="00033F8A" w:rsidRDefault="006E6CF2" w:rsidP="006E6CF2">
            <w:pPr>
              <w:rPr>
                <w:rFonts w:ascii="Times New Roman" w:hAnsi="Times New Roman" w:cs="Times New Roman"/>
              </w:rPr>
            </w:pPr>
          </w:p>
        </w:tc>
      </w:tr>
      <w:tr w:rsidR="00033F8A" w:rsidRPr="00033F8A" w14:paraId="2DBEE57D" w14:textId="77777777" w:rsidTr="00DE694E">
        <w:tc>
          <w:tcPr>
            <w:tcW w:w="1417" w:type="dxa"/>
            <w:tcMar>
              <w:top w:w="150" w:type="dxa"/>
              <w:left w:w="0" w:type="dxa"/>
              <w:bottom w:w="150" w:type="dxa"/>
              <w:right w:w="240" w:type="dxa"/>
            </w:tcMar>
            <w:vAlign w:val="center"/>
            <w:hideMark/>
          </w:tcPr>
          <w:p w14:paraId="4C113FDE"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Adverse events</w:t>
            </w:r>
          </w:p>
        </w:tc>
        <w:tc>
          <w:tcPr>
            <w:tcW w:w="1418" w:type="dxa"/>
            <w:tcMar>
              <w:top w:w="150" w:type="dxa"/>
              <w:left w:w="240" w:type="dxa"/>
              <w:bottom w:w="150" w:type="dxa"/>
              <w:right w:w="240" w:type="dxa"/>
            </w:tcMar>
            <w:vAlign w:val="center"/>
            <w:hideMark/>
          </w:tcPr>
          <w:p w14:paraId="4CCBF6FF" w14:textId="77777777" w:rsidR="006E6CF2" w:rsidRPr="00033F8A" w:rsidRDefault="006E6CF2" w:rsidP="006E6CF2">
            <w:pPr>
              <w:rPr>
                <w:rFonts w:ascii="Times New Roman" w:hAnsi="Times New Roman" w:cs="Times New Roman"/>
              </w:rPr>
            </w:pPr>
          </w:p>
        </w:tc>
        <w:tc>
          <w:tcPr>
            <w:tcW w:w="1843" w:type="dxa"/>
            <w:tcMar>
              <w:top w:w="150" w:type="dxa"/>
              <w:left w:w="240" w:type="dxa"/>
              <w:bottom w:w="150" w:type="dxa"/>
              <w:right w:w="240" w:type="dxa"/>
            </w:tcMar>
            <w:vAlign w:val="center"/>
            <w:hideMark/>
          </w:tcPr>
          <w:p w14:paraId="47CF7C30"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418" w:type="dxa"/>
            <w:tcMar>
              <w:top w:w="150" w:type="dxa"/>
              <w:left w:w="240" w:type="dxa"/>
              <w:bottom w:w="150" w:type="dxa"/>
              <w:right w:w="240" w:type="dxa"/>
            </w:tcMar>
            <w:vAlign w:val="center"/>
            <w:hideMark/>
          </w:tcPr>
          <w:p w14:paraId="7DDC1852"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708" w:type="dxa"/>
            <w:tcMar>
              <w:top w:w="150" w:type="dxa"/>
              <w:left w:w="240" w:type="dxa"/>
              <w:bottom w:w="150" w:type="dxa"/>
              <w:right w:w="240" w:type="dxa"/>
            </w:tcMar>
            <w:vAlign w:val="center"/>
            <w:hideMark/>
          </w:tcPr>
          <w:p w14:paraId="7F9E0EA7"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1" w:type="dxa"/>
            <w:tcMar>
              <w:top w:w="150" w:type="dxa"/>
              <w:left w:w="240" w:type="dxa"/>
              <w:bottom w:w="150" w:type="dxa"/>
              <w:right w:w="240" w:type="dxa"/>
            </w:tcMar>
            <w:vAlign w:val="center"/>
            <w:hideMark/>
          </w:tcPr>
          <w:p w14:paraId="6DA50916"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0" w:type="dxa"/>
            <w:tcMar>
              <w:top w:w="150" w:type="dxa"/>
              <w:left w:w="240" w:type="dxa"/>
              <w:bottom w:w="150" w:type="dxa"/>
              <w:right w:w="240" w:type="dxa"/>
            </w:tcMar>
            <w:vAlign w:val="center"/>
            <w:hideMark/>
          </w:tcPr>
          <w:p w14:paraId="6F5A8AE6"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1" w:type="dxa"/>
            <w:tcMar>
              <w:top w:w="150" w:type="dxa"/>
              <w:left w:w="240" w:type="dxa"/>
              <w:bottom w:w="150" w:type="dxa"/>
              <w:right w:w="240" w:type="dxa"/>
            </w:tcMar>
            <w:vAlign w:val="center"/>
            <w:hideMark/>
          </w:tcPr>
          <w:p w14:paraId="7F8F87C5"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850" w:type="dxa"/>
            <w:tcMar>
              <w:top w:w="150" w:type="dxa"/>
              <w:left w:w="240" w:type="dxa"/>
              <w:bottom w:w="150" w:type="dxa"/>
              <w:right w:w="240" w:type="dxa"/>
            </w:tcMar>
            <w:vAlign w:val="center"/>
            <w:hideMark/>
          </w:tcPr>
          <w:p w14:paraId="40589843"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c>
          <w:tcPr>
            <w:tcW w:w="1418" w:type="dxa"/>
            <w:tcMar>
              <w:top w:w="150" w:type="dxa"/>
              <w:left w:w="240" w:type="dxa"/>
              <w:bottom w:w="150" w:type="dxa"/>
              <w:right w:w="0" w:type="dxa"/>
            </w:tcMar>
            <w:vAlign w:val="center"/>
            <w:hideMark/>
          </w:tcPr>
          <w:p w14:paraId="21D61A62"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r>
      <w:tr w:rsidR="00033F8A" w:rsidRPr="00033F8A" w14:paraId="20B1B878" w14:textId="77777777" w:rsidTr="00DE694E">
        <w:tc>
          <w:tcPr>
            <w:tcW w:w="1417" w:type="dxa"/>
            <w:tcMar>
              <w:top w:w="150" w:type="dxa"/>
              <w:left w:w="0" w:type="dxa"/>
              <w:bottom w:w="150" w:type="dxa"/>
              <w:right w:w="240" w:type="dxa"/>
            </w:tcMar>
            <w:vAlign w:val="center"/>
            <w:hideMark/>
          </w:tcPr>
          <w:p w14:paraId="0F76B59E"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Hospital discharge</w:t>
            </w:r>
          </w:p>
        </w:tc>
        <w:tc>
          <w:tcPr>
            <w:tcW w:w="1418" w:type="dxa"/>
            <w:tcMar>
              <w:top w:w="150" w:type="dxa"/>
              <w:left w:w="240" w:type="dxa"/>
              <w:bottom w:w="150" w:type="dxa"/>
              <w:right w:w="240" w:type="dxa"/>
            </w:tcMar>
            <w:vAlign w:val="center"/>
            <w:hideMark/>
          </w:tcPr>
          <w:p w14:paraId="582233A2" w14:textId="77777777" w:rsidR="006E6CF2" w:rsidRPr="00033F8A" w:rsidRDefault="006E6CF2" w:rsidP="006E6CF2">
            <w:pPr>
              <w:rPr>
                <w:rFonts w:ascii="Times New Roman" w:hAnsi="Times New Roman" w:cs="Times New Roman"/>
              </w:rPr>
            </w:pPr>
          </w:p>
        </w:tc>
        <w:tc>
          <w:tcPr>
            <w:tcW w:w="1843" w:type="dxa"/>
            <w:tcMar>
              <w:top w:w="150" w:type="dxa"/>
              <w:left w:w="240" w:type="dxa"/>
              <w:bottom w:w="150" w:type="dxa"/>
              <w:right w:w="240" w:type="dxa"/>
            </w:tcMar>
            <w:vAlign w:val="center"/>
            <w:hideMark/>
          </w:tcPr>
          <w:p w14:paraId="3323A166"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240" w:type="dxa"/>
            </w:tcMar>
            <w:vAlign w:val="center"/>
            <w:hideMark/>
          </w:tcPr>
          <w:p w14:paraId="78F38DD5" w14:textId="77777777" w:rsidR="006E6CF2" w:rsidRPr="00033F8A" w:rsidRDefault="006E6CF2" w:rsidP="006E6CF2">
            <w:pPr>
              <w:rPr>
                <w:rFonts w:ascii="Times New Roman" w:hAnsi="Times New Roman" w:cs="Times New Roman"/>
              </w:rPr>
            </w:pPr>
          </w:p>
        </w:tc>
        <w:tc>
          <w:tcPr>
            <w:tcW w:w="708" w:type="dxa"/>
            <w:tcMar>
              <w:top w:w="150" w:type="dxa"/>
              <w:left w:w="240" w:type="dxa"/>
              <w:bottom w:w="150" w:type="dxa"/>
              <w:right w:w="240" w:type="dxa"/>
            </w:tcMar>
            <w:vAlign w:val="center"/>
            <w:hideMark/>
          </w:tcPr>
          <w:p w14:paraId="32952508"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1EBA791A"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72C4A213" w14:textId="77777777" w:rsidR="006E6CF2" w:rsidRPr="00033F8A" w:rsidRDefault="006E6CF2" w:rsidP="006E6CF2">
            <w:pPr>
              <w:rPr>
                <w:rFonts w:ascii="Times New Roman" w:hAnsi="Times New Roman" w:cs="Times New Roman"/>
              </w:rPr>
            </w:pPr>
          </w:p>
        </w:tc>
        <w:tc>
          <w:tcPr>
            <w:tcW w:w="851" w:type="dxa"/>
            <w:tcMar>
              <w:top w:w="150" w:type="dxa"/>
              <w:left w:w="240" w:type="dxa"/>
              <w:bottom w:w="150" w:type="dxa"/>
              <w:right w:w="240" w:type="dxa"/>
            </w:tcMar>
            <w:vAlign w:val="center"/>
            <w:hideMark/>
          </w:tcPr>
          <w:p w14:paraId="7C8AA59D" w14:textId="77777777" w:rsidR="006E6CF2" w:rsidRPr="00033F8A" w:rsidRDefault="006E6CF2" w:rsidP="006E6CF2">
            <w:pPr>
              <w:rPr>
                <w:rFonts w:ascii="Times New Roman" w:hAnsi="Times New Roman" w:cs="Times New Roman"/>
              </w:rPr>
            </w:pPr>
          </w:p>
        </w:tc>
        <w:tc>
          <w:tcPr>
            <w:tcW w:w="850" w:type="dxa"/>
            <w:tcMar>
              <w:top w:w="150" w:type="dxa"/>
              <w:left w:w="240" w:type="dxa"/>
              <w:bottom w:w="150" w:type="dxa"/>
              <w:right w:w="240" w:type="dxa"/>
            </w:tcMar>
            <w:vAlign w:val="center"/>
            <w:hideMark/>
          </w:tcPr>
          <w:p w14:paraId="6E007BD5" w14:textId="77777777" w:rsidR="006E6CF2" w:rsidRPr="00033F8A" w:rsidRDefault="006E6CF2" w:rsidP="006E6CF2">
            <w:pPr>
              <w:rPr>
                <w:rFonts w:ascii="Times New Roman" w:hAnsi="Times New Roman" w:cs="Times New Roman"/>
              </w:rPr>
            </w:pPr>
          </w:p>
        </w:tc>
        <w:tc>
          <w:tcPr>
            <w:tcW w:w="1418" w:type="dxa"/>
            <w:tcMar>
              <w:top w:w="150" w:type="dxa"/>
              <w:left w:w="240" w:type="dxa"/>
              <w:bottom w:w="150" w:type="dxa"/>
              <w:right w:w="0" w:type="dxa"/>
            </w:tcMar>
            <w:vAlign w:val="center"/>
            <w:hideMark/>
          </w:tcPr>
          <w:p w14:paraId="239B87B4"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X</w:t>
            </w:r>
          </w:p>
        </w:tc>
      </w:tr>
    </w:tbl>
    <w:p w14:paraId="70DE0454" w14:textId="77777777" w:rsidR="00833999" w:rsidRPr="00033F8A" w:rsidRDefault="00833999"/>
    <w:p w14:paraId="693CED38"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Sample Size</w:t>
      </w:r>
    </w:p>
    <w:p w14:paraId="61656A96"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The sample size calculation is based on the primary outcome: the change in NK cell proportion from preoperative day 1 to postoperative day 3. Based on pilot data, we anticipate a mean difference of 16% between the OFA and OBA groups, with a common standard deviation of 20%. Using a two</w:t>
      </w:r>
      <w:r w:rsidRPr="00033F8A">
        <w:rPr>
          <w:rFonts w:ascii="Times New Roman" w:hAnsi="Times New Roman" w:cs="Times New Roman"/>
        </w:rPr>
        <w:noBreakHyphen/>
        <w:t>sample t</w:t>
      </w:r>
      <w:r w:rsidRPr="00033F8A">
        <w:rPr>
          <w:rFonts w:ascii="Times New Roman" w:hAnsi="Times New Roman" w:cs="Times New Roman"/>
        </w:rPr>
        <w:noBreakHyphen/>
        <w:t>test with a two</w:t>
      </w:r>
      <w:r w:rsidRPr="00033F8A">
        <w:rPr>
          <w:rFonts w:ascii="Times New Roman" w:hAnsi="Times New Roman" w:cs="Times New Roman"/>
        </w:rPr>
        <w:noBreakHyphen/>
        <w:t>sided α = 0.05 and power (1</w:t>
      </w:r>
      <w:r w:rsidRPr="00033F8A">
        <w:rPr>
          <w:rFonts w:ascii="Times New Roman" w:hAnsi="Times New Roman" w:cs="Times New Roman"/>
        </w:rPr>
        <w:noBreakHyphen/>
        <w:t>β) = 80%, the required sample size is 25 patients per group. To account for a 20% dropout rate, we aim to enroll 30 patients per group, for a total of 60 patients.</w:t>
      </w:r>
    </w:p>
    <w:p w14:paraId="0AB6F641"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Recruitment</w:t>
      </w:r>
    </w:p>
    <w:p w14:paraId="4F36CC09" w14:textId="4B538C52" w:rsidR="006E6CF2" w:rsidRPr="00033F8A" w:rsidRDefault="006E6CF2" w:rsidP="006E6CF2">
      <w:pPr>
        <w:rPr>
          <w:rFonts w:ascii="Times New Roman" w:hAnsi="Times New Roman" w:cs="Times New Roman"/>
        </w:rPr>
      </w:pPr>
      <w:r w:rsidRPr="00033F8A">
        <w:rPr>
          <w:rFonts w:ascii="Times New Roman" w:hAnsi="Times New Roman" w:cs="Times New Roman"/>
        </w:rPr>
        <w:t>Patients scheduled for unilateral knee arthroplasty at the Affiliated Hospital of Jiaxing University will be screened for eligibility by research staff. Consecutive eligible patients will be approached for informed consent.</w:t>
      </w:r>
    </w:p>
    <w:p w14:paraId="043E49A5"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Assignment of Interventions: Allocation</w:t>
      </w:r>
    </w:p>
    <w:p w14:paraId="649BE048"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lastRenderedPageBreak/>
        <w:t>Sequence Generation</w:t>
      </w:r>
    </w:p>
    <w:p w14:paraId="5A6F5597" w14:textId="6FF5794C" w:rsidR="007F508C" w:rsidRPr="00033F8A" w:rsidRDefault="007F508C" w:rsidP="006E6CF2">
      <w:pPr>
        <w:rPr>
          <w:rFonts w:ascii="Times New Roman" w:hAnsi="Times New Roman" w:cs="Times New Roman"/>
        </w:rPr>
      </w:pPr>
      <w:r w:rsidRPr="00033F8A">
        <w:rPr>
          <w:rFonts w:ascii="Times New Roman" w:hAnsi="Times New Roman" w:cs="Times New Roman"/>
        </w:rPr>
        <w:t>A computer-generated random sequence (SAS 9.4) was used to allocate patients in a 1:1 ratio to the OFA or OBA group. An independent statistician created the randomization scheme using blocked randomization (block size = 6) and implemented group assignments 24 hours before surgery.</w:t>
      </w:r>
    </w:p>
    <w:p w14:paraId="2C83C859"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Concealment Mechanism</w:t>
      </w:r>
    </w:p>
    <w:p w14:paraId="56A9BE9F"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Group allocations will be placed in sequentially numbered, sealed, opaque envelopes. The envelopes will be stored by a research nurse who is not involved in the study procedures.</w:t>
      </w:r>
    </w:p>
    <w:p w14:paraId="4902ADC2"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Implementation</w:t>
      </w:r>
    </w:p>
    <w:p w14:paraId="06D0B6B5"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On the day of surgery, after the patient has provided written informed consent and at least 30 min before induction, the attending anesthesiologist will open the next envelope to reveal the group assignment. The anesthesiologist will then prepare the corresponding anesthetic drugs.</w:t>
      </w:r>
    </w:p>
    <w:p w14:paraId="0FFDFF52"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Blinding</w:t>
      </w:r>
    </w:p>
    <w:p w14:paraId="549E784B" w14:textId="49A71B84" w:rsidR="00F6532E" w:rsidRPr="00033F8A" w:rsidRDefault="00F6532E" w:rsidP="00F6532E">
      <w:pPr>
        <w:spacing w:line="360" w:lineRule="auto"/>
        <w:ind w:firstLine="420"/>
        <w:rPr>
          <w:rFonts w:ascii="Times New Roman" w:eastAsia="DengXian" w:hAnsi="Times New Roman" w:cs="Times New Roman"/>
          <w:sz w:val="20"/>
          <w:szCs w:val="20"/>
        </w:rPr>
      </w:pPr>
      <w:bookmarkStart w:id="1" w:name="OLE_LINK1"/>
      <w:r w:rsidRPr="00033F8A">
        <w:rPr>
          <w:rFonts w:ascii="Times New Roman" w:eastAsia="DengXian" w:hAnsi="Times New Roman" w:cs="Times New Roman" w:hint="eastAsia"/>
          <w:sz w:val="20"/>
          <w:szCs w:val="20"/>
        </w:rPr>
        <w:t xml:space="preserve">This was a single-blind randomized controlled trial. An independent statistician generated a 1:1 blocked randomization sequence (block size = 6) using SAS 9.4 software, with group assignments implemented via a randomization system 24 hours before surgery. Allocation concealment was achieved using sealed, opaque envelopes with unique random codes, held by an independent operating room nurse and opened 30 minutes before anesthesia induction. </w:t>
      </w:r>
      <w:r w:rsidRPr="00033F8A">
        <w:rPr>
          <w:rFonts w:ascii="Times New Roman" w:eastAsia="DengXian" w:hAnsi="Times New Roman" w:cs="Times New Roman"/>
          <w:sz w:val="20"/>
          <w:szCs w:val="20"/>
        </w:rPr>
        <w:t>Participants, outcome</w:t>
      </w:r>
      <w:r w:rsidRPr="00033F8A">
        <w:rPr>
          <w:rFonts w:ascii="Times New Roman" w:eastAsia="DengXian" w:hAnsi="Times New Roman" w:cs="Times New Roman" w:hint="eastAsia"/>
          <w:sz w:val="20"/>
          <w:szCs w:val="20"/>
        </w:rPr>
        <w:t xml:space="preserve"> assessors (postoperative data collection coordinators), data analysts, and the principal investigator remained blinded to group allocation until database lock and final statistical analysis. Attending anesthesiologists could not be blinded due to the nature of the </w:t>
      </w:r>
      <w:r w:rsidRPr="00033F8A">
        <w:rPr>
          <w:rFonts w:ascii="Times New Roman" w:eastAsia="DengXian" w:hAnsi="Times New Roman" w:cs="Times New Roman"/>
          <w:sz w:val="20"/>
          <w:szCs w:val="20"/>
        </w:rPr>
        <w:t>interventions but</w:t>
      </w:r>
      <w:r w:rsidRPr="00033F8A">
        <w:rPr>
          <w:rFonts w:ascii="Times New Roman" w:eastAsia="DengXian" w:hAnsi="Times New Roman" w:cs="Times New Roman" w:hint="eastAsia"/>
          <w:sz w:val="20"/>
          <w:szCs w:val="20"/>
        </w:rPr>
        <w:t xml:space="preserve"> were strictly excluded from all postoperative data collection and analysis. Blinding was maintained by using identical syringes and infusion pumps for both groups, with anesthetic drugs prepared by the unblinded anesthesiologist in a separate area. After the collection of all 72-hour postoperative outcome indicators was completed and before formal unblinding, we conducted a blinding guess verification for all participants and outcome assessors in accordance with the standard of blinding verification for clinical randomized controlled trials </w:t>
      </w:r>
    </w:p>
    <w:bookmarkEnd w:id="1"/>
    <w:p w14:paraId="7D0A46A4"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Procedure for Unblinding if Needed</w:t>
      </w:r>
    </w:p>
    <w:p w14:paraId="05B3263E" w14:textId="7743B6FA" w:rsidR="006E6CF2" w:rsidRPr="00033F8A" w:rsidRDefault="006E6CF2" w:rsidP="006E6CF2">
      <w:pPr>
        <w:rPr>
          <w:rFonts w:ascii="Times New Roman" w:hAnsi="Times New Roman" w:cs="Times New Roman"/>
        </w:rPr>
      </w:pPr>
      <w:r w:rsidRPr="00033F8A">
        <w:rPr>
          <w:rFonts w:ascii="Times New Roman" w:hAnsi="Times New Roman" w:cs="Times New Roman"/>
        </w:rPr>
        <w:t>If a serious adverse event (SAE) occurs that requires knowledge of the allocated intervention for clinical management, the attending physician may request unblinding through the principal investigator. The reason for unblinding will be documented.</w:t>
      </w:r>
    </w:p>
    <w:p w14:paraId="44CEBF09"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Data Collection and Management</w:t>
      </w:r>
    </w:p>
    <w:p w14:paraId="4A83A40B"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Plans for Assessment and Collection of Outcomes</w:t>
      </w:r>
    </w:p>
    <w:p w14:paraId="373929CA"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Data will be collected prospectively using standardized electronic case report forms (eCRFs) and the hospital’s electronic medical record system. All research personnel involved in data collection will receive formal training on the protocol and assessment tools. Preoperative data (demographics, medical history, baseline immune function, VAS, PSQI) will be collected by a blinded research coordinator. Intraoperative data (drug doses, hemodynamics, vasopressor use) will be recorded by the attending anesthesiologist on a dedicated intraoperative eCRF. Postoperative outcomes will be assessed by blinded research coordinators at the specified time points.</w:t>
      </w:r>
    </w:p>
    <w:p w14:paraId="27050486"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lastRenderedPageBreak/>
        <w:t>Plans to Promote Participant Retention and Complete Follow</w:t>
      </w:r>
      <w:r w:rsidRPr="00033F8A">
        <w:rPr>
          <w:rFonts w:ascii="Times New Roman" w:hAnsi="Times New Roman" w:cs="Times New Roman"/>
          <w:b/>
          <w:bCs/>
        </w:rPr>
        <w:noBreakHyphen/>
        <w:t>up</w:t>
      </w:r>
    </w:p>
    <w:p w14:paraId="068B4FDE"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Participants will receive clear information about the follow</w:t>
      </w:r>
      <w:r w:rsidRPr="00033F8A">
        <w:rPr>
          <w:rFonts w:ascii="Times New Roman" w:hAnsi="Times New Roman" w:cs="Times New Roman"/>
        </w:rPr>
        <w:noBreakHyphen/>
        <w:t>up schedule during the consent process. Reminder calls may be made if necessary. The research team will address any concerns promptly to encourage retention.</w:t>
      </w:r>
    </w:p>
    <w:p w14:paraId="29839A31"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Data Management</w:t>
      </w:r>
    </w:p>
    <w:p w14:paraId="38BF1986"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All data will be entered into Microsoft Excel by an investigator and double</w:t>
      </w:r>
      <w:r w:rsidRPr="00033F8A">
        <w:rPr>
          <w:rFonts w:ascii="Times New Roman" w:hAnsi="Times New Roman" w:cs="Times New Roman"/>
        </w:rPr>
        <w:noBreakHyphen/>
        <w:t>checked for accuracy. Raw data (eCRFs) will be stored in a locked cabinet in the anesthesiology department. Electronic data will be stored on a password</w:t>
      </w:r>
      <w:r w:rsidRPr="00033F8A">
        <w:rPr>
          <w:rFonts w:ascii="Times New Roman" w:hAnsi="Times New Roman" w:cs="Times New Roman"/>
        </w:rPr>
        <w:noBreakHyphen/>
        <w:t>protected computer with access restricted to authorized personnel.</w:t>
      </w:r>
    </w:p>
    <w:p w14:paraId="16430DB6"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Confidentiality</w:t>
      </w:r>
    </w:p>
    <w:p w14:paraId="2571C567"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All researchers will adhere to patient confidentiality regulations. Personal data will be handled confidentially and managed in accordance with applicable data protection laws.</w:t>
      </w:r>
    </w:p>
    <w:p w14:paraId="18AEC26F"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Plans for Collection, Laboratory Evaluation, and Storage of Biological Specimens</w:t>
      </w:r>
    </w:p>
    <w:p w14:paraId="74071B76" w14:textId="58610795" w:rsidR="006E6CF2" w:rsidRPr="00033F8A" w:rsidRDefault="006E6CF2" w:rsidP="006E6CF2">
      <w:pPr>
        <w:rPr>
          <w:rFonts w:ascii="Times New Roman" w:hAnsi="Times New Roman" w:cs="Times New Roman"/>
        </w:rPr>
      </w:pPr>
      <w:r w:rsidRPr="00033F8A">
        <w:rPr>
          <w:rFonts w:ascii="Times New Roman" w:hAnsi="Times New Roman" w:cs="Times New Roman"/>
        </w:rPr>
        <w:t>Blood samples (5 mL) for immune function testing (NK cell proportion and lymphocyte subsets) will be collected preoperatively (day 1) and on postoperative day 3. Samples will be processed in the hospital’s clinical laboratory using flow cytometry. No genetic or molecular analyses are planned. Samples will be discarded after analysis according to institutional biohazard disposal protocols.</w:t>
      </w:r>
    </w:p>
    <w:p w14:paraId="4FB56E69"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Statistical Methods</w:t>
      </w:r>
    </w:p>
    <w:p w14:paraId="7E598563"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Statistical Methods for Primary and Secondary Outcomes</w:t>
      </w:r>
    </w:p>
    <w:p w14:paraId="7EFA2E08" w14:textId="77777777" w:rsidR="00F6532E" w:rsidRPr="00033F8A" w:rsidRDefault="00F6532E" w:rsidP="00F6532E">
      <w:pPr>
        <w:spacing w:line="360" w:lineRule="auto"/>
        <w:ind w:firstLineChars="100" w:firstLine="200"/>
        <w:rPr>
          <w:rFonts w:ascii="Times New Roman" w:eastAsia="DengXian" w:hAnsi="Times New Roman" w:cs="Times New Roman"/>
          <w:sz w:val="20"/>
          <w:szCs w:val="20"/>
        </w:rPr>
      </w:pPr>
      <w:bookmarkStart w:id="2" w:name="OLE_LINK15"/>
      <w:r w:rsidRPr="00033F8A">
        <w:rPr>
          <w:rFonts w:ascii="Times New Roman" w:eastAsia="DengXian" w:hAnsi="Times New Roman" w:cs="Times New Roman"/>
          <w:sz w:val="20"/>
          <w:szCs w:val="20"/>
        </w:rPr>
        <w:t xml:space="preserve">All analyses will be conducted according to the intention-to-treat (ITT) principle, in which all randomized participants </w:t>
      </w:r>
      <w:r w:rsidRPr="00033F8A">
        <w:rPr>
          <w:rFonts w:ascii="Times New Roman" w:eastAsia="DengXian" w:hAnsi="Times New Roman" w:cs="Times New Roman" w:hint="eastAsia"/>
          <w:sz w:val="20"/>
          <w:szCs w:val="20"/>
        </w:rPr>
        <w:t>will be</w:t>
      </w:r>
      <w:r w:rsidRPr="00033F8A">
        <w:rPr>
          <w:rFonts w:ascii="Times New Roman" w:eastAsia="DengXian" w:hAnsi="Times New Roman" w:cs="Times New Roman"/>
          <w:sz w:val="20"/>
          <w:szCs w:val="20"/>
        </w:rPr>
        <w:t xml:space="preserve"> analyzed in the group to which they were originally assigned, regardless of protocol adherence or the treatment ultimately received. Baseline demographic and clinical characteristics will be summarized to assess the balance achieved between the two groups by randomization. Continuous variables </w:t>
      </w:r>
      <w:r w:rsidRPr="00033F8A">
        <w:rPr>
          <w:rFonts w:ascii="Times New Roman" w:eastAsia="DengXian" w:hAnsi="Times New Roman" w:cs="Times New Roman" w:hint="eastAsia"/>
          <w:sz w:val="20"/>
          <w:szCs w:val="20"/>
        </w:rPr>
        <w:t>were</w:t>
      </w:r>
      <w:r w:rsidRPr="00033F8A">
        <w:rPr>
          <w:rFonts w:ascii="Times New Roman" w:eastAsia="DengXian" w:hAnsi="Times New Roman" w:cs="Times New Roman"/>
          <w:sz w:val="20"/>
          <w:szCs w:val="20"/>
        </w:rPr>
        <w:t xml:space="preserve"> presented as means with standard deviations (SDs) or medians with interquartile ranges (IQRs), while categorical variables </w:t>
      </w:r>
      <w:r w:rsidRPr="00033F8A">
        <w:rPr>
          <w:rFonts w:ascii="Times New Roman" w:eastAsia="DengXian" w:hAnsi="Times New Roman" w:cs="Times New Roman" w:hint="eastAsia"/>
          <w:sz w:val="20"/>
          <w:szCs w:val="20"/>
        </w:rPr>
        <w:t>were</w:t>
      </w:r>
      <w:r w:rsidRPr="00033F8A">
        <w:rPr>
          <w:rFonts w:ascii="Times New Roman" w:eastAsia="DengXian" w:hAnsi="Times New Roman" w:cs="Times New Roman"/>
          <w:sz w:val="20"/>
          <w:szCs w:val="20"/>
        </w:rPr>
        <w:t xml:space="preserve"> presented as frequencies and percentages. Between-group comparisons </w:t>
      </w:r>
      <w:r w:rsidRPr="00033F8A">
        <w:rPr>
          <w:rFonts w:ascii="Times New Roman" w:eastAsia="DengXian" w:hAnsi="Times New Roman" w:cs="Times New Roman" w:hint="eastAsia"/>
          <w:sz w:val="20"/>
          <w:szCs w:val="20"/>
        </w:rPr>
        <w:t>were</w:t>
      </w:r>
      <w:r w:rsidRPr="00033F8A">
        <w:rPr>
          <w:rFonts w:ascii="Times New Roman" w:eastAsia="DengXian" w:hAnsi="Times New Roman" w:cs="Times New Roman"/>
          <w:sz w:val="20"/>
          <w:szCs w:val="20"/>
        </w:rPr>
        <w:t xml:space="preserve"> performed using the independent samples t-test, the Mann-Whitney U test, or the χ² test (or Fisher's exact test, as appropriate). </w:t>
      </w:r>
    </w:p>
    <w:p w14:paraId="5EC4F5C5" w14:textId="77777777" w:rsidR="00F6532E" w:rsidRPr="00033F8A" w:rsidRDefault="00F6532E" w:rsidP="00F6532E">
      <w:pPr>
        <w:spacing w:line="360" w:lineRule="auto"/>
        <w:ind w:firstLineChars="200" w:firstLine="400"/>
        <w:rPr>
          <w:rFonts w:ascii="Times New Roman" w:eastAsia="DengXian" w:hAnsi="Times New Roman" w:cs="Times New Roman"/>
          <w:sz w:val="20"/>
          <w:szCs w:val="20"/>
        </w:rPr>
      </w:pPr>
      <w:r w:rsidRPr="00033F8A">
        <w:rPr>
          <w:rFonts w:ascii="Times New Roman" w:eastAsia="DengXian" w:hAnsi="Times New Roman" w:cs="Times New Roman"/>
          <w:sz w:val="20"/>
          <w:szCs w:val="20"/>
        </w:rPr>
        <w:t>The primary outcome was analyzed as a confirmatory analysis, which was defined as the pre-to-postoperative change in NK cell proportion (ΔNK). Between-group comparisons were performed using independent-samples t-test and ANCOVA adjusted for baseline NK proportion, age, and ASA status; within-group comparisons were conducted using paired t-test.</w:t>
      </w:r>
    </w:p>
    <w:p w14:paraId="451572FD" w14:textId="77777777" w:rsidR="00F6532E" w:rsidRPr="00033F8A" w:rsidRDefault="00F6532E" w:rsidP="00F6532E">
      <w:pPr>
        <w:spacing w:line="360" w:lineRule="auto"/>
        <w:ind w:firstLineChars="100" w:firstLine="200"/>
        <w:rPr>
          <w:rFonts w:ascii="Times New Roman" w:eastAsia="DengXian" w:hAnsi="Times New Roman" w:cs="Times New Roman"/>
          <w:sz w:val="20"/>
          <w:szCs w:val="20"/>
        </w:rPr>
      </w:pPr>
      <w:r w:rsidRPr="00033F8A">
        <w:rPr>
          <w:rFonts w:ascii="Times New Roman" w:eastAsia="DengXian" w:hAnsi="Times New Roman" w:cs="Times New Roman"/>
          <w:sz w:val="20"/>
          <w:szCs w:val="20"/>
        </w:rPr>
        <w:t xml:space="preserve">All secondary outcomes were considered as exploratory analyses. For immune cell subsets, paired t-tests were used for within-group comparisons and independent-samples t-tests for between-group comparisons. Repeated measurement data were analyzed using GEE with an exchangeable correlation matrix, adjusting for baseline values, and conducting Bonferroni-corrected post hoc pairwise comparisons. Single time-point continuous data were compared using independent-samples t-tests for normal distributions and Mann-Whitney U tests for non-normal distributions. Categorical data were </w:t>
      </w:r>
      <w:r w:rsidRPr="00033F8A">
        <w:rPr>
          <w:rFonts w:ascii="Times New Roman" w:eastAsia="DengXian" w:hAnsi="Times New Roman" w:cs="Times New Roman"/>
          <w:sz w:val="20"/>
          <w:szCs w:val="20"/>
        </w:rPr>
        <w:lastRenderedPageBreak/>
        <w:t>compared using Pearson χ² tests (Fisher’s exact test for expected frequencies &lt;5), while ordinal data were assessed using Mann-Whitney U tests.</w:t>
      </w:r>
    </w:p>
    <w:bookmarkEnd w:id="2"/>
    <w:p w14:paraId="76E48D1E"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Interim Analyses</w:t>
      </w:r>
    </w:p>
    <w:p w14:paraId="3906BC39"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No interim analyses are planned.</w:t>
      </w:r>
    </w:p>
    <w:p w14:paraId="526FA827" w14:textId="77777777" w:rsidR="006E6CF2" w:rsidRPr="00033F8A" w:rsidRDefault="006E6CF2" w:rsidP="006E6CF2">
      <w:pPr>
        <w:rPr>
          <w:rFonts w:ascii="Times New Roman" w:hAnsi="Times New Roman" w:cs="Times New Roman"/>
          <w:b/>
          <w:bCs/>
          <w:strike/>
        </w:rPr>
      </w:pPr>
      <w:r w:rsidRPr="00033F8A">
        <w:rPr>
          <w:rFonts w:ascii="Times New Roman" w:hAnsi="Times New Roman" w:cs="Times New Roman"/>
          <w:b/>
          <w:bCs/>
          <w:strike/>
        </w:rPr>
        <w:t>Methods for Additional Analyses (e.g., Subgroup Analyses)</w:t>
      </w:r>
    </w:p>
    <w:p w14:paraId="2092CB05" w14:textId="77777777" w:rsidR="006E6CF2" w:rsidRPr="00033F8A" w:rsidRDefault="006E6CF2" w:rsidP="006E6CF2">
      <w:pPr>
        <w:rPr>
          <w:rFonts w:ascii="Times New Roman" w:hAnsi="Times New Roman" w:cs="Times New Roman"/>
          <w:strike/>
        </w:rPr>
      </w:pPr>
      <w:r w:rsidRPr="00033F8A">
        <w:rPr>
          <w:rFonts w:ascii="Times New Roman" w:hAnsi="Times New Roman" w:cs="Times New Roman"/>
          <w:strike/>
        </w:rPr>
        <w:t>Exploratory subgroup analyses may be performed based on age (&lt;70 vs. ≥70 years), sex, or ASA class, provided sample sizes are adequate. Interaction tests will be used to assess heterogeneity of treatment effects.</w:t>
      </w:r>
    </w:p>
    <w:p w14:paraId="3A83330B"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Methods to Handle Missing Data</w:t>
      </w:r>
    </w:p>
    <w:p w14:paraId="5649F7A0" w14:textId="5301064B" w:rsidR="006E6CF2" w:rsidRPr="00033F8A" w:rsidRDefault="00F6532E" w:rsidP="00F6532E">
      <w:pPr>
        <w:spacing w:line="360" w:lineRule="auto"/>
        <w:ind w:firstLineChars="100" w:firstLine="200"/>
        <w:rPr>
          <w:rFonts w:ascii="Times New Roman" w:eastAsia="DengXian" w:hAnsi="Times New Roman" w:cs="Times New Roman"/>
          <w:sz w:val="20"/>
          <w:szCs w:val="20"/>
        </w:rPr>
      </w:pPr>
      <w:r w:rsidRPr="00033F8A">
        <w:rPr>
          <w:rFonts w:ascii="Times New Roman" w:eastAsia="DengXian" w:hAnsi="Times New Roman" w:cs="Times New Roman"/>
          <w:sz w:val="20"/>
          <w:szCs w:val="20"/>
        </w:rPr>
        <w:t xml:space="preserve">Missing data for repeated measures (missing rate &lt;5%) were handled via GEE likelihood-based estimation; immune outcome missing data were imputed via MICE (MAR assumption, 20 imputations). </w:t>
      </w:r>
    </w:p>
    <w:p w14:paraId="6EAD8BAA"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Plans to Give Access to the Full Protocol, Participant</w:t>
      </w:r>
      <w:r w:rsidRPr="00033F8A">
        <w:rPr>
          <w:rFonts w:ascii="Times New Roman" w:hAnsi="Times New Roman" w:cs="Times New Roman"/>
          <w:b/>
          <w:bCs/>
        </w:rPr>
        <w:noBreakHyphen/>
        <w:t>Level Data, and Statistical Code</w:t>
      </w:r>
    </w:p>
    <w:p w14:paraId="67D4F4C4" w14:textId="4BF01408" w:rsidR="006E6CF2" w:rsidRPr="00033F8A" w:rsidRDefault="006E6CF2" w:rsidP="006E6CF2">
      <w:pPr>
        <w:rPr>
          <w:rFonts w:ascii="Times New Roman" w:hAnsi="Times New Roman" w:cs="Times New Roman"/>
        </w:rPr>
      </w:pPr>
      <w:r w:rsidRPr="00033F8A">
        <w:rPr>
          <w:rFonts w:ascii="Times New Roman" w:hAnsi="Times New Roman" w:cs="Times New Roman"/>
        </w:rPr>
        <w:t>The full protocol is available from the corresponding author upon reasonable request. Participant</w:t>
      </w:r>
      <w:r w:rsidRPr="00033F8A">
        <w:rPr>
          <w:rFonts w:ascii="Times New Roman" w:hAnsi="Times New Roman" w:cs="Times New Roman"/>
        </w:rPr>
        <w:noBreakHyphen/>
        <w:t>level data will not be shared publicly due to privacy restrictions but may be made available to qualified researchers after de</w:t>
      </w:r>
      <w:r w:rsidRPr="00033F8A">
        <w:rPr>
          <w:rFonts w:ascii="Times New Roman" w:hAnsi="Times New Roman" w:cs="Times New Roman"/>
        </w:rPr>
        <w:noBreakHyphen/>
        <w:t>identification, subject to institutional approval.</w:t>
      </w:r>
    </w:p>
    <w:p w14:paraId="6FBEF53E"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Oversight and Monitoring</w:t>
      </w:r>
    </w:p>
    <w:p w14:paraId="0BD336E6"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Composition of the Coordinating Centre and Trial Steering Committee</w:t>
      </w:r>
    </w:p>
    <w:p w14:paraId="40EDD445"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This is an investigator</w:t>
      </w:r>
      <w:r w:rsidRPr="00033F8A">
        <w:rPr>
          <w:rFonts w:ascii="Times New Roman" w:hAnsi="Times New Roman" w:cs="Times New Roman"/>
        </w:rPr>
        <w:noBreakHyphen/>
        <w:t>initiated trial. The principal investigator (PI) is responsible for overall coordination, protocol adherence, and data integrity. A steering committee has not been formed.</w:t>
      </w:r>
    </w:p>
    <w:p w14:paraId="7EF5362D"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Composition of the Data Monitoring Committee</w:t>
      </w:r>
    </w:p>
    <w:p w14:paraId="202C57C2"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A formal data monitoring committee is not deemed necessary because the interventions are standard anesthetic drugs with well</w:t>
      </w:r>
      <w:r w:rsidRPr="00033F8A">
        <w:rPr>
          <w:rFonts w:ascii="Times New Roman" w:hAnsi="Times New Roman" w:cs="Times New Roman"/>
        </w:rPr>
        <w:noBreakHyphen/>
        <w:t>known safety profiles, and the trial is of moderate size and short duration. Safety monitoring will be conducted by the PI and the local Institutional Review Board (IRB).</w:t>
      </w:r>
    </w:p>
    <w:p w14:paraId="602F673F"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Adverse Event Reporting and Harms</w:t>
      </w:r>
    </w:p>
    <w:p w14:paraId="320874B8" w14:textId="77777777" w:rsidR="00314FD8" w:rsidRPr="00033F8A" w:rsidRDefault="00314FD8" w:rsidP="00314FD8">
      <w:pPr>
        <w:pStyle w:val="Body"/>
        <w:widowControl w:val="0"/>
        <w:rPr>
          <w:rFonts w:ascii="Times New Roman" w:hAnsi="Times New Roman" w:cs="Times New Roman"/>
          <w:color w:val="auto"/>
          <w:lang w:val="en-US" w:eastAsia="zh-CN"/>
        </w:rPr>
      </w:pPr>
      <w:r w:rsidRPr="00033F8A">
        <w:rPr>
          <w:rFonts w:ascii="Times New Roman" w:hAnsi="Times New Roman" w:cs="Times New Roman"/>
          <w:color w:val="auto"/>
          <w:lang w:val="en-US" w:eastAsia="zh-CN"/>
        </w:rPr>
        <w:t>All adverse events (AEs) and serious adverse events (SAEs) were systematically monitored and documented from the time of randomization until 48 hours postoperatively. An AE was defined as any untoward medical occurrence in a participant, regardless of whether it was considered related to the study intervention. An SAE was defined as any AE that resulted in death, was life-threatening, required inpatient hospitalization or prolongation of existing hospitalization, or resulted in persistent or significant disability.</w:t>
      </w:r>
    </w:p>
    <w:p w14:paraId="09728B84" w14:textId="77777777" w:rsidR="00314FD8" w:rsidRPr="00033F8A" w:rsidRDefault="00314FD8" w:rsidP="00314FD8">
      <w:pPr>
        <w:pStyle w:val="Body"/>
        <w:widowControl w:val="0"/>
        <w:rPr>
          <w:rFonts w:ascii="Times New Roman" w:hAnsi="Times New Roman" w:cs="Times New Roman"/>
          <w:color w:val="auto"/>
          <w:lang w:val="en-US" w:eastAsia="zh-CN"/>
        </w:rPr>
      </w:pPr>
      <w:r w:rsidRPr="00033F8A">
        <w:rPr>
          <w:rFonts w:ascii="Times New Roman" w:hAnsi="Times New Roman" w:cs="Times New Roman"/>
          <w:color w:val="auto"/>
          <w:lang w:val="en-US" w:eastAsia="zh-CN"/>
        </w:rPr>
        <w:t>The unblinded attending anesthesiologist was responsible for identifying and documenting any intraoperative AEs. Blinded research coordinators and nursing staff were responsible for identifying and documenting postoperative AEs through systematic assessment and patient interviews.</w:t>
      </w:r>
    </w:p>
    <w:p w14:paraId="0A5F042C" w14:textId="77777777" w:rsidR="00314FD8" w:rsidRPr="00033F8A" w:rsidRDefault="00314FD8" w:rsidP="00314FD8">
      <w:pPr>
        <w:pStyle w:val="Body"/>
        <w:widowControl w:val="0"/>
        <w:rPr>
          <w:rFonts w:ascii="Times New Roman" w:hAnsi="Times New Roman" w:cs="Times New Roman"/>
          <w:color w:val="auto"/>
          <w:lang w:val="en-US" w:eastAsia="zh-CN"/>
        </w:rPr>
      </w:pPr>
      <w:r w:rsidRPr="00033F8A">
        <w:rPr>
          <w:rFonts w:ascii="Times New Roman" w:hAnsi="Times New Roman" w:cs="Times New Roman"/>
          <w:color w:val="auto"/>
          <w:lang w:val="en-US" w:eastAsia="zh-CN"/>
        </w:rPr>
        <w:t>All AEs were recorded on a dedicated page in the electronic case report form, detailing the event, its onset and resolution, severity (mild, moderate, or severe), and the investigator's assessment of its relationship to the study intervention (definitely related, probably related, possibly related, or not related). All SAEs were required to be reported to the principal investigator within 24 hours of awareness and subsequently to the IRB in accordance with local regulatory requirements and institutional policies.</w:t>
      </w:r>
    </w:p>
    <w:p w14:paraId="24F404E6"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Frequency and Plans for Auditing Trial Conduct</w:t>
      </w:r>
    </w:p>
    <w:p w14:paraId="406CA3C0"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An independent researcher not involved in the trial will review protocol adherence, data quality, and informed consent documentation every two weeks.</w:t>
      </w:r>
    </w:p>
    <w:p w14:paraId="22D2DF6F"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lastRenderedPageBreak/>
        <w:t>Plans for Communicating Important Protocol Amendments</w:t>
      </w:r>
    </w:p>
    <w:p w14:paraId="0ED26145" w14:textId="131B65DD" w:rsidR="006E6CF2" w:rsidRPr="00033F8A" w:rsidRDefault="006E6CF2" w:rsidP="006E6CF2">
      <w:pPr>
        <w:rPr>
          <w:rFonts w:ascii="Times New Roman" w:hAnsi="Times New Roman" w:cs="Times New Roman"/>
        </w:rPr>
      </w:pPr>
      <w:r w:rsidRPr="00033F8A">
        <w:rPr>
          <w:rFonts w:ascii="Times New Roman" w:hAnsi="Times New Roman" w:cs="Times New Roman"/>
        </w:rPr>
        <w:t xml:space="preserve">Any protocol amendments will be submitted to the IRB for approval before implementation. </w:t>
      </w:r>
    </w:p>
    <w:p w14:paraId="37EA5388" w14:textId="77777777"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Dissemination Plans</w:t>
      </w:r>
    </w:p>
    <w:p w14:paraId="4D9DA0D8" w14:textId="77777777" w:rsidR="00314FD8" w:rsidRPr="00033F8A" w:rsidRDefault="00314FD8" w:rsidP="006E6CF2">
      <w:pPr>
        <w:rPr>
          <w:rFonts w:ascii="Times New Roman" w:hAnsi="Times New Roman" w:cs="Times New Roman"/>
        </w:rPr>
      </w:pPr>
      <w:r w:rsidRPr="00033F8A">
        <w:rPr>
          <w:rFonts w:ascii="Times New Roman" w:hAnsi="Times New Roman" w:cs="Times New Roman"/>
        </w:rPr>
        <w:t xml:space="preserve">Upon completion of the statistical analysis, we will make every effort to publish the results in reputable peer-reviewed journals specializing in clinical anesthesia. </w:t>
      </w:r>
    </w:p>
    <w:p w14:paraId="00E859C3" w14:textId="39C820C3" w:rsidR="006E6CF2" w:rsidRPr="00033F8A" w:rsidRDefault="006E6CF2" w:rsidP="006E6CF2">
      <w:pPr>
        <w:rPr>
          <w:rFonts w:ascii="Times New Roman" w:hAnsi="Times New Roman" w:cs="Times New Roman"/>
          <w:b/>
          <w:bCs/>
        </w:rPr>
      </w:pPr>
      <w:r w:rsidRPr="00033F8A">
        <w:rPr>
          <w:rFonts w:ascii="Times New Roman" w:hAnsi="Times New Roman" w:cs="Times New Roman"/>
          <w:b/>
          <w:bCs/>
        </w:rPr>
        <w:t>Discussion</w:t>
      </w:r>
    </w:p>
    <w:p w14:paraId="6CC83F37"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This single</w:t>
      </w:r>
      <w:r w:rsidRPr="00033F8A">
        <w:rPr>
          <w:rFonts w:ascii="Times New Roman" w:hAnsi="Times New Roman" w:cs="Times New Roman"/>
        </w:rPr>
        <w:noBreakHyphen/>
        <w:t>center, randomized, single</w:t>
      </w:r>
      <w:r w:rsidRPr="00033F8A">
        <w:rPr>
          <w:rFonts w:ascii="Times New Roman" w:hAnsi="Times New Roman" w:cs="Times New Roman"/>
        </w:rPr>
        <w:noBreakHyphen/>
        <w:t>blind trial is designed to evaluate whether opioid</w:t>
      </w:r>
      <w:r w:rsidRPr="00033F8A">
        <w:rPr>
          <w:rFonts w:ascii="Times New Roman" w:hAnsi="Times New Roman" w:cs="Times New Roman"/>
        </w:rPr>
        <w:noBreakHyphen/>
        <w:t>free anesthesia, combined with regional blocks, can preserve postoperative immune function better than standard opioid</w:t>
      </w:r>
      <w:r w:rsidRPr="00033F8A">
        <w:rPr>
          <w:rFonts w:ascii="Times New Roman" w:hAnsi="Times New Roman" w:cs="Times New Roman"/>
        </w:rPr>
        <w:noBreakHyphen/>
        <w:t>based anesthesia in elderly patients undergoing unilateral knee arthroplasty. The primary endpoint—change in NK cell proportion—is a sensitive marker of innate immunity and has been linked to postoperative infection and cancer recurrence in some studies. By also assessing a comprehensive set of secondary outcomes including pain, function, recovery quality, and safety, we aim to provide a holistic view of the potential benefits of OFA in this vulnerable population.</w:t>
      </w:r>
    </w:p>
    <w:p w14:paraId="592E15B8"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Strengths of this study include its randomized design, strict blinding of outcome assessors, and a well</w:t>
      </w:r>
      <w:r w:rsidRPr="00033F8A">
        <w:rPr>
          <w:rFonts w:ascii="Times New Roman" w:hAnsi="Times New Roman" w:cs="Times New Roman"/>
        </w:rPr>
        <w:noBreakHyphen/>
        <w:t>defined, standardized anesthetic protocol. The use of multimodal non</w:t>
      </w:r>
      <w:r w:rsidRPr="00033F8A">
        <w:rPr>
          <w:rFonts w:ascii="Times New Roman" w:hAnsi="Times New Roman" w:cs="Times New Roman"/>
        </w:rPr>
        <w:noBreakHyphen/>
        <w:t>opioid agents (esketamine, dexmedetomidine, lidocaine) in the OFA group reflects current clinical trends, while the OBA group represents routine practice. The combination of IPACK and ACB blocks ensures effective posterior knee analgesia, minimizing confounding from uncontrolled pain.</w:t>
      </w:r>
    </w:p>
    <w:p w14:paraId="58041912"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Limitations include the single</w:t>
      </w:r>
      <w:r w:rsidRPr="00033F8A">
        <w:rPr>
          <w:rFonts w:ascii="Times New Roman" w:hAnsi="Times New Roman" w:cs="Times New Roman"/>
        </w:rPr>
        <w:noBreakHyphen/>
        <w:t>center setting, which may limit generalizability, and the inability to blind the attending anesthesiologist. However, the use of objective outcomes (laboratory values, extubation time) and blinded assessors reduces bias. The sample size is modest and powered for the primary outcome, but subgroup analyses may be underpowered. The postoperative PCIA contains sufentanil in both groups, which could attenuate differences in opioid</w:t>
      </w:r>
      <w:r w:rsidRPr="00033F8A">
        <w:rPr>
          <w:rFonts w:ascii="Times New Roman" w:hAnsi="Times New Roman" w:cs="Times New Roman"/>
        </w:rPr>
        <w:noBreakHyphen/>
        <w:t>related immune effects; however, this pragmatic design reflects real</w:t>
      </w:r>
      <w:r w:rsidRPr="00033F8A">
        <w:rPr>
          <w:rFonts w:ascii="Times New Roman" w:hAnsi="Times New Roman" w:cs="Times New Roman"/>
        </w:rPr>
        <w:noBreakHyphen/>
        <w:t>world practice where complete opioid avoidance throughout the entire perioperative period is often not feasible.</w:t>
      </w:r>
    </w:p>
    <w:p w14:paraId="3042B097" w14:textId="77777777" w:rsidR="006E6CF2" w:rsidRPr="00033F8A" w:rsidRDefault="006E6CF2" w:rsidP="006E6CF2">
      <w:pPr>
        <w:rPr>
          <w:rFonts w:ascii="Times New Roman" w:hAnsi="Times New Roman" w:cs="Times New Roman"/>
        </w:rPr>
      </w:pPr>
      <w:r w:rsidRPr="00033F8A">
        <w:rPr>
          <w:rFonts w:ascii="Times New Roman" w:hAnsi="Times New Roman" w:cs="Times New Roman"/>
        </w:rPr>
        <w:t>In conclusion, this trial will provide valuable evidence on the impact of intraoperative opioid avoidance on immune function and clinical recovery in elderly arthroplasty patients. If OFA proves beneficial, it could support a shift in anesthetic practice toward opioid</w:t>
      </w:r>
      <w:r w:rsidRPr="00033F8A">
        <w:rPr>
          <w:rFonts w:ascii="Times New Roman" w:hAnsi="Times New Roman" w:cs="Times New Roman"/>
        </w:rPr>
        <w:noBreakHyphen/>
        <w:t>free strategies for this population.</w:t>
      </w:r>
    </w:p>
    <w:p w14:paraId="097D5DA9" w14:textId="33306DAA" w:rsidR="006E6CF2" w:rsidRPr="00033F8A" w:rsidRDefault="006E6CF2" w:rsidP="006E6CF2"/>
    <w:p w14:paraId="297ED6D7" w14:textId="77777777" w:rsidR="006E6CF2" w:rsidRPr="00033F8A" w:rsidRDefault="006E6CF2" w:rsidP="006E6CF2">
      <w:pPr>
        <w:rPr>
          <w:b/>
          <w:bCs/>
        </w:rPr>
      </w:pPr>
      <w:r w:rsidRPr="00033F8A">
        <w:rPr>
          <w:b/>
          <w:bCs/>
        </w:rPr>
        <w:t>References</w:t>
      </w:r>
    </w:p>
    <w:p w14:paraId="0204C3A9" w14:textId="77777777" w:rsidR="006E6CF2" w:rsidRPr="00033F8A" w:rsidRDefault="006E6CF2" w:rsidP="006E6CF2">
      <w:pPr>
        <w:numPr>
          <w:ilvl w:val="0"/>
          <w:numId w:val="9"/>
        </w:numPr>
      </w:pPr>
      <w:r w:rsidRPr="00033F8A">
        <w:t>Ballantyne JC, Sullivan MD. Discovery of endogenous opioid systems: what it has meant for the clinician's understanding of pain and its treatment. Pain. 2017;158(12):2290-300.</w:t>
      </w:r>
    </w:p>
    <w:p w14:paraId="0BD2DDCD" w14:textId="77777777" w:rsidR="006E6CF2" w:rsidRPr="00033F8A" w:rsidRDefault="006E6CF2" w:rsidP="006E6CF2">
      <w:pPr>
        <w:numPr>
          <w:ilvl w:val="0"/>
          <w:numId w:val="9"/>
        </w:numPr>
      </w:pPr>
      <w:r w:rsidRPr="00033F8A">
        <w:t>Brat GA, Agniel D, Beam A, et al. Postsurgical prescriptions for opioid naive patients and association with overdose and misuse: retrospective cohort study. BMJ. 2018;360:j5790.</w:t>
      </w:r>
    </w:p>
    <w:p w14:paraId="3393A5D1" w14:textId="77777777" w:rsidR="006E6CF2" w:rsidRPr="00033F8A" w:rsidRDefault="006E6CF2" w:rsidP="006E6CF2">
      <w:pPr>
        <w:numPr>
          <w:ilvl w:val="0"/>
          <w:numId w:val="9"/>
        </w:numPr>
      </w:pPr>
      <w:r w:rsidRPr="00033F8A">
        <w:t>周巧雁, 王志发, 郝在军. 静脉麻醉药对机体免疫功能影响的研究进展. 中国现代医药杂志. 2015;(11):103-5.</w:t>
      </w:r>
    </w:p>
    <w:p w14:paraId="424D1111" w14:textId="77777777" w:rsidR="006E6CF2" w:rsidRPr="00033F8A" w:rsidRDefault="006E6CF2" w:rsidP="006E6CF2">
      <w:pPr>
        <w:numPr>
          <w:ilvl w:val="0"/>
          <w:numId w:val="9"/>
        </w:numPr>
      </w:pPr>
      <w:r w:rsidRPr="00033F8A">
        <w:t>Beloeil H. Opioid-free anesthesia. Best Pract Res Clin Anaesthesiol. 2019;33(3):353-60.</w:t>
      </w:r>
    </w:p>
    <w:p w14:paraId="21949514" w14:textId="77777777" w:rsidR="006E6CF2" w:rsidRPr="00033F8A" w:rsidRDefault="006E6CF2" w:rsidP="006E6CF2">
      <w:pPr>
        <w:numPr>
          <w:ilvl w:val="0"/>
          <w:numId w:val="9"/>
        </w:numPr>
      </w:pPr>
      <w:r w:rsidRPr="00033F8A">
        <w:t>Woo JH, Baik HJ, Kim CH, et al. Effect of Propofol and Desflurane on Immune Cell Populations in Breast Cancer Patients: A Randomized Trial. J Korean Med Sci. 2015;30(10):1503-8.</w:t>
      </w:r>
    </w:p>
    <w:p w14:paraId="5C27DE9B" w14:textId="77777777" w:rsidR="006E6CF2" w:rsidRPr="00033F8A" w:rsidRDefault="006E6CF2" w:rsidP="006E6CF2">
      <w:pPr>
        <w:numPr>
          <w:ilvl w:val="0"/>
          <w:numId w:val="9"/>
        </w:numPr>
      </w:pPr>
      <w:r w:rsidRPr="00033F8A">
        <w:lastRenderedPageBreak/>
        <w:t>Ziemann-Gimmel P, Goldfarb AA, Koppman J, et al. Opioid-free total intravenous anaesthesia reduces postoperative nausea and vomiting in bariatric surgery beyond triple prophylaxis. Br J Anaesth. 2014;112(5):906-11.</w:t>
      </w:r>
    </w:p>
    <w:p w14:paraId="0093BEF2" w14:textId="77777777" w:rsidR="006E6CF2" w:rsidRPr="00033F8A" w:rsidRDefault="006E6CF2" w:rsidP="006E6CF2">
      <w:pPr>
        <w:numPr>
          <w:ilvl w:val="0"/>
          <w:numId w:val="9"/>
        </w:numPr>
      </w:pPr>
      <w:r w:rsidRPr="00033F8A">
        <w:t>Frauenknecht J, Kirkham KR, Jacot-Guillarmod A, et al. Analgesic impact of intra-operative opioids vs. opioid-free anaesthesia: a systematic review and meta-analysis. Anaesthesia. 2019;74(5):651-62.</w:t>
      </w:r>
    </w:p>
    <w:p w14:paraId="3F110D33" w14:textId="77777777" w:rsidR="006E6CF2" w:rsidRPr="00033F8A" w:rsidRDefault="006E6CF2" w:rsidP="006E6CF2">
      <w:pPr>
        <w:numPr>
          <w:ilvl w:val="0"/>
          <w:numId w:val="9"/>
        </w:numPr>
      </w:pPr>
      <w:r w:rsidRPr="00033F8A">
        <w:t>Lirk P, Rathmell JP. Opioid-free anaesthesia: Con: it is too early to adopt opioid-free anaesthesia today. Eur J Anaesthesiol. 2019;36(4):250-4.</w:t>
      </w:r>
    </w:p>
    <w:p w14:paraId="0C343BB8" w14:textId="77777777" w:rsidR="006E6CF2" w:rsidRPr="00033F8A" w:rsidRDefault="006E6CF2" w:rsidP="006E6CF2">
      <w:pPr>
        <w:numPr>
          <w:ilvl w:val="0"/>
          <w:numId w:val="9"/>
        </w:numPr>
      </w:pPr>
      <w:r w:rsidRPr="00033F8A">
        <w:rPr>
          <w:lang w:val="fr-FR"/>
        </w:rPr>
        <w:t xml:space="preserve">Ursulet E, Bonnet C, Lopez S, et al. </w:t>
      </w:r>
      <w:r w:rsidRPr="00033F8A">
        <w:t>Quality of recovery after non opioid versus opioid anesthesia for spinal surgery: A prospective observational study. J Clin Anesth. 2020;61:109689.</w:t>
      </w:r>
    </w:p>
    <w:p w14:paraId="4AE3A6C8" w14:textId="77777777" w:rsidR="006E6CF2" w:rsidRPr="00033F8A" w:rsidRDefault="006E6CF2" w:rsidP="006E6CF2">
      <w:pPr>
        <w:numPr>
          <w:ilvl w:val="0"/>
          <w:numId w:val="9"/>
        </w:numPr>
      </w:pPr>
      <w:r w:rsidRPr="00033F8A">
        <w:rPr>
          <w:lang w:val="fr-FR"/>
        </w:rPr>
        <w:t xml:space="preserve">Olausson A, Svensson CJ, Andrell P, et al. </w:t>
      </w:r>
      <w:r w:rsidRPr="00033F8A">
        <w:t>Total opioid-free general anaesthesia can improve postoperative outcomes after surgery, without evidence of adverse effects on patient safety and pain management: A systematic review and meta-analysis. Acta Anaesthesiol Scand. 2022;66(2):170-85.</w:t>
      </w:r>
    </w:p>
    <w:p w14:paraId="1A82358D" w14:textId="77777777" w:rsidR="006E6CF2" w:rsidRPr="00033F8A" w:rsidRDefault="006E6CF2" w:rsidP="006E6CF2">
      <w:pPr>
        <w:numPr>
          <w:ilvl w:val="0"/>
          <w:numId w:val="9"/>
        </w:numPr>
      </w:pPr>
      <w:r w:rsidRPr="00033F8A">
        <w:t>王亭, 路瑶, 郭庆宏, 等. 艾司氯胺酮与阿片类镇痛药对妇科腹腔镜手术患者术后细胞免疫功能影响的比较. 中华麻醉学杂志. 2021;41(11):1321-5.</w:t>
      </w:r>
    </w:p>
    <w:p w14:paraId="104D3579" w14:textId="77777777" w:rsidR="006E6CF2" w:rsidRPr="00033F8A" w:rsidRDefault="006E6CF2" w:rsidP="006E6CF2">
      <w:pPr>
        <w:numPr>
          <w:ilvl w:val="0"/>
          <w:numId w:val="9"/>
        </w:numPr>
      </w:pPr>
      <w:r w:rsidRPr="00033F8A">
        <w:t>Al-Hashimi M, Scott SW, Thompson JP, et al. Opioids and immune modulation: more questions than answers. Br J Anaesth. 2013;111(1):80-8.</w:t>
      </w:r>
    </w:p>
    <w:p w14:paraId="7D090EDD" w14:textId="77777777" w:rsidR="006E6CF2" w:rsidRPr="00033F8A" w:rsidRDefault="006E6CF2" w:rsidP="006E6CF2">
      <w:pPr>
        <w:numPr>
          <w:ilvl w:val="0"/>
          <w:numId w:val="9"/>
        </w:numPr>
      </w:pPr>
      <w:r w:rsidRPr="00033F8A">
        <w:t>Vazquez-Grande G, Kumar A. Optimizing antimicrobial therapy of sepsis and septic shock: focus on antibiotic combination therapy. Semin Respir Crit Care Med. 2015;36(1):154-66.</w:t>
      </w:r>
    </w:p>
    <w:p w14:paraId="5F8C1F0E" w14:textId="77777777" w:rsidR="006E6CF2" w:rsidRPr="00033F8A" w:rsidRDefault="006E6CF2" w:rsidP="006E6CF2">
      <w:pPr>
        <w:numPr>
          <w:ilvl w:val="0"/>
          <w:numId w:val="9"/>
        </w:numPr>
      </w:pPr>
      <w:r w:rsidRPr="00033F8A">
        <w:t>Hussain N, Brull R, Sheehy B, et al. Does the addition of iPACK to adductor canal block in the presence or absence of periarticular local anesthetic infiltration improve analgesic and functional outcomes following total knee arthroplasty? A systematic review and meta-analysis. Reg Anesth Pain Med. 2021;46(8):713-21.</w:t>
      </w:r>
    </w:p>
    <w:p w14:paraId="1D905626" w14:textId="77777777" w:rsidR="006E6CF2" w:rsidRPr="00033F8A" w:rsidRDefault="006E6CF2" w:rsidP="006E6CF2">
      <w:pPr>
        <w:numPr>
          <w:ilvl w:val="0"/>
          <w:numId w:val="9"/>
        </w:numPr>
      </w:pPr>
      <w:r w:rsidRPr="00033F8A">
        <w:t>Kertkiatkachorn W, Kampitak W, Tanavalee A, et al. Adductor Canal Block Combined With iPACK (Interspace Between the Popliteal Artery and the Capsule of the Posterior Knee) Block vs Periarticular Injection for Analgesia After Total Knee Arthroplasty: A Randomized Noninferiority Trial. J Arthroplasty. 2021;36(1):122-9 e1.</w:t>
      </w:r>
    </w:p>
    <w:p w14:paraId="45459F29" w14:textId="77777777" w:rsidR="006E6CF2" w:rsidRPr="00033F8A" w:rsidRDefault="006E6CF2" w:rsidP="006E6CF2">
      <w:pPr>
        <w:numPr>
          <w:ilvl w:val="0"/>
          <w:numId w:val="9"/>
        </w:numPr>
      </w:pPr>
      <w:r w:rsidRPr="00033F8A">
        <w:t>王春光, 张志强, 李艳军, 等. 股三角与收肌管入路隐神经阻滞用于膝关节置换术病人术后镇痛效果的比较. 中华麻醉学杂志. 2019;39(8):953-6.</w:t>
      </w:r>
    </w:p>
    <w:p w14:paraId="1AF7B9F2" w14:textId="77777777" w:rsidR="006E6CF2" w:rsidRPr="00033F8A" w:rsidRDefault="006E6CF2" w:rsidP="006E6CF2">
      <w:pPr>
        <w:numPr>
          <w:ilvl w:val="0"/>
          <w:numId w:val="9"/>
        </w:numPr>
      </w:pPr>
      <w:r w:rsidRPr="00033F8A">
        <w:t>Wang CG, Ding YL, Wang YY, et al. Comparison of Adductor Canal Block and Femoral Triangle Block for Total Knee Arthroplasty. Clin J Pain. 2020;36(7):558-61.</w:t>
      </w:r>
    </w:p>
    <w:p w14:paraId="2CA5286C" w14:textId="77777777" w:rsidR="006E6CF2" w:rsidRPr="00033F8A" w:rsidRDefault="006E6CF2" w:rsidP="006E6CF2">
      <w:pPr>
        <w:numPr>
          <w:ilvl w:val="0"/>
          <w:numId w:val="9"/>
        </w:numPr>
      </w:pPr>
      <w:r w:rsidRPr="00033F8A">
        <w:t>胡玲, 康路, 王瑞婷, 等. 超声引导下收肌管联合IPACK阻滞在老年患者全膝关节置换术中的应用. 实用医学杂志. 2020;36(7):4.</w:t>
      </w:r>
    </w:p>
    <w:p w14:paraId="570C70DA" w14:textId="77777777" w:rsidR="006E6CF2" w:rsidRPr="00033F8A" w:rsidRDefault="006E6CF2" w:rsidP="006E6CF2">
      <w:pPr>
        <w:numPr>
          <w:ilvl w:val="0"/>
          <w:numId w:val="9"/>
        </w:numPr>
      </w:pPr>
      <w:r w:rsidRPr="00033F8A">
        <w:t>李敏, 陈鹭, 吴黄辉, 等. 收肌管联合IPACK阻滞用于全膝关节置换术后多模式镇痛的效果. 中华麻醉学杂志. 2019;39(5):574-7.</w:t>
      </w:r>
    </w:p>
    <w:p w14:paraId="42FF376E" w14:textId="77777777" w:rsidR="006E6CF2" w:rsidRPr="00033F8A" w:rsidRDefault="006E6CF2"/>
    <w:sectPr w:rsidR="006E6CF2" w:rsidRPr="00033F8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46A2A" w14:textId="77777777" w:rsidR="00607DAC" w:rsidRDefault="00607DAC" w:rsidP="006E6CF2">
      <w:r>
        <w:separator/>
      </w:r>
    </w:p>
  </w:endnote>
  <w:endnote w:type="continuationSeparator" w:id="0">
    <w:p w14:paraId="073F9802" w14:textId="77777777" w:rsidR="00607DAC" w:rsidRDefault="00607DAC" w:rsidP="006E6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7C00D" w14:textId="77777777" w:rsidR="00607DAC" w:rsidRDefault="00607DAC" w:rsidP="006E6CF2">
      <w:r>
        <w:separator/>
      </w:r>
    </w:p>
  </w:footnote>
  <w:footnote w:type="continuationSeparator" w:id="0">
    <w:p w14:paraId="2B617CF6" w14:textId="77777777" w:rsidR="00607DAC" w:rsidRDefault="00607DAC" w:rsidP="006E6C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043DC"/>
    <w:multiLevelType w:val="multilevel"/>
    <w:tmpl w:val="3E50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174D2"/>
    <w:multiLevelType w:val="multilevel"/>
    <w:tmpl w:val="E34A2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7B62C0"/>
    <w:multiLevelType w:val="multilevel"/>
    <w:tmpl w:val="79508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944A56"/>
    <w:multiLevelType w:val="hybridMultilevel"/>
    <w:tmpl w:val="831E96F4"/>
    <w:lvl w:ilvl="0" w:tplc="397A80F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33CC4939"/>
    <w:multiLevelType w:val="multilevel"/>
    <w:tmpl w:val="AA2E5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D575BD"/>
    <w:multiLevelType w:val="multilevel"/>
    <w:tmpl w:val="2C960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770200"/>
    <w:multiLevelType w:val="multilevel"/>
    <w:tmpl w:val="F7588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536365"/>
    <w:multiLevelType w:val="multilevel"/>
    <w:tmpl w:val="FBD4B252"/>
    <w:lvl w:ilvl="0">
      <w:start w:val="1"/>
      <w:numFmt w:val="bullet"/>
      <w:lvlText w:val=""/>
      <w:lvlJc w:val="left"/>
      <w:pPr>
        <w:tabs>
          <w:tab w:val="num" w:pos="720"/>
        </w:tabs>
        <w:ind w:left="720" w:hanging="360"/>
      </w:pPr>
      <w:rPr>
        <w:rFonts w:ascii="Symbol" w:hAnsi="Symbo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842E61"/>
    <w:multiLevelType w:val="multilevel"/>
    <w:tmpl w:val="0BA65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0C7D8A"/>
    <w:multiLevelType w:val="multilevel"/>
    <w:tmpl w:val="E968D340"/>
    <w:lvl w:ilvl="0">
      <w:start w:val="1"/>
      <w:numFmt w:val="decimal"/>
      <w:lvlText w:val="%1."/>
      <w:lvlJc w:val="left"/>
      <w:pPr>
        <w:tabs>
          <w:tab w:val="num" w:pos="720"/>
        </w:tabs>
        <w:ind w:left="720" w:hanging="360"/>
      </w:pPr>
      <w:rPr>
        <w:rFonts w:asciiTheme="minorHAnsi" w:eastAsiaTheme="minorEastAsia" w:hAnsiTheme="minorHAns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F95514"/>
    <w:multiLevelType w:val="multilevel"/>
    <w:tmpl w:val="67161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8741570">
    <w:abstractNumId w:val="5"/>
  </w:num>
  <w:num w:numId="2" w16cid:durableId="1213728993">
    <w:abstractNumId w:val="10"/>
  </w:num>
  <w:num w:numId="3" w16cid:durableId="139006593">
    <w:abstractNumId w:val="8"/>
  </w:num>
  <w:num w:numId="4" w16cid:durableId="632558487">
    <w:abstractNumId w:val="1"/>
  </w:num>
  <w:num w:numId="5" w16cid:durableId="126628818">
    <w:abstractNumId w:val="7"/>
  </w:num>
  <w:num w:numId="6" w16cid:durableId="1281455762">
    <w:abstractNumId w:val="4"/>
  </w:num>
  <w:num w:numId="7" w16cid:durableId="1433670027">
    <w:abstractNumId w:val="0"/>
  </w:num>
  <w:num w:numId="8" w16cid:durableId="1859922783">
    <w:abstractNumId w:val="6"/>
  </w:num>
  <w:num w:numId="9" w16cid:durableId="703024166">
    <w:abstractNumId w:val="2"/>
  </w:num>
  <w:num w:numId="10" w16cid:durableId="1874882743">
    <w:abstractNumId w:val="9"/>
  </w:num>
  <w:num w:numId="11" w16cid:durableId="15674922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E81"/>
    <w:rsid w:val="00006B90"/>
    <w:rsid w:val="00033F8A"/>
    <w:rsid w:val="000525BB"/>
    <w:rsid w:val="00064FEE"/>
    <w:rsid w:val="00132980"/>
    <w:rsid w:val="0017173B"/>
    <w:rsid w:val="001D0DB9"/>
    <w:rsid w:val="001D1CF5"/>
    <w:rsid w:val="0020242B"/>
    <w:rsid w:val="00273A4C"/>
    <w:rsid w:val="00314FD8"/>
    <w:rsid w:val="00322323"/>
    <w:rsid w:val="003F7CFD"/>
    <w:rsid w:val="00406D8D"/>
    <w:rsid w:val="00476C51"/>
    <w:rsid w:val="00481828"/>
    <w:rsid w:val="00521A68"/>
    <w:rsid w:val="005A05EA"/>
    <w:rsid w:val="005A5942"/>
    <w:rsid w:val="00607DAC"/>
    <w:rsid w:val="006115F1"/>
    <w:rsid w:val="006214AA"/>
    <w:rsid w:val="0065215C"/>
    <w:rsid w:val="006C7FE1"/>
    <w:rsid w:val="006D7BEE"/>
    <w:rsid w:val="006E446D"/>
    <w:rsid w:val="006E6CF2"/>
    <w:rsid w:val="006F1F53"/>
    <w:rsid w:val="006F3CCE"/>
    <w:rsid w:val="007013ED"/>
    <w:rsid w:val="00703507"/>
    <w:rsid w:val="0071362C"/>
    <w:rsid w:val="007507E5"/>
    <w:rsid w:val="00767749"/>
    <w:rsid w:val="00783E81"/>
    <w:rsid w:val="00787DD0"/>
    <w:rsid w:val="007F508C"/>
    <w:rsid w:val="00816004"/>
    <w:rsid w:val="00816CC0"/>
    <w:rsid w:val="008279DD"/>
    <w:rsid w:val="00833999"/>
    <w:rsid w:val="00843650"/>
    <w:rsid w:val="008B4745"/>
    <w:rsid w:val="008E6D46"/>
    <w:rsid w:val="0092058A"/>
    <w:rsid w:val="009305D5"/>
    <w:rsid w:val="009540E7"/>
    <w:rsid w:val="009D2C1A"/>
    <w:rsid w:val="009D31ED"/>
    <w:rsid w:val="00A628DA"/>
    <w:rsid w:val="00A7733A"/>
    <w:rsid w:val="00AA6FD2"/>
    <w:rsid w:val="00AC33EC"/>
    <w:rsid w:val="00AD47FD"/>
    <w:rsid w:val="00B73D47"/>
    <w:rsid w:val="00BA6502"/>
    <w:rsid w:val="00BB3891"/>
    <w:rsid w:val="00C1623F"/>
    <w:rsid w:val="00C569C5"/>
    <w:rsid w:val="00C97006"/>
    <w:rsid w:val="00CB4401"/>
    <w:rsid w:val="00CD5AD4"/>
    <w:rsid w:val="00D32187"/>
    <w:rsid w:val="00D561D6"/>
    <w:rsid w:val="00D97117"/>
    <w:rsid w:val="00DE694E"/>
    <w:rsid w:val="00E0733A"/>
    <w:rsid w:val="00E30779"/>
    <w:rsid w:val="00E33FE0"/>
    <w:rsid w:val="00E5274C"/>
    <w:rsid w:val="00E64FBE"/>
    <w:rsid w:val="00EA1609"/>
    <w:rsid w:val="00EB0449"/>
    <w:rsid w:val="00EB3716"/>
    <w:rsid w:val="00EB5653"/>
    <w:rsid w:val="00ED5B51"/>
    <w:rsid w:val="00ED68FE"/>
    <w:rsid w:val="00F04E51"/>
    <w:rsid w:val="00F12F9D"/>
    <w:rsid w:val="00F446BF"/>
    <w:rsid w:val="00F6532E"/>
    <w:rsid w:val="00FB4A0A"/>
    <w:rsid w:val="00FC3E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B03875"/>
  <w15:chartTrackingRefBased/>
  <w15:docId w15:val="{27D3222B-565F-44CA-9264-1B30B703F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83E8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83E8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83E81"/>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83E81"/>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83E81"/>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783E81"/>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83E8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83E8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783E8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83E81"/>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783E81"/>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783E81"/>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83E81"/>
    <w:rPr>
      <w:rFonts w:cstheme="majorBidi"/>
      <w:color w:val="0F4761" w:themeColor="accent1" w:themeShade="BF"/>
      <w:sz w:val="28"/>
      <w:szCs w:val="28"/>
    </w:rPr>
  </w:style>
  <w:style w:type="character" w:customStyle="1" w:styleId="50">
    <w:name w:val="标题 5 字符"/>
    <w:basedOn w:val="a0"/>
    <w:link w:val="5"/>
    <w:uiPriority w:val="9"/>
    <w:semiHidden/>
    <w:rsid w:val="00783E81"/>
    <w:rPr>
      <w:rFonts w:cstheme="majorBidi"/>
      <w:color w:val="0F4761" w:themeColor="accent1" w:themeShade="BF"/>
      <w:sz w:val="24"/>
      <w:szCs w:val="24"/>
    </w:rPr>
  </w:style>
  <w:style w:type="character" w:customStyle="1" w:styleId="60">
    <w:name w:val="标题 6 字符"/>
    <w:basedOn w:val="a0"/>
    <w:link w:val="6"/>
    <w:uiPriority w:val="9"/>
    <w:semiHidden/>
    <w:rsid w:val="00783E81"/>
    <w:rPr>
      <w:rFonts w:cstheme="majorBidi"/>
      <w:b/>
      <w:bCs/>
      <w:color w:val="0F4761" w:themeColor="accent1" w:themeShade="BF"/>
    </w:rPr>
  </w:style>
  <w:style w:type="character" w:customStyle="1" w:styleId="70">
    <w:name w:val="标题 7 字符"/>
    <w:basedOn w:val="a0"/>
    <w:link w:val="7"/>
    <w:uiPriority w:val="9"/>
    <w:semiHidden/>
    <w:rsid w:val="00783E81"/>
    <w:rPr>
      <w:rFonts w:cstheme="majorBidi"/>
      <w:b/>
      <w:bCs/>
      <w:color w:val="595959" w:themeColor="text1" w:themeTint="A6"/>
    </w:rPr>
  </w:style>
  <w:style w:type="character" w:customStyle="1" w:styleId="80">
    <w:name w:val="标题 8 字符"/>
    <w:basedOn w:val="a0"/>
    <w:link w:val="8"/>
    <w:uiPriority w:val="9"/>
    <w:semiHidden/>
    <w:rsid w:val="00783E81"/>
    <w:rPr>
      <w:rFonts w:cstheme="majorBidi"/>
      <w:color w:val="595959" w:themeColor="text1" w:themeTint="A6"/>
    </w:rPr>
  </w:style>
  <w:style w:type="character" w:customStyle="1" w:styleId="90">
    <w:name w:val="标题 9 字符"/>
    <w:basedOn w:val="a0"/>
    <w:link w:val="9"/>
    <w:uiPriority w:val="9"/>
    <w:semiHidden/>
    <w:rsid w:val="00783E81"/>
    <w:rPr>
      <w:rFonts w:eastAsiaTheme="majorEastAsia" w:cstheme="majorBidi"/>
      <w:color w:val="595959" w:themeColor="text1" w:themeTint="A6"/>
    </w:rPr>
  </w:style>
  <w:style w:type="paragraph" w:styleId="a3">
    <w:name w:val="Title"/>
    <w:basedOn w:val="a"/>
    <w:next w:val="a"/>
    <w:link w:val="a4"/>
    <w:uiPriority w:val="10"/>
    <w:qFormat/>
    <w:rsid w:val="00783E8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83E8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83E8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83E8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83E81"/>
    <w:pPr>
      <w:spacing w:before="160" w:after="160"/>
      <w:jc w:val="center"/>
    </w:pPr>
    <w:rPr>
      <w:i/>
      <w:iCs/>
      <w:color w:val="404040" w:themeColor="text1" w:themeTint="BF"/>
    </w:rPr>
  </w:style>
  <w:style w:type="character" w:customStyle="1" w:styleId="a8">
    <w:name w:val="引用 字符"/>
    <w:basedOn w:val="a0"/>
    <w:link w:val="a7"/>
    <w:uiPriority w:val="29"/>
    <w:rsid w:val="00783E81"/>
    <w:rPr>
      <w:i/>
      <w:iCs/>
      <w:color w:val="404040" w:themeColor="text1" w:themeTint="BF"/>
    </w:rPr>
  </w:style>
  <w:style w:type="paragraph" w:styleId="a9">
    <w:name w:val="List Paragraph"/>
    <w:basedOn w:val="a"/>
    <w:uiPriority w:val="34"/>
    <w:qFormat/>
    <w:rsid w:val="00783E81"/>
    <w:pPr>
      <w:ind w:left="720"/>
      <w:contextualSpacing/>
    </w:pPr>
  </w:style>
  <w:style w:type="character" w:styleId="aa">
    <w:name w:val="Intense Emphasis"/>
    <w:basedOn w:val="a0"/>
    <w:uiPriority w:val="21"/>
    <w:qFormat/>
    <w:rsid w:val="00783E81"/>
    <w:rPr>
      <w:i/>
      <w:iCs/>
      <w:color w:val="0F4761" w:themeColor="accent1" w:themeShade="BF"/>
    </w:rPr>
  </w:style>
  <w:style w:type="paragraph" w:styleId="ab">
    <w:name w:val="Intense Quote"/>
    <w:basedOn w:val="a"/>
    <w:next w:val="a"/>
    <w:link w:val="ac"/>
    <w:uiPriority w:val="30"/>
    <w:qFormat/>
    <w:rsid w:val="00783E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83E81"/>
    <w:rPr>
      <w:i/>
      <w:iCs/>
      <w:color w:val="0F4761" w:themeColor="accent1" w:themeShade="BF"/>
    </w:rPr>
  </w:style>
  <w:style w:type="character" w:styleId="ad">
    <w:name w:val="Intense Reference"/>
    <w:basedOn w:val="a0"/>
    <w:uiPriority w:val="32"/>
    <w:qFormat/>
    <w:rsid w:val="00783E81"/>
    <w:rPr>
      <w:b/>
      <w:bCs/>
      <w:smallCaps/>
      <w:color w:val="0F4761" w:themeColor="accent1" w:themeShade="BF"/>
      <w:spacing w:val="5"/>
    </w:rPr>
  </w:style>
  <w:style w:type="paragraph" w:styleId="ae">
    <w:name w:val="header"/>
    <w:basedOn w:val="a"/>
    <w:link w:val="af"/>
    <w:uiPriority w:val="99"/>
    <w:unhideWhenUsed/>
    <w:rsid w:val="006E6CF2"/>
    <w:pPr>
      <w:tabs>
        <w:tab w:val="center" w:pos="4153"/>
        <w:tab w:val="right" w:pos="8306"/>
      </w:tabs>
      <w:snapToGrid w:val="0"/>
      <w:jc w:val="center"/>
    </w:pPr>
    <w:rPr>
      <w:sz w:val="18"/>
      <w:szCs w:val="18"/>
    </w:rPr>
  </w:style>
  <w:style w:type="character" w:customStyle="1" w:styleId="af">
    <w:name w:val="页眉 字符"/>
    <w:basedOn w:val="a0"/>
    <w:link w:val="ae"/>
    <w:uiPriority w:val="99"/>
    <w:rsid w:val="006E6CF2"/>
    <w:rPr>
      <w:sz w:val="18"/>
      <w:szCs w:val="18"/>
    </w:rPr>
  </w:style>
  <w:style w:type="paragraph" w:styleId="af0">
    <w:name w:val="footer"/>
    <w:basedOn w:val="a"/>
    <w:link w:val="af1"/>
    <w:uiPriority w:val="99"/>
    <w:unhideWhenUsed/>
    <w:rsid w:val="006E6CF2"/>
    <w:pPr>
      <w:tabs>
        <w:tab w:val="center" w:pos="4153"/>
        <w:tab w:val="right" w:pos="8306"/>
      </w:tabs>
      <w:snapToGrid w:val="0"/>
      <w:jc w:val="left"/>
    </w:pPr>
    <w:rPr>
      <w:sz w:val="18"/>
      <w:szCs w:val="18"/>
    </w:rPr>
  </w:style>
  <w:style w:type="character" w:customStyle="1" w:styleId="af1">
    <w:name w:val="页脚 字符"/>
    <w:basedOn w:val="a0"/>
    <w:link w:val="af0"/>
    <w:uiPriority w:val="99"/>
    <w:rsid w:val="006E6CF2"/>
    <w:rPr>
      <w:sz w:val="18"/>
      <w:szCs w:val="18"/>
    </w:rPr>
  </w:style>
  <w:style w:type="paragraph" w:customStyle="1" w:styleId="Body">
    <w:name w:val="Body"/>
    <w:qFormat/>
    <w:rsid w:val="00314FD8"/>
    <w:rPr>
      <w:rFonts w:ascii="Arial" w:eastAsia="宋体" w:hAnsi="Arial" w:cs="Arial Unicode MS"/>
      <w:color w:val="000000"/>
      <w:kern w:val="0"/>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12</Pages>
  <Words>4961</Words>
  <Characters>28282</Characters>
  <Application>Microsoft Office Word</Application>
  <DocSecurity>0</DocSecurity>
  <Lines>235</Lines>
  <Paragraphs>66</Paragraphs>
  <ScaleCrop>false</ScaleCrop>
  <Company/>
  <LinksUpToDate>false</LinksUpToDate>
  <CharactersWithSpaces>33177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博涵 华</dc:creator>
  <cp:keywords/>
  <dc:description/>
  <cp:lastModifiedBy>bobo Nicky</cp:lastModifiedBy>
  <cp:revision>8</cp:revision>
  <cp:lastPrinted>2025-12-10T13:28:00Z</cp:lastPrinted>
  <dcterms:created xsi:type="dcterms:W3CDTF">2026-03-26T09:58:00Z</dcterms:created>
  <dcterms:modified xsi:type="dcterms:W3CDTF">2026-03-26T12:53:00Z</dcterms:modified>
</cp:coreProperties>
</file>