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DEB0A4">
      <w:r>
        <w:rPr>
          <w:rFonts w:ascii="Times New Roman" w:hAnsi="Times New Roman" w:eastAsia="宋体"/>
          <w:b/>
          <w:sz w:val="24"/>
        </w:rPr>
        <w:t>Supplementary Materials</w:t>
      </w:r>
    </w:p>
    <w:p w14:paraId="55632B1F">
      <w:r>
        <w:rPr>
          <w:rFonts w:ascii="Times New Roman" w:hAnsi="Times New Roman" w:eastAsia="宋体"/>
          <w:b/>
          <w:sz w:val="24"/>
        </w:rPr>
        <w:t>Internet use and incident myocardial infarction in community-dwelling older adults: a 13-year longitudinal cohort study</w:t>
      </w:r>
    </w:p>
    <w:p w14:paraId="6BC09144">
      <w:r>
        <w:rPr>
          <w:rFonts w:ascii="Times New Roman" w:hAnsi="Times New Roman" w:eastAsia="宋体"/>
          <w:b/>
          <w:sz w:val="24"/>
        </w:rPr>
        <w:t>Supplementary Table S1. Sensitivity analyses of the primary estimate</w:t>
      </w:r>
    </w:p>
    <w:tbl>
      <w:tblPr>
        <w:tblStyle w:val="32"/>
        <w:tblW w:w="0" w:type="auto"/>
        <w:jc w:val="center"/>
        <w:tblLayout w:type="fixed"/>
        <w:tblCellMar>
          <w:top w:w="0" w:type="dxa"/>
          <w:left w:w="108" w:type="dxa"/>
          <w:bottom w:w="0" w:type="dxa"/>
          <w:right w:w="108" w:type="dxa"/>
        </w:tblCellMar>
      </w:tblPr>
      <w:tblGrid>
        <w:gridCol w:w="2160"/>
        <w:gridCol w:w="2160"/>
        <w:gridCol w:w="2160"/>
        <w:gridCol w:w="2160"/>
      </w:tblGrid>
      <w:tr w14:paraId="3516AF3E">
        <w:tblPrEx>
          <w:tblCellMar>
            <w:top w:w="0" w:type="dxa"/>
            <w:left w:w="108" w:type="dxa"/>
            <w:bottom w:w="0" w:type="dxa"/>
            <w:right w:w="108" w:type="dxa"/>
          </w:tblCellMar>
        </w:tblPrEx>
        <w:trPr>
          <w:jc w:val="center"/>
        </w:trPr>
        <w:tc>
          <w:tcPr>
            <w:tcW w:w="4762" w:type="dxa"/>
            <w:tcBorders>
              <w:top w:val="single" w:color="000000" w:sz="8" w:space="0"/>
              <w:left w:val="nil"/>
              <w:bottom w:val="single" w:color="000000" w:sz="8" w:space="0"/>
              <w:right w:val="nil"/>
            </w:tcBorders>
          </w:tcPr>
          <w:p w14:paraId="61401091">
            <w:pPr>
              <w:spacing w:before="20" w:after="20"/>
              <w:jc w:val="left"/>
              <w:rPr>
                <w:rFonts w:ascii="Times New Roman" w:hAnsi="Times New Roman" w:eastAsia="宋体"/>
                <w:sz w:val="21"/>
              </w:rPr>
            </w:pPr>
            <w:r>
              <w:rPr>
                <w:rFonts w:ascii="Times New Roman" w:hAnsi="Times New Roman" w:eastAsia="宋体"/>
                <w:b/>
                <w:sz w:val="21"/>
              </w:rPr>
              <w:t>Analysis</w:t>
            </w:r>
          </w:p>
        </w:tc>
        <w:tc>
          <w:tcPr>
            <w:tcW w:w="1701" w:type="dxa"/>
            <w:tcBorders>
              <w:top w:val="single" w:color="000000" w:sz="8" w:space="0"/>
              <w:left w:val="nil"/>
              <w:bottom w:val="single" w:color="000000" w:sz="8" w:space="0"/>
              <w:right w:val="nil"/>
            </w:tcBorders>
          </w:tcPr>
          <w:p w14:paraId="1CCF0A41">
            <w:pPr>
              <w:spacing w:before="20" w:after="20"/>
              <w:jc w:val="center"/>
              <w:rPr>
                <w:rFonts w:ascii="Times New Roman" w:hAnsi="Times New Roman" w:eastAsia="宋体"/>
                <w:sz w:val="21"/>
              </w:rPr>
            </w:pPr>
            <w:r>
              <w:rPr>
                <w:rFonts w:ascii="Times New Roman" w:hAnsi="Times New Roman" w:eastAsia="宋体"/>
                <w:b/>
                <w:sz w:val="21"/>
              </w:rPr>
              <w:t>n (events)</w:t>
            </w:r>
          </w:p>
        </w:tc>
        <w:tc>
          <w:tcPr>
            <w:tcW w:w="1814" w:type="dxa"/>
            <w:tcBorders>
              <w:top w:val="single" w:color="000000" w:sz="8" w:space="0"/>
              <w:left w:val="nil"/>
              <w:bottom w:val="single" w:color="000000" w:sz="8" w:space="0"/>
              <w:right w:val="nil"/>
            </w:tcBorders>
          </w:tcPr>
          <w:p w14:paraId="61B8A90D">
            <w:pPr>
              <w:spacing w:before="20" w:after="20"/>
              <w:jc w:val="center"/>
              <w:rPr>
                <w:rFonts w:ascii="Times New Roman" w:hAnsi="Times New Roman" w:eastAsia="宋体"/>
                <w:sz w:val="21"/>
              </w:rPr>
            </w:pPr>
            <w:r>
              <w:rPr>
                <w:rFonts w:ascii="Times New Roman" w:hAnsi="Times New Roman" w:eastAsia="宋体"/>
                <w:b/>
                <w:sz w:val="21"/>
              </w:rPr>
              <w:t>HR (95% CI)</w:t>
            </w:r>
          </w:p>
        </w:tc>
        <w:tc>
          <w:tcPr>
            <w:tcW w:w="1020" w:type="dxa"/>
            <w:tcBorders>
              <w:top w:val="single" w:color="000000" w:sz="8" w:space="0"/>
              <w:left w:val="nil"/>
              <w:bottom w:val="single" w:color="000000" w:sz="8" w:space="0"/>
              <w:right w:val="nil"/>
            </w:tcBorders>
          </w:tcPr>
          <w:p w14:paraId="3B813886">
            <w:pPr>
              <w:spacing w:before="20" w:after="20"/>
              <w:jc w:val="center"/>
              <w:rPr>
                <w:rFonts w:ascii="Times New Roman" w:hAnsi="Times New Roman" w:eastAsia="宋体"/>
                <w:sz w:val="21"/>
              </w:rPr>
            </w:pPr>
            <w:r>
              <w:rPr>
                <w:rFonts w:ascii="Times New Roman" w:hAnsi="Times New Roman" w:eastAsia="宋体"/>
                <w:b/>
                <w:sz w:val="21"/>
              </w:rPr>
              <w:t>P value</w:t>
            </w:r>
          </w:p>
        </w:tc>
      </w:tr>
      <w:tr w14:paraId="26694879">
        <w:tblPrEx>
          <w:tblCellMar>
            <w:top w:w="0" w:type="dxa"/>
            <w:left w:w="108" w:type="dxa"/>
            <w:bottom w:w="0" w:type="dxa"/>
            <w:right w:w="108" w:type="dxa"/>
          </w:tblCellMar>
        </w:tblPrEx>
        <w:trPr>
          <w:jc w:val="center"/>
        </w:trPr>
        <w:tc>
          <w:tcPr>
            <w:tcW w:w="4762" w:type="dxa"/>
            <w:tcBorders>
              <w:top w:val="nil"/>
              <w:left w:val="nil"/>
              <w:bottom w:val="nil"/>
              <w:right w:val="nil"/>
            </w:tcBorders>
          </w:tcPr>
          <w:p w14:paraId="4D98A409">
            <w:pPr>
              <w:spacing w:before="20" w:after="20"/>
              <w:jc w:val="left"/>
              <w:rPr>
                <w:rFonts w:ascii="Times New Roman" w:hAnsi="Times New Roman" w:eastAsia="宋体"/>
                <w:sz w:val="21"/>
              </w:rPr>
            </w:pPr>
            <w:r>
              <w:rPr>
                <w:rFonts w:ascii="Times New Roman" w:hAnsi="Times New Roman" w:eastAsia="宋体"/>
                <w:b/>
                <w:sz w:val="21"/>
              </w:rPr>
              <w:t>Primary model (Model 4)</w:t>
            </w:r>
          </w:p>
        </w:tc>
        <w:tc>
          <w:tcPr>
            <w:tcW w:w="1701" w:type="dxa"/>
            <w:tcBorders>
              <w:top w:val="nil"/>
              <w:left w:val="nil"/>
              <w:bottom w:val="nil"/>
              <w:right w:val="nil"/>
            </w:tcBorders>
          </w:tcPr>
          <w:p w14:paraId="3A562FD3">
            <w:pPr>
              <w:spacing w:before="20" w:after="20"/>
              <w:jc w:val="center"/>
              <w:rPr>
                <w:rFonts w:ascii="Times New Roman" w:hAnsi="Times New Roman" w:eastAsia="宋体"/>
                <w:sz w:val="21"/>
              </w:rPr>
            </w:pPr>
            <w:r>
              <w:rPr>
                <w:rFonts w:ascii="Times New Roman" w:hAnsi="Times New Roman" w:eastAsia="宋体"/>
                <w:sz w:val="21"/>
              </w:rPr>
              <w:t>4,120 (429)</w:t>
            </w:r>
          </w:p>
        </w:tc>
        <w:tc>
          <w:tcPr>
            <w:tcW w:w="1814" w:type="dxa"/>
            <w:tcBorders>
              <w:top w:val="nil"/>
              <w:left w:val="nil"/>
              <w:bottom w:val="nil"/>
              <w:right w:val="nil"/>
            </w:tcBorders>
          </w:tcPr>
          <w:p w14:paraId="07A65391">
            <w:pPr>
              <w:spacing w:before="20" w:after="20"/>
              <w:jc w:val="center"/>
              <w:rPr>
                <w:rFonts w:ascii="Times New Roman" w:hAnsi="Times New Roman" w:eastAsia="宋体"/>
                <w:sz w:val="21"/>
              </w:rPr>
            </w:pPr>
            <w:r>
              <w:rPr>
                <w:rFonts w:ascii="Times New Roman" w:hAnsi="Times New Roman" w:eastAsia="宋体"/>
                <w:sz w:val="21"/>
              </w:rPr>
              <w:t>0.78 (0.62–0.99)</w:t>
            </w:r>
          </w:p>
        </w:tc>
        <w:tc>
          <w:tcPr>
            <w:tcW w:w="1020" w:type="dxa"/>
            <w:tcBorders>
              <w:top w:val="nil"/>
              <w:left w:val="nil"/>
              <w:bottom w:val="nil"/>
              <w:right w:val="nil"/>
            </w:tcBorders>
          </w:tcPr>
          <w:p w14:paraId="17B76B95">
            <w:pPr>
              <w:spacing w:before="20" w:after="20"/>
              <w:jc w:val="center"/>
              <w:rPr>
                <w:rFonts w:ascii="Times New Roman" w:hAnsi="Times New Roman" w:eastAsia="宋体"/>
                <w:sz w:val="21"/>
              </w:rPr>
            </w:pPr>
            <w:r>
              <w:rPr>
                <w:rFonts w:ascii="Times New Roman" w:hAnsi="Times New Roman" w:eastAsia="宋体"/>
                <w:sz w:val="21"/>
              </w:rPr>
              <w:t>.04</w:t>
            </w:r>
          </w:p>
        </w:tc>
      </w:tr>
      <w:tr w14:paraId="3E76C3F6">
        <w:tblPrEx>
          <w:tblCellMar>
            <w:top w:w="0" w:type="dxa"/>
            <w:left w:w="108" w:type="dxa"/>
            <w:bottom w:w="0" w:type="dxa"/>
            <w:right w:w="108" w:type="dxa"/>
          </w:tblCellMar>
        </w:tblPrEx>
        <w:trPr>
          <w:jc w:val="center"/>
        </w:trPr>
        <w:tc>
          <w:tcPr>
            <w:tcW w:w="4762" w:type="dxa"/>
            <w:tcBorders>
              <w:top w:val="nil"/>
              <w:left w:val="nil"/>
              <w:bottom w:val="nil"/>
              <w:right w:val="nil"/>
            </w:tcBorders>
          </w:tcPr>
          <w:p w14:paraId="7D5B8D11">
            <w:pPr>
              <w:spacing w:before="20" w:after="20"/>
              <w:jc w:val="left"/>
              <w:rPr>
                <w:rFonts w:ascii="Times New Roman" w:hAnsi="Times New Roman" w:eastAsia="宋体"/>
                <w:sz w:val="21"/>
              </w:rPr>
            </w:pPr>
            <w:r>
              <w:rPr>
                <w:rFonts w:ascii="Times New Roman" w:hAnsi="Times New Roman" w:eastAsia="宋体"/>
                <w:b/>
                <w:sz w:val="21"/>
              </w:rPr>
              <w:t>Alternative estimation approach</w:t>
            </w:r>
          </w:p>
        </w:tc>
        <w:tc>
          <w:tcPr>
            <w:tcW w:w="1701" w:type="dxa"/>
            <w:tcBorders>
              <w:top w:val="nil"/>
              <w:left w:val="nil"/>
              <w:bottom w:val="nil"/>
              <w:right w:val="nil"/>
            </w:tcBorders>
          </w:tcPr>
          <w:p w14:paraId="074DC7F1">
            <w:pPr>
              <w:spacing w:before="20" w:after="20"/>
              <w:jc w:val="center"/>
              <w:rPr>
                <w:rFonts w:ascii="Times New Roman" w:hAnsi="Times New Roman" w:eastAsia="宋体"/>
                <w:sz w:val="21"/>
              </w:rPr>
            </w:pPr>
          </w:p>
        </w:tc>
        <w:tc>
          <w:tcPr>
            <w:tcW w:w="1814" w:type="dxa"/>
            <w:tcBorders>
              <w:top w:val="nil"/>
              <w:left w:val="nil"/>
              <w:bottom w:val="nil"/>
              <w:right w:val="nil"/>
            </w:tcBorders>
          </w:tcPr>
          <w:p w14:paraId="5850F377">
            <w:pPr>
              <w:spacing w:before="20" w:after="20"/>
              <w:jc w:val="center"/>
              <w:rPr>
                <w:rFonts w:ascii="Times New Roman" w:hAnsi="Times New Roman" w:eastAsia="宋体"/>
                <w:sz w:val="21"/>
              </w:rPr>
            </w:pPr>
          </w:p>
        </w:tc>
        <w:tc>
          <w:tcPr>
            <w:tcW w:w="1020" w:type="dxa"/>
            <w:tcBorders>
              <w:top w:val="nil"/>
              <w:left w:val="nil"/>
              <w:bottom w:val="nil"/>
              <w:right w:val="nil"/>
            </w:tcBorders>
          </w:tcPr>
          <w:p w14:paraId="0D3BCF84">
            <w:pPr>
              <w:spacing w:before="20" w:after="20"/>
              <w:jc w:val="center"/>
              <w:rPr>
                <w:rFonts w:ascii="Times New Roman" w:hAnsi="Times New Roman" w:eastAsia="宋体"/>
                <w:sz w:val="21"/>
              </w:rPr>
            </w:pPr>
          </w:p>
        </w:tc>
      </w:tr>
      <w:tr w14:paraId="2A40DBC9">
        <w:tblPrEx>
          <w:tblCellMar>
            <w:top w:w="0" w:type="dxa"/>
            <w:left w:w="108" w:type="dxa"/>
            <w:bottom w:w="0" w:type="dxa"/>
            <w:right w:w="108" w:type="dxa"/>
          </w:tblCellMar>
        </w:tblPrEx>
        <w:trPr>
          <w:jc w:val="center"/>
        </w:trPr>
        <w:tc>
          <w:tcPr>
            <w:tcW w:w="4762" w:type="dxa"/>
            <w:tcBorders>
              <w:top w:val="nil"/>
              <w:left w:val="nil"/>
              <w:bottom w:val="nil"/>
              <w:right w:val="nil"/>
            </w:tcBorders>
          </w:tcPr>
          <w:p w14:paraId="552924DB">
            <w:pPr>
              <w:spacing w:before="20" w:after="20"/>
              <w:jc w:val="left"/>
              <w:rPr>
                <w:rFonts w:ascii="Times New Roman" w:hAnsi="Times New Roman" w:eastAsia="宋体"/>
                <w:sz w:val="21"/>
              </w:rPr>
            </w:pPr>
            <w:r>
              <w:rPr>
                <w:rFonts w:ascii="Times New Roman" w:hAnsi="Times New Roman" w:eastAsia="宋体"/>
                <w:b w:val="0"/>
                <w:sz w:val="21"/>
              </w:rPr>
              <w:t xml:space="preserve">   IPTW, stabilised weights, 10 covariatesᵃ</w:t>
            </w:r>
          </w:p>
        </w:tc>
        <w:tc>
          <w:tcPr>
            <w:tcW w:w="1701" w:type="dxa"/>
            <w:tcBorders>
              <w:top w:val="nil"/>
              <w:left w:val="nil"/>
              <w:bottom w:val="nil"/>
              <w:right w:val="nil"/>
            </w:tcBorders>
          </w:tcPr>
          <w:p w14:paraId="4CD2685A">
            <w:pPr>
              <w:spacing w:before="20" w:after="20"/>
              <w:jc w:val="center"/>
              <w:rPr>
                <w:rFonts w:ascii="Times New Roman" w:hAnsi="Times New Roman" w:eastAsia="宋体"/>
                <w:sz w:val="21"/>
              </w:rPr>
            </w:pPr>
            <w:r>
              <w:rPr>
                <w:rFonts w:ascii="Times New Roman" w:hAnsi="Times New Roman" w:eastAsia="宋体"/>
                <w:sz w:val="21"/>
              </w:rPr>
              <w:t>4,120 (429)</w:t>
            </w:r>
          </w:p>
        </w:tc>
        <w:tc>
          <w:tcPr>
            <w:tcW w:w="1814" w:type="dxa"/>
            <w:tcBorders>
              <w:top w:val="nil"/>
              <w:left w:val="nil"/>
              <w:bottom w:val="nil"/>
              <w:right w:val="nil"/>
            </w:tcBorders>
          </w:tcPr>
          <w:p w14:paraId="2C8D00CA">
            <w:pPr>
              <w:spacing w:before="20" w:after="20"/>
              <w:jc w:val="center"/>
              <w:rPr>
                <w:rFonts w:ascii="Times New Roman" w:hAnsi="Times New Roman" w:eastAsia="宋体"/>
                <w:sz w:val="21"/>
              </w:rPr>
            </w:pPr>
            <w:r>
              <w:rPr>
                <w:rFonts w:ascii="Times New Roman" w:hAnsi="Times New Roman" w:eastAsia="宋体"/>
                <w:sz w:val="21"/>
              </w:rPr>
              <w:t>0.72 (0.57–0.91)</w:t>
            </w:r>
          </w:p>
        </w:tc>
        <w:tc>
          <w:tcPr>
            <w:tcW w:w="1020" w:type="dxa"/>
            <w:tcBorders>
              <w:top w:val="nil"/>
              <w:left w:val="nil"/>
              <w:bottom w:val="nil"/>
              <w:right w:val="nil"/>
            </w:tcBorders>
          </w:tcPr>
          <w:p w14:paraId="24C550F0">
            <w:pPr>
              <w:spacing w:before="20" w:after="20"/>
              <w:jc w:val="center"/>
              <w:rPr>
                <w:rFonts w:ascii="Times New Roman" w:hAnsi="Times New Roman" w:eastAsia="宋体"/>
                <w:sz w:val="21"/>
              </w:rPr>
            </w:pPr>
            <w:r>
              <w:rPr>
                <w:rFonts w:ascii="Times New Roman" w:hAnsi="Times New Roman" w:eastAsia="宋体"/>
                <w:sz w:val="21"/>
              </w:rPr>
              <w:t>.007</w:t>
            </w:r>
          </w:p>
        </w:tc>
      </w:tr>
      <w:tr w14:paraId="77886810">
        <w:tblPrEx>
          <w:tblCellMar>
            <w:top w:w="0" w:type="dxa"/>
            <w:left w:w="108" w:type="dxa"/>
            <w:bottom w:w="0" w:type="dxa"/>
            <w:right w:w="108" w:type="dxa"/>
          </w:tblCellMar>
        </w:tblPrEx>
        <w:trPr>
          <w:jc w:val="center"/>
        </w:trPr>
        <w:tc>
          <w:tcPr>
            <w:tcW w:w="4762" w:type="dxa"/>
            <w:tcBorders>
              <w:top w:val="nil"/>
              <w:left w:val="nil"/>
              <w:bottom w:val="nil"/>
              <w:right w:val="nil"/>
            </w:tcBorders>
          </w:tcPr>
          <w:p w14:paraId="06B11BD7">
            <w:pPr>
              <w:spacing w:before="20" w:after="20"/>
              <w:jc w:val="left"/>
              <w:rPr>
                <w:rFonts w:ascii="Times New Roman" w:hAnsi="Times New Roman" w:eastAsia="宋体"/>
                <w:sz w:val="21"/>
              </w:rPr>
            </w:pPr>
            <w:r>
              <w:rPr>
                <w:rFonts w:ascii="Times New Roman" w:hAnsi="Times New Roman" w:eastAsia="宋体"/>
                <w:b w:val="0"/>
                <w:sz w:val="21"/>
              </w:rPr>
              <w:t xml:space="preserve">   IPTW, stabilised weights, 13 covariates incl. SESᵇ</w:t>
            </w:r>
          </w:p>
        </w:tc>
        <w:tc>
          <w:tcPr>
            <w:tcW w:w="1701" w:type="dxa"/>
            <w:tcBorders>
              <w:top w:val="nil"/>
              <w:left w:val="nil"/>
              <w:bottom w:val="nil"/>
              <w:right w:val="nil"/>
            </w:tcBorders>
          </w:tcPr>
          <w:p w14:paraId="5A80B408">
            <w:pPr>
              <w:spacing w:before="20" w:after="20"/>
              <w:jc w:val="center"/>
              <w:rPr>
                <w:rFonts w:ascii="Times New Roman" w:hAnsi="Times New Roman" w:eastAsia="宋体"/>
                <w:sz w:val="21"/>
              </w:rPr>
            </w:pPr>
            <w:r>
              <w:rPr>
                <w:rFonts w:ascii="Times New Roman" w:hAnsi="Times New Roman" w:eastAsia="宋体"/>
                <w:sz w:val="21"/>
              </w:rPr>
              <w:t>4,120 (429)</w:t>
            </w:r>
          </w:p>
        </w:tc>
        <w:tc>
          <w:tcPr>
            <w:tcW w:w="1814" w:type="dxa"/>
            <w:tcBorders>
              <w:top w:val="nil"/>
              <w:left w:val="nil"/>
              <w:bottom w:val="nil"/>
              <w:right w:val="nil"/>
            </w:tcBorders>
          </w:tcPr>
          <w:p w14:paraId="43008172">
            <w:pPr>
              <w:spacing w:before="20" w:after="20"/>
              <w:jc w:val="center"/>
              <w:rPr>
                <w:rFonts w:ascii="Times New Roman" w:hAnsi="Times New Roman" w:eastAsia="宋体"/>
                <w:sz w:val="21"/>
              </w:rPr>
            </w:pPr>
            <w:r>
              <w:rPr>
                <w:rFonts w:ascii="Times New Roman" w:hAnsi="Times New Roman" w:eastAsia="宋体"/>
                <w:sz w:val="21"/>
              </w:rPr>
              <w:t>0.76 (0.60–0.96)</w:t>
            </w:r>
          </w:p>
        </w:tc>
        <w:tc>
          <w:tcPr>
            <w:tcW w:w="1020" w:type="dxa"/>
            <w:tcBorders>
              <w:top w:val="nil"/>
              <w:left w:val="nil"/>
              <w:bottom w:val="nil"/>
              <w:right w:val="nil"/>
            </w:tcBorders>
          </w:tcPr>
          <w:p w14:paraId="3FC10C90">
            <w:pPr>
              <w:spacing w:before="20" w:after="20"/>
              <w:jc w:val="center"/>
              <w:rPr>
                <w:rFonts w:ascii="Times New Roman" w:hAnsi="Times New Roman" w:eastAsia="宋体"/>
                <w:sz w:val="21"/>
              </w:rPr>
            </w:pPr>
            <w:r>
              <w:rPr>
                <w:rFonts w:ascii="Times New Roman" w:hAnsi="Times New Roman" w:eastAsia="宋体"/>
                <w:sz w:val="21"/>
              </w:rPr>
              <w:t>.02</w:t>
            </w:r>
          </w:p>
        </w:tc>
      </w:tr>
      <w:tr w14:paraId="3DC4C488">
        <w:tblPrEx>
          <w:tblCellMar>
            <w:top w:w="0" w:type="dxa"/>
            <w:left w:w="108" w:type="dxa"/>
            <w:bottom w:w="0" w:type="dxa"/>
            <w:right w:w="108" w:type="dxa"/>
          </w:tblCellMar>
        </w:tblPrEx>
        <w:trPr>
          <w:jc w:val="center"/>
        </w:trPr>
        <w:tc>
          <w:tcPr>
            <w:tcW w:w="4762" w:type="dxa"/>
            <w:tcBorders>
              <w:top w:val="nil"/>
              <w:left w:val="nil"/>
              <w:bottom w:val="nil"/>
              <w:right w:val="nil"/>
            </w:tcBorders>
          </w:tcPr>
          <w:p w14:paraId="7712EDCB">
            <w:pPr>
              <w:spacing w:before="20" w:after="20"/>
              <w:jc w:val="left"/>
              <w:rPr>
                <w:rFonts w:ascii="Times New Roman" w:hAnsi="Times New Roman" w:eastAsia="宋体"/>
                <w:sz w:val="21"/>
              </w:rPr>
            </w:pPr>
            <w:r>
              <w:rPr>
                <w:rFonts w:ascii="Times New Roman" w:hAnsi="Times New Roman" w:eastAsia="宋体"/>
                <w:b/>
                <w:sz w:val="21"/>
              </w:rPr>
              <w:t>Latency (reverse-causation) analysesᶜ</w:t>
            </w:r>
          </w:p>
        </w:tc>
        <w:tc>
          <w:tcPr>
            <w:tcW w:w="1701" w:type="dxa"/>
            <w:tcBorders>
              <w:top w:val="nil"/>
              <w:left w:val="nil"/>
              <w:bottom w:val="nil"/>
              <w:right w:val="nil"/>
            </w:tcBorders>
          </w:tcPr>
          <w:p w14:paraId="282EAEA4">
            <w:pPr>
              <w:spacing w:before="20" w:after="20"/>
              <w:jc w:val="center"/>
              <w:rPr>
                <w:rFonts w:ascii="Times New Roman" w:hAnsi="Times New Roman" w:eastAsia="宋体"/>
                <w:sz w:val="21"/>
              </w:rPr>
            </w:pPr>
          </w:p>
        </w:tc>
        <w:tc>
          <w:tcPr>
            <w:tcW w:w="1814" w:type="dxa"/>
            <w:tcBorders>
              <w:top w:val="nil"/>
              <w:left w:val="nil"/>
              <w:bottom w:val="nil"/>
              <w:right w:val="nil"/>
            </w:tcBorders>
          </w:tcPr>
          <w:p w14:paraId="3C56A694">
            <w:pPr>
              <w:spacing w:before="20" w:after="20"/>
              <w:jc w:val="center"/>
              <w:rPr>
                <w:rFonts w:ascii="Times New Roman" w:hAnsi="Times New Roman" w:eastAsia="宋体"/>
                <w:sz w:val="21"/>
              </w:rPr>
            </w:pPr>
          </w:p>
        </w:tc>
        <w:tc>
          <w:tcPr>
            <w:tcW w:w="1020" w:type="dxa"/>
            <w:tcBorders>
              <w:top w:val="nil"/>
              <w:left w:val="nil"/>
              <w:bottom w:val="nil"/>
              <w:right w:val="nil"/>
            </w:tcBorders>
          </w:tcPr>
          <w:p w14:paraId="71EC6C93">
            <w:pPr>
              <w:spacing w:before="20" w:after="20"/>
              <w:jc w:val="center"/>
              <w:rPr>
                <w:rFonts w:ascii="Times New Roman" w:hAnsi="Times New Roman" w:eastAsia="宋体"/>
                <w:sz w:val="21"/>
              </w:rPr>
            </w:pPr>
          </w:p>
        </w:tc>
      </w:tr>
      <w:tr w14:paraId="1D23534A">
        <w:tblPrEx>
          <w:tblCellMar>
            <w:top w:w="0" w:type="dxa"/>
            <w:left w:w="108" w:type="dxa"/>
            <w:bottom w:w="0" w:type="dxa"/>
            <w:right w:w="108" w:type="dxa"/>
          </w:tblCellMar>
        </w:tblPrEx>
        <w:trPr>
          <w:jc w:val="center"/>
        </w:trPr>
        <w:tc>
          <w:tcPr>
            <w:tcW w:w="4762" w:type="dxa"/>
            <w:tcBorders>
              <w:top w:val="nil"/>
              <w:left w:val="nil"/>
              <w:bottom w:val="nil"/>
              <w:right w:val="nil"/>
            </w:tcBorders>
          </w:tcPr>
          <w:p w14:paraId="6A2CDA1B">
            <w:pPr>
              <w:spacing w:before="20" w:after="20"/>
              <w:jc w:val="left"/>
              <w:rPr>
                <w:rFonts w:ascii="Times New Roman" w:hAnsi="Times New Roman" w:eastAsia="宋体"/>
                <w:sz w:val="21"/>
              </w:rPr>
            </w:pPr>
            <w:r>
              <w:rPr>
                <w:rFonts w:ascii="Times New Roman" w:hAnsi="Times New Roman" w:eastAsia="宋体"/>
                <w:b w:val="0"/>
                <w:sz w:val="21"/>
              </w:rPr>
              <w:t xml:space="preserve">   Excluding events in the first year</w:t>
            </w:r>
          </w:p>
        </w:tc>
        <w:tc>
          <w:tcPr>
            <w:tcW w:w="1701" w:type="dxa"/>
            <w:tcBorders>
              <w:top w:val="nil"/>
              <w:left w:val="nil"/>
              <w:bottom w:val="nil"/>
              <w:right w:val="nil"/>
            </w:tcBorders>
          </w:tcPr>
          <w:p w14:paraId="57C440E6">
            <w:pPr>
              <w:spacing w:before="20" w:after="20"/>
              <w:jc w:val="center"/>
              <w:rPr>
                <w:rFonts w:ascii="Times New Roman" w:hAnsi="Times New Roman" w:eastAsia="宋体"/>
                <w:sz w:val="21"/>
              </w:rPr>
            </w:pPr>
            <w:r>
              <w:rPr>
                <w:rFonts w:ascii="Times New Roman" w:hAnsi="Times New Roman" w:eastAsia="宋体"/>
                <w:sz w:val="21"/>
              </w:rPr>
              <w:t>3,338 (345)</w:t>
            </w:r>
          </w:p>
        </w:tc>
        <w:tc>
          <w:tcPr>
            <w:tcW w:w="1814" w:type="dxa"/>
            <w:tcBorders>
              <w:top w:val="nil"/>
              <w:left w:val="nil"/>
              <w:bottom w:val="nil"/>
              <w:right w:val="nil"/>
            </w:tcBorders>
          </w:tcPr>
          <w:p w14:paraId="5B1BD51A">
            <w:pPr>
              <w:spacing w:before="20" w:after="20"/>
              <w:jc w:val="center"/>
              <w:rPr>
                <w:rFonts w:ascii="Times New Roman" w:hAnsi="Times New Roman" w:eastAsia="宋体"/>
                <w:sz w:val="21"/>
              </w:rPr>
            </w:pPr>
            <w:r>
              <w:rPr>
                <w:rFonts w:ascii="Times New Roman" w:hAnsi="Times New Roman" w:eastAsia="宋体"/>
                <w:sz w:val="21"/>
              </w:rPr>
              <w:t>0.77 (0.60–1.00)</w:t>
            </w:r>
          </w:p>
        </w:tc>
        <w:tc>
          <w:tcPr>
            <w:tcW w:w="1020" w:type="dxa"/>
            <w:tcBorders>
              <w:top w:val="nil"/>
              <w:left w:val="nil"/>
              <w:bottom w:val="nil"/>
              <w:right w:val="nil"/>
            </w:tcBorders>
          </w:tcPr>
          <w:p w14:paraId="383E47D3">
            <w:pPr>
              <w:spacing w:before="20" w:after="20"/>
              <w:jc w:val="center"/>
              <w:rPr>
                <w:rFonts w:ascii="Times New Roman" w:hAnsi="Times New Roman" w:eastAsia="宋体"/>
                <w:sz w:val="21"/>
              </w:rPr>
            </w:pPr>
            <w:r>
              <w:rPr>
                <w:rFonts w:ascii="Times New Roman" w:hAnsi="Times New Roman" w:eastAsia="宋体"/>
                <w:sz w:val="21"/>
              </w:rPr>
              <w:t>.05</w:t>
            </w:r>
          </w:p>
        </w:tc>
      </w:tr>
      <w:tr w14:paraId="6A025B66">
        <w:tblPrEx>
          <w:tblCellMar>
            <w:top w:w="0" w:type="dxa"/>
            <w:left w:w="108" w:type="dxa"/>
            <w:bottom w:w="0" w:type="dxa"/>
            <w:right w:w="108" w:type="dxa"/>
          </w:tblCellMar>
        </w:tblPrEx>
        <w:trPr>
          <w:jc w:val="center"/>
        </w:trPr>
        <w:tc>
          <w:tcPr>
            <w:tcW w:w="4762" w:type="dxa"/>
            <w:tcBorders>
              <w:top w:val="nil"/>
              <w:left w:val="nil"/>
              <w:bottom w:val="nil"/>
              <w:right w:val="nil"/>
            </w:tcBorders>
          </w:tcPr>
          <w:p w14:paraId="5B6BC363">
            <w:pPr>
              <w:spacing w:before="20" w:after="20"/>
              <w:jc w:val="left"/>
              <w:rPr>
                <w:rFonts w:ascii="Times New Roman" w:hAnsi="Times New Roman" w:eastAsia="宋体"/>
                <w:sz w:val="21"/>
              </w:rPr>
            </w:pPr>
            <w:r>
              <w:rPr>
                <w:rFonts w:ascii="Times New Roman" w:hAnsi="Times New Roman" w:eastAsia="宋体"/>
                <w:b w:val="0"/>
                <w:sz w:val="21"/>
              </w:rPr>
              <w:t xml:space="preserve">   Excluding events in the first 2 years</w:t>
            </w:r>
          </w:p>
        </w:tc>
        <w:tc>
          <w:tcPr>
            <w:tcW w:w="1701" w:type="dxa"/>
            <w:tcBorders>
              <w:top w:val="nil"/>
              <w:left w:val="nil"/>
              <w:bottom w:val="nil"/>
              <w:right w:val="nil"/>
            </w:tcBorders>
          </w:tcPr>
          <w:p w14:paraId="2CEEB123">
            <w:pPr>
              <w:spacing w:before="20" w:after="20"/>
              <w:jc w:val="center"/>
              <w:rPr>
                <w:rFonts w:ascii="Times New Roman" w:hAnsi="Times New Roman" w:eastAsia="宋体"/>
                <w:sz w:val="21"/>
              </w:rPr>
            </w:pPr>
            <w:r>
              <w:rPr>
                <w:rFonts w:ascii="Times New Roman" w:hAnsi="Times New Roman" w:eastAsia="宋体"/>
                <w:sz w:val="21"/>
              </w:rPr>
              <w:t>2,776 (276)</w:t>
            </w:r>
          </w:p>
        </w:tc>
        <w:tc>
          <w:tcPr>
            <w:tcW w:w="1814" w:type="dxa"/>
            <w:tcBorders>
              <w:top w:val="nil"/>
              <w:left w:val="nil"/>
              <w:bottom w:val="nil"/>
              <w:right w:val="nil"/>
            </w:tcBorders>
          </w:tcPr>
          <w:p w14:paraId="0F9B7BFF">
            <w:pPr>
              <w:spacing w:before="20" w:after="20"/>
              <w:jc w:val="center"/>
              <w:rPr>
                <w:rFonts w:ascii="Times New Roman" w:hAnsi="Times New Roman" w:eastAsia="宋体"/>
                <w:sz w:val="21"/>
              </w:rPr>
            </w:pPr>
            <w:r>
              <w:rPr>
                <w:rFonts w:ascii="Times New Roman" w:hAnsi="Times New Roman" w:eastAsia="宋体"/>
                <w:sz w:val="21"/>
              </w:rPr>
              <w:t>0.71 (0.53–0.94)</w:t>
            </w:r>
          </w:p>
        </w:tc>
        <w:tc>
          <w:tcPr>
            <w:tcW w:w="1020" w:type="dxa"/>
            <w:tcBorders>
              <w:top w:val="nil"/>
              <w:left w:val="nil"/>
              <w:bottom w:val="nil"/>
              <w:right w:val="nil"/>
            </w:tcBorders>
          </w:tcPr>
          <w:p w14:paraId="0DA077CB">
            <w:pPr>
              <w:spacing w:before="20" w:after="20"/>
              <w:jc w:val="center"/>
              <w:rPr>
                <w:rFonts w:ascii="Times New Roman" w:hAnsi="Times New Roman" w:eastAsia="宋体"/>
                <w:sz w:val="21"/>
              </w:rPr>
            </w:pPr>
            <w:r>
              <w:rPr>
                <w:rFonts w:ascii="Times New Roman" w:hAnsi="Times New Roman" w:eastAsia="宋体"/>
                <w:sz w:val="21"/>
              </w:rPr>
              <w:t>.02</w:t>
            </w:r>
          </w:p>
        </w:tc>
      </w:tr>
      <w:tr w14:paraId="2561F6D3">
        <w:tblPrEx>
          <w:tblCellMar>
            <w:top w:w="0" w:type="dxa"/>
            <w:left w:w="108" w:type="dxa"/>
            <w:bottom w:w="0" w:type="dxa"/>
            <w:right w:w="108" w:type="dxa"/>
          </w:tblCellMar>
        </w:tblPrEx>
        <w:trPr>
          <w:jc w:val="center"/>
        </w:trPr>
        <w:tc>
          <w:tcPr>
            <w:tcW w:w="4762" w:type="dxa"/>
            <w:tcBorders>
              <w:top w:val="nil"/>
              <w:left w:val="nil"/>
              <w:bottom w:val="nil"/>
              <w:right w:val="nil"/>
            </w:tcBorders>
          </w:tcPr>
          <w:p w14:paraId="48054325">
            <w:pPr>
              <w:spacing w:before="20" w:after="20"/>
              <w:jc w:val="left"/>
              <w:rPr>
                <w:rFonts w:ascii="Times New Roman" w:hAnsi="Times New Roman" w:eastAsia="宋体"/>
                <w:sz w:val="21"/>
              </w:rPr>
            </w:pPr>
            <w:r>
              <w:rPr>
                <w:rFonts w:ascii="Times New Roman" w:hAnsi="Times New Roman" w:eastAsia="宋体"/>
                <w:b w:val="0"/>
                <w:sz w:val="21"/>
              </w:rPr>
              <w:t xml:space="preserve">   Excluding events in the first 3 years</w:t>
            </w:r>
          </w:p>
        </w:tc>
        <w:tc>
          <w:tcPr>
            <w:tcW w:w="1701" w:type="dxa"/>
            <w:tcBorders>
              <w:top w:val="nil"/>
              <w:left w:val="nil"/>
              <w:bottom w:val="nil"/>
              <w:right w:val="nil"/>
            </w:tcBorders>
          </w:tcPr>
          <w:p w14:paraId="691F8EAB">
            <w:pPr>
              <w:spacing w:before="20" w:after="20"/>
              <w:jc w:val="center"/>
              <w:rPr>
                <w:rFonts w:ascii="Times New Roman" w:hAnsi="Times New Roman" w:eastAsia="宋体"/>
                <w:sz w:val="21"/>
              </w:rPr>
            </w:pPr>
            <w:r>
              <w:rPr>
                <w:rFonts w:ascii="Times New Roman" w:hAnsi="Times New Roman" w:eastAsia="宋体"/>
                <w:sz w:val="21"/>
              </w:rPr>
              <w:t>2,522 (229)</w:t>
            </w:r>
          </w:p>
        </w:tc>
        <w:tc>
          <w:tcPr>
            <w:tcW w:w="1814" w:type="dxa"/>
            <w:tcBorders>
              <w:top w:val="nil"/>
              <w:left w:val="nil"/>
              <w:bottom w:val="nil"/>
              <w:right w:val="nil"/>
            </w:tcBorders>
          </w:tcPr>
          <w:p w14:paraId="309741A2">
            <w:pPr>
              <w:spacing w:before="20" w:after="20"/>
              <w:jc w:val="center"/>
              <w:rPr>
                <w:rFonts w:ascii="Times New Roman" w:hAnsi="Times New Roman" w:eastAsia="宋体"/>
                <w:sz w:val="21"/>
              </w:rPr>
            </w:pPr>
            <w:r>
              <w:rPr>
                <w:rFonts w:ascii="Times New Roman" w:hAnsi="Times New Roman" w:eastAsia="宋体"/>
                <w:sz w:val="21"/>
              </w:rPr>
              <w:t>0.73 (0.53–1.00)</w:t>
            </w:r>
          </w:p>
        </w:tc>
        <w:tc>
          <w:tcPr>
            <w:tcW w:w="1020" w:type="dxa"/>
            <w:tcBorders>
              <w:top w:val="nil"/>
              <w:left w:val="nil"/>
              <w:bottom w:val="nil"/>
              <w:right w:val="nil"/>
            </w:tcBorders>
          </w:tcPr>
          <w:p w14:paraId="450666BF">
            <w:pPr>
              <w:spacing w:before="20" w:after="20"/>
              <w:jc w:val="center"/>
              <w:rPr>
                <w:rFonts w:ascii="Times New Roman" w:hAnsi="Times New Roman" w:eastAsia="宋体"/>
                <w:sz w:val="21"/>
              </w:rPr>
            </w:pPr>
            <w:r>
              <w:rPr>
                <w:rFonts w:ascii="Times New Roman" w:hAnsi="Times New Roman" w:eastAsia="宋体"/>
                <w:sz w:val="21"/>
              </w:rPr>
              <w:t>.05</w:t>
            </w:r>
          </w:p>
        </w:tc>
      </w:tr>
      <w:tr w14:paraId="5632558F">
        <w:tblPrEx>
          <w:tblCellMar>
            <w:top w:w="0" w:type="dxa"/>
            <w:left w:w="108" w:type="dxa"/>
            <w:bottom w:w="0" w:type="dxa"/>
            <w:right w:w="108" w:type="dxa"/>
          </w:tblCellMar>
        </w:tblPrEx>
        <w:trPr>
          <w:jc w:val="center"/>
        </w:trPr>
        <w:tc>
          <w:tcPr>
            <w:tcW w:w="4762" w:type="dxa"/>
            <w:tcBorders>
              <w:top w:val="nil"/>
              <w:left w:val="nil"/>
              <w:bottom w:val="nil"/>
              <w:right w:val="nil"/>
            </w:tcBorders>
          </w:tcPr>
          <w:p w14:paraId="4287F94B">
            <w:pPr>
              <w:spacing w:before="20" w:after="20"/>
              <w:jc w:val="left"/>
              <w:rPr>
                <w:rFonts w:ascii="Times New Roman" w:hAnsi="Times New Roman" w:eastAsia="宋体"/>
                <w:sz w:val="21"/>
              </w:rPr>
            </w:pPr>
            <w:r>
              <w:rPr>
                <w:rFonts w:ascii="Times New Roman" w:hAnsi="Times New Roman" w:eastAsia="宋体"/>
                <w:b/>
                <w:sz w:val="21"/>
              </w:rPr>
              <w:t>Multiple imputation of household income</w:t>
            </w:r>
          </w:p>
        </w:tc>
        <w:tc>
          <w:tcPr>
            <w:tcW w:w="1701" w:type="dxa"/>
            <w:tcBorders>
              <w:top w:val="nil"/>
              <w:left w:val="nil"/>
              <w:bottom w:val="nil"/>
              <w:right w:val="nil"/>
            </w:tcBorders>
          </w:tcPr>
          <w:p w14:paraId="4FADC971">
            <w:pPr>
              <w:spacing w:before="20" w:after="20"/>
              <w:jc w:val="center"/>
              <w:rPr>
                <w:rFonts w:ascii="Times New Roman" w:hAnsi="Times New Roman" w:eastAsia="宋体"/>
                <w:sz w:val="21"/>
              </w:rPr>
            </w:pPr>
          </w:p>
        </w:tc>
        <w:tc>
          <w:tcPr>
            <w:tcW w:w="1814" w:type="dxa"/>
            <w:tcBorders>
              <w:top w:val="nil"/>
              <w:left w:val="nil"/>
              <w:bottom w:val="nil"/>
              <w:right w:val="nil"/>
            </w:tcBorders>
          </w:tcPr>
          <w:p w14:paraId="62F11B47">
            <w:pPr>
              <w:spacing w:before="20" w:after="20"/>
              <w:jc w:val="center"/>
              <w:rPr>
                <w:rFonts w:ascii="Times New Roman" w:hAnsi="Times New Roman" w:eastAsia="宋体"/>
                <w:sz w:val="21"/>
              </w:rPr>
            </w:pPr>
          </w:p>
        </w:tc>
        <w:tc>
          <w:tcPr>
            <w:tcW w:w="1020" w:type="dxa"/>
            <w:tcBorders>
              <w:top w:val="nil"/>
              <w:left w:val="nil"/>
              <w:bottom w:val="nil"/>
              <w:right w:val="nil"/>
            </w:tcBorders>
          </w:tcPr>
          <w:p w14:paraId="4D4305FE">
            <w:pPr>
              <w:spacing w:before="20" w:after="20"/>
              <w:jc w:val="center"/>
              <w:rPr>
                <w:rFonts w:ascii="Times New Roman" w:hAnsi="Times New Roman" w:eastAsia="宋体"/>
                <w:sz w:val="21"/>
              </w:rPr>
            </w:pPr>
          </w:p>
        </w:tc>
      </w:tr>
      <w:tr w14:paraId="7F14505B">
        <w:tblPrEx>
          <w:tblCellMar>
            <w:top w:w="0" w:type="dxa"/>
            <w:left w:w="108" w:type="dxa"/>
            <w:bottom w:w="0" w:type="dxa"/>
            <w:right w:w="108" w:type="dxa"/>
          </w:tblCellMar>
        </w:tblPrEx>
        <w:trPr>
          <w:jc w:val="center"/>
        </w:trPr>
        <w:tc>
          <w:tcPr>
            <w:tcW w:w="4762" w:type="dxa"/>
            <w:tcBorders>
              <w:top w:val="nil"/>
              <w:left w:val="nil"/>
              <w:bottom w:val="nil"/>
              <w:right w:val="nil"/>
            </w:tcBorders>
          </w:tcPr>
          <w:p w14:paraId="0E5AC0A8">
            <w:pPr>
              <w:spacing w:before="20" w:after="20"/>
              <w:jc w:val="left"/>
              <w:rPr>
                <w:rFonts w:ascii="Times New Roman" w:hAnsi="Times New Roman" w:eastAsia="宋体"/>
                <w:sz w:val="21"/>
              </w:rPr>
            </w:pPr>
            <w:r>
              <w:rPr>
                <w:rFonts w:ascii="Times New Roman" w:hAnsi="Times New Roman" w:eastAsia="宋体"/>
                <w:b w:val="0"/>
                <w:sz w:val="21"/>
              </w:rPr>
              <w:t xml:space="preserve">   Pooled across 5 NHATS imputations (Rubin's rules)</w:t>
            </w:r>
          </w:p>
        </w:tc>
        <w:tc>
          <w:tcPr>
            <w:tcW w:w="1701" w:type="dxa"/>
            <w:tcBorders>
              <w:top w:val="nil"/>
              <w:left w:val="nil"/>
              <w:bottom w:val="nil"/>
              <w:right w:val="nil"/>
            </w:tcBorders>
          </w:tcPr>
          <w:p w14:paraId="6B11AD72">
            <w:pPr>
              <w:spacing w:before="20" w:after="20"/>
              <w:jc w:val="center"/>
              <w:rPr>
                <w:rFonts w:ascii="Times New Roman" w:hAnsi="Times New Roman" w:eastAsia="宋体"/>
                <w:sz w:val="21"/>
              </w:rPr>
            </w:pPr>
            <w:r>
              <w:rPr>
                <w:rFonts w:ascii="Times New Roman" w:hAnsi="Times New Roman" w:eastAsia="宋体"/>
                <w:sz w:val="21"/>
              </w:rPr>
              <w:t>4,120 (429)</w:t>
            </w:r>
          </w:p>
        </w:tc>
        <w:tc>
          <w:tcPr>
            <w:tcW w:w="1814" w:type="dxa"/>
            <w:tcBorders>
              <w:top w:val="nil"/>
              <w:left w:val="nil"/>
              <w:bottom w:val="nil"/>
              <w:right w:val="nil"/>
            </w:tcBorders>
          </w:tcPr>
          <w:p w14:paraId="3F468CBA">
            <w:pPr>
              <w:spacing w:before="20" w:after="20"/>
              <w:jc w:val="center"/>
              <w:rPr>
                <w:rFonts w:ascii="Times New Roman" w:hAnsi="Times New Roman" w:eastAsia="宋体"/>
                <w:sz w:val="21"/>
              </w:rPr>
            </w:pPr>
            <w:r>
              <w:rPr>
                <w:rFonts w:ascii="Times New Roman" w:hAnsi="Times New Roman" w:eastAsia="宋体"/>
                <w:sz w:val="21"/>
              </w:rPr>
              <w:t>0.78 (0.62–0.98)</w:t>
            </w:r>
          </w:p>
        </w:tc>
        <w:tc>
          <w:tcPr>
            <w:tcW w:w="1020" w:type="dxa"/>
            <w:tcBorders>
              <w:top w:val="nil"/>
              <w:left w:val="nil"/>
              <w:bottom w:val="nil"/>
              <w:right w:val="nil"/>
            </w:tcBorders>
          </w:tcPr>
          <w:p w14:paraId="34E96D8E">
            <w:pPr>
              <w:spacing w:before="20" w:after="20"/>
              <w:jc w:val="center"/>
              <w:rPr>
                <w:rFonts w:ascii="Times New Roman" w:hAnsi="Times New Roman" w:eastAsia="宋体"/>
                <w:sz w:val="21"/>
              </w:rPr>
            </w:pPr>
            <w:r>
              <w:rPr>
                <w:rFonts w:ascii="Times New Roman" w:hAnsi="Times New Roman" w:eastAsia="宋体"/>
                <w:sz w:val="21"/>
              </w:rPr>
              <w:t>.04</w:t>
            </w:r>
          </w:p>
        </w:tc>
      </w:tr>
      <w:tr w14:paraId="3D86EB49">
        <w:tblPrEx>
          <w:tblCellMar>
            <w:top w:w="0" w:type="dxa"/>
            <w:left w:w="108" w:type="dxa"/>
            <w:bottom w:w="0" w:type="dxa"/>
            <w:right w:w="108" w:type="dxa"/>
          </w:tblCellMar>
        </w:tblPrEx>
        <w:trPr>
          <w:jc w:val="center"/>
        </w:trPr>
        <w:tc>
          <w:tcPr>
            <w:tcW w:w="4762" w:type="dxa"/>
            <w:tcBorders>
              <w:top w:val="nil"/>
              <w:left w:val="nil"/>
              <w:bottom w:val="nil"/>
              <w:right w:val="nil"/>
            </w:tcBorders>
          </w:tcPr>
          <w:p w14:paraId="11D5BAC0">
            <w:pPr>
              <w:spacing w:before="20" w:after="20"/>
              <w:jc w:val="left"/>
              <w:rPr>
                <w:rFonts w:ascii="Times New Roman" w:hAnsi="Times New Roman" w:eastAsia="宋体"/>
                <w:sz w:val="21"/>
              </w:rPr>
            </w:pPr>
            <w:r>
              <w:rPr>
                <w:rFonts w:ascii="Times New Roman" w:hAnsi="Times New Roman" w:eastAsia="宋体"/>
                <w:b/>
                <w:sz w:val="21"/>
              </w:rPr>
              <w:t>Cohort definition</w:t>
            </w:r>
          </w:p>
        </w:tc>
        <w:tc>
          <w:tcPr>
            <w:tcW w:w="1701" w:type="dxa"/>
            <w:tcBorders>
              <w:top w:val="nil"/>
              <w:left w:val="nil"/>
              <w:bottom w:val="nil"/>
              <w:right w:val="nil"/>
            </w:tcBorders>
          </w:tcPr>
          <w:p w14:paraId="691419F3">
            <w:pPr>
              <w:spacing w:before="20" w:after="20"/>
              <w:jc w:val="center"/>
              <w:rPr>
                <w:rFonts w:ascii="Times New Roman" w:hAnsi="Times New Roman" w:eastAsia="宋体"/>
                <w:sz w:val="21"/>
              </w:rPr>
            </w:pPr>
          </w:p>
        </w:tc>
        <w:tc>
          <w:tcPr>
            <w:tcW w:w="1814" w:type="dxa"/>
            <w:tcBorders>
              <w:top w:val="nil"/>
              <w:left w:val="nil"/>
              <w:bottom w:val="nil"/>
              <w:right w:val="nil"/>
            </w:tcBorders>
          </w:tcPr>
          <w:p w14:paraId="4406D4F1">
            <w:pPr>
              <w:spacing w:before="20" w:after="20"/>
              <w:jc w:val="center"/>
              <w:rPr>
                <w:rFonts w:ascii="Times New Roman" w:hAnsi="Times New Roman" w:eastAsia="宋体"/>
                <w:sz w:val="21"/>
              </w:rPr>
            </w:pPr>
          </w:p>
        </w:tc>
        <w:tc>
          <w:tcPr>
            <w:tcW w:w="1020" w:type="dxa"/>
            <w:tcBorders>
              <w:top w:val="nil"/>
              <w:left w:val="nil"/>
              <w:bottom w:val="nil"/>
              <w:right w:val="nil"/>
            </w:tcBorders>
          </w:tcPr>
          <w:p w14:paraId="543D54BD">
            <w:pPr>
              <w:spacing w:before="20" w:after="20"/>
              <w:jc w:val="center"/>
              <w:rPr>
                <w:rFonts w:ascii="Times New Roman" w:hAnsi="Times New Roman" w:eastAsia="宋体"/>
                <w:sz w:val="21"/>
              </w:rPr>
            </w:pPr>
          </w:p>
        </w:tc>
      </w:tr>
      <w:tr w14:paraId="26B90103">
        <w:tblPrEx>
          <w:tblCellMar>
            <w:top w:w="0" w:type="dxa"/>
            <w:left w:w="108" w:type="dxa"/>
            <w:bottom w:w="0" w:type="dxa"/>
            <w:right w:w="108" w:type="dxa"/>
          </w:tblCellMar>
        </w:tblPrEx>
        <w:trPr>
          <w:jc w:val="center"/>
        </w:trPr>
        <w:tc>
          <w:tcPr>
            <w:tcW w:w="4762" w:type="dxa"/>
            <w:tcBorders>
              <w:top w:val="nil"/>
              <w:left w:val="nil"/>
              <w:bottom w:val="nil"/>
              <w:right w:val="nil"/>
            </w:tcBorders>
          </w:tcPr>
          <w:p w14:paraId="2D5CF45C">
            <w:pPr>
              <w:spacing w:before="20" w:after="20"/>
              <w:jc w:val="left"/>
              <w:rPr>
                <w:rFonts w:ascii="Times New Roman" w:hAnsi="Times New Roman" w:eastAsia="宋体"/>
                <w:sz w:val="21"/>
              </w:rPr>
            </w:pPr>
            <w:r>
              <w:rPr>
                <w:rFonts w:ascii="Times New Roman" w:hAnsi="Times New Roman" w:eastAsia="宋体"/>
                <w:b w:val="0"/>
                <w:sz w:val="21"/>
              </w:rPr>
              <w:t xml:space="preserve">   Including participants with prevalent MI at baselineᵈ</w:t>
            </w:r>
          </w:p>
        </w:tc>
        <w:tc>
          <w:tcPr>
            <w:tcW w:w="1701" w:type="dxa"/>
            <w:tcBorders>
              <w:top w:val="nil"/>
              <w:left w:val="nil"/>
              <w:bottom w:val="nil"/>
              <w:right w:val="nil"/>
            </w:tcBorders>
          </w:tcPr>
          <w:p w14:paraId="452FB75C">
            <w:pPr>
              <w:spacing w:before="20" w:after="20"/>
              <w:jc w:val="center"/>
              <w:rPr>
                <w:rFonts w:ascii="Times New Roman" w:hAnsi="Times New Roman" w:eastAsia="宋体"/>
                <w:sz w:val="21"/>
              </w:rPr>
            </w:pPr>
            <w:r>
              <w:rPr>
                <w:rFonts w:ascii="Times New Roman" w:hAnsi="Times New Roman" w:eastAsia="宋体"/>
                <w:sz w:val="21"/>
              </w:rPr>
              <w:t>4,807 (602)</w:t>
            </w:r>
          </w:p>
        </w:tc>
        <w:tc>
          <w:tcPr>
            <w:tcW w:w="1814" w:type="dxa"/>
            <w:tcBorders>
              <w:top w:val="nil"/>
              <w:left w:val="nil"/>
              <w:bottom w:val="nil"/>
              <w:right w:val="nil"/>
            </w:tcBorders>
          </w:tcPr>
          <w:p w14:paraId="11FA871E">
            <w:pPr>
              <w:spacing w:before="20" w:after="20"/>
              <w:jc w:val="center"/>
              <w:rPr>
                <w:rFonts w:ascii="Times New Roman" w:hAnsi="Times New Roman" w:eastAsia="宋体"/>
                <w:sz w:val="21"/>
              </w:rPr>
            </w:pPr>
            <w:r>
              <w:rPr>
                <w:rFonts w:ascii="Times New Roman" w:hAnsi="Times New Roman" w:eastAsia="宋体"/>
                <w:sz w:val="21"/>
              </w:rPr>
              <w:t>0.81 (0.67–0.99)</w:t>
            </w:r>
          </w:p>
        </w:tc>
        <w:tc>
          <w:tcPr>
            <w:tcW w:w="1020" w:type="dxa"/>
            <w:tcBorders>
              <w:top w:val="nil"/>
              <w:left w:val="nil"/>
              <w:bottom w:val="nil"/>
              <w:right w:val="nil"/>
            </w:tcBorders>
          </w:tcPr>
          <w:p w14:paraId="42390152">
            <w:pPr>
              <w:spacing w:before="20" w:after="20"/>
              <w:jc w:val="center"/>
              <w:rPr>
                <w:rFonts w:ascii="Times New Roman" w:hAnsi="Times New Roman" w:eastAsia="宋体"/>
                <w:sz w:val="21"/>
              </w:rPr>
            </w:pPr>
            <w:r>
              <w:rPr>
                <w:rFonts w:ascii="Times New Roman" w:hAnsi="Times New Roman" w:eastAsia="宋体"/>
                <w:sz w:val="21"/>
              </w:rPr>
              <w:t>.04</w:t>
            </w:r>
          </w:p>
        </w:tc>
      </w:tr>
      <w:tr w14:paraId="3A6E5BCF">
        <w:tblPrEx>
          <w:tblCellMar>
            <w:top w:w="0" w:type="dxa"/>
            <w:left w:w="108" w:type="dxa"/>
            <w:bottom w:w="0" w:type="dxa"/>
            <w:right w:w="108" w:type="dxa"/>
          </w:tblCellMar>
        </w:tblPrEx>
        <w:trPr>
          <w:jc w:val="center"/>
        </w:trPr>
        <w:tc>
          <w:tcPr>
            <w:tcW w:w="4762" w:type="dxa"/>
            <w:tcBorders>
              <w:top w:val="nil"/>
              <w:left w:val="nil"/>
              <w:bottom w:val="nil"/>
              <w:right w:val="nil"/>
            </w:tcBorders>
          </w:tcPr>
          <w:p w14:paraId="2F693C26">
            <w:pPr>
              <w:spacing w:before="20" w:after="20"/>
              <w:jc w:val="left"/>
              <w:rPr>
                <w:rFonts w:ascii="Times New Roman" w:hAnsi="Times New Roman" w:eastAsia="宋体"/>
                <w:sz w:val="21"/>
              </w:rPr>
            </w:pPr>
            <w:r>
              <w:rPr>
                <w:rFonts w:ascii="Times New Roman" w:hAnsi="Times New Roman" w:eastAsia="宋体"/>
                <w:sz w:val="21"/>
              </w:rPr>
              <w:t>Additional covariate</w:t>
            </w:r>
          </w:p>
        </w:tc>
        <w:tc>
          <w:tcPr>
            <w:tcW w:w="1701" w:type="dxa"/>
            <w:tcBorders>
              <w:top w:val="nil"/>
              <w:left w:val="nil"/>
              <w:bottom w:val="nil"/>
              <w:right w:val="nil"/>
            </w:tcBorders>
          </w:tcPr>
          <w:p w14:paraId="0FAC5186">
            <w:pPr>
              <w:spacing w:before="20" w:after="20"/>
              <w:jc w:val="center"/>
              <w:rPr>
                <w:rFonts w:ascii="Times New Roman" w:hAnsi="Times New Roman" w:eastAsia="宋体"/>
                <w:sz w:val="21"/>
              </w:rPr>
            </w:pPr>
          </w:p>
        </w:tc>
        <w:tc>
          <w:tcPr>
            <w:tcW w:w="1814" w:type="dxa"/>
            <w:tcBorders>
              <w:top w:val="nil"/>
              <w:left w:val="nil"/>
              <w:bottom w:val="nil"/>
              <w:right w:val="nil"/>
            </w:tcBorders>
          </w:tcPr>
          <w:p w14:paraId="64E082B4">
            <w:pPr>
              <w:spacing w:before="20" w:after="20"/>
              <w:jc w:val="center"/>
              <w:rPr>
                <w:rFonts w:ascii="Times New Roman" w:hAnsi="Times New Roman" w:eastAsia="宋体"/>
                <w:sz w:val="21"/>
              </w:rPr>
            </w:pPr>
          </w:p>
        </w:tc>
        <w:tc>
          <w:tcPr>
            <w:tcW w:w="1020" w:type="dxa"/>
            <w:tcBorders>
              <w:top w:val="nil"/>
              <w:left w:val="nil"/>
              <w:bottom w:val="nil"/>
              <w:right w:val="nil"/>
            </w:tcBorders>
          </w:tcPr>
          <w:p w14:paraId="3DFB17E8">
            <w:pPr>
              <w:spacing w:before="20" w:after="20"/>
              <w:jc w:val="center"/>
              <w:rPr>
                <w:rFonts w:ascii="Times New Roman" w:hAnsi="Times New Roman" w:eastAsia="宋体"/>
                <w:sz w:val="21"/>
              </w:rPr>
            </w:pPr>
          </w:p>
        </w:tc>
      </w:tr>
      <w:tr w14:paraId="345CE996">
        <w:tblPrEx>
          <w:tblCellMar>
            <w:top w:w="0" w:type="dxa"/>
            <w:left w:w="108" w:type="dxa"/>
            <w:bottom w:w="0" w:type="dxa"/>
            <w:right w:w="108" w:type="dxa"/>
          </w:tblCellMar>
        </w:tblPrEx>
        <w:trPr>
          <w:jc w:val="center"/>
        </w:trPr>
        <w:tc>
          <w:tcPr>
            <w:tcW w:w="4762" w:type="dxa"/>
            <w:tcBorders>
              <w:top w:val="nil"/>
              <w:left w:val="nil"/>
              <w:bottom w:val="nil"/>
              <w:right w:val="nil"/>
            </w:tcBorders>
          </w:tcPr>
          <w:p w14:paraId="41844DC2">
            <w:pPr>
              <w:spacing w:before="20" w:after="20"/>
              <w:jc w:val="left"/>
              <w:rPr>
                <w:rFonts w:ascii="Times New Roman" w:hAnsi="Times New Roman" w:eastAsia="宋体"/>
                <w:sz w:val="21"/>
              </w:rPr>
            </w:pPr>
            <w:r>
              <w:rPr>
                <w:rFonts w:ascii="Times New Roman" w:hAnsi="Times New Roman" w:eastAsia="宋体"/>
                <w:sz w:val="21"/>
              </w:rPr>
              <w:t>Adding baseline arthritis to the primary modelᶠ</w:t>
            </w:r>
          </w:p>
        </w:tc>
        <w:tc>
          <w:tcPr>
            <w:tcW w:w="1701" w:type="dxa"/>
            <w:tcBorders>
              <w:top w:val="nil"/>
              <w:left w:val="nil"/>
              <w:bottom w:val="nil"/>
              <w:right w:val="nil"/>
            </w:tcBorders>
          </w:tcPr>
          <w:p w14:paraId="37CE9105">
            <w:pPr>
              <w:spacing w:before="20" w:after="20"/>
              <w:jc w:val="center"/>
              <w:rPr>
                <w:rFonts w:ascii="Times New Roman" w:hAnsi="Times New Roman" w:eastAsia="宋体"/>
                <w:sz w:val="21"/>
              </w:rPr>
            </w:pPr>
            <w:r>
              <w:rPr>
                <w:rFonts w:ascii="Times New Roman" w:hAnsi="Times New Roman" w:eastAsia="宋体"/>
                <w:sz w:val="21"/>
              </w:rPr>
              <w:t>4,113 (428)</w:t>
            </w:r>
          </w:p>
        </w:tc>
        <w:tc>
          <w:tcPr>
            <w:tcW w:w="1814" w:type="dxa"/>
            <w:tcBorders>
              <w:top w:val="nil"/>
              <w:left w:val="nil"/>
              <w:bottom w:val="nil"/>
              <w:right w:val="nil"/>
            </w:tcBorders>
          </w:tcPr>
          <w:p w14:paraId="2E08C116">
            <w:pPr>
              <w:spacing w:before="20" w:after="20"/>
              <w:jc w:val="center"/>
              <w:rPr>
                <w:rFonts w:ascii="Times New Roman" w:hAnsi="Times New Roman" w:eastAsia="宋体"/>
                <w:sz w:val="21"/>
              </w:rPr>
            </w:pPr>
            <w:r>
              <w:rPr>
                <w:rFonts w:ascii="Times New Roman" w:hAnsi="Times New Roman" w:eastAsia="宋体"/>
                <w:sz w:val="21"/>
              </w:rPr>
              <w:t>0.78 (0.62–0.99)</w:t>
            </w:r>
          </w:p>
        </w:tc>
        <w:tc>
          <w:tcPr>
            <w:tcW w:w="1020" w:type="dxa"/>
            <w:tcBorders>
              <w:top w:val="nil"/>
              <w:left w:val="nil"/>
              <w:bottom w:val="nil"/>
              <w:right w:val="nil"/>
            </w:tcBorders>
          </w:tcPr>
          <w:p w14:paraId="18DFF107">
            <w:pPr>
              <w:spacing w:before="20" w:after="20"/>
              <w:jc w:val="center"/>
              <w:rPr>
                <w:rFonts w:ascii="Times New Roman" w:hAnsi="Times New Roman" w:eastAsia="宋体"/>
                <w:sz w:val="21"/>
              </w:rPr>
            </w:pPr>
            <w:r>
              <w:rPr>
                <w:rFonts w:ascii="Times New Roman" w:hAnsi="Times New Roman" w:eastAsia="宋体"/>
                <w:sz w:val="21"/>
              </w:rPr>
              <w:t>.04</w:t>
            </w:r>
          </w:p>
        </w:tc>
      </w:tr>
      <w:tr w14:paraId="179B5082">
        <w:tblPrEx>
          <w:tblCellMar>
            <w:top w:w="0" w:type="dxa"/>
            <w:left w:w="108" w:type="dxa"/>
            <w:bottom w:w="0" w:type="dxa"/>
            <w:right w:w="108" w:type="dxa"/>
          </w:tblCellMar>
        </w:tblPrEx>
        <w:trPr>
          <w:jc w:val="center"/>
        </w:trPr>
        <w:tc>
          <w:tcPr>
            <w:tcW w:w="4762" w:type="dxa"/>
            <w:tcBorders>
              <w:top w:val="nil"/>
              <w:left w:val="nil"/>
              <w:bottom w:val="nil"/>
              <w:right w:val="nil"/>
            </w:tcBorders>
          </w:tcPr>
          <w:p w14:paraId="05455ED7">
            <w:pPr>
              <w:spacing w:before="20" w:after="20"/>
              <w:jc w:val="left"/>
              <w:rPr>
                <w:rFonts w:ascii="Times New Roman" w:hAnsi="Times New Roman" w:eastAsia="宋体"/>
                <w:sz w:val="21"/>
              </w:rPr>
            </w:pPr>
            <w:r>
              <w:rPr>
                <w:rFonts w:ascii="Times New Roman" w:hAnsi="Times New Roman" w:eastAsia="宋体"/>
                <w:sz w:val="21"/>
              </w:rPr>
              <w:t>Replication in a later baseline round (2015)</w:t>
            </w:r>
          </w:p>
        </w:tc>
        <w:tc>
          <w:tcPr>
            <w:tcW w:w="1701" w:type="dxa"/>
            <w:tcBorders>
              <w:top w:val="nil"/>
              <w:left w:val="nil"/>
              <w:bottom w:val="nil"/>
              <w:right w:val="nil"/>
            </w:tcBorders>
          </w:tcPr>
          <w:p w14:paraId="728BEE3E">
            <w:pPr>
              <w:spacing w:before="20" w:after="20"/>
              <w:jc w:val="center"/>
              <w:rPr>
                <w:rFonts w:ascii="Times New Roman" w:hAnsi="Times New Roman" w:eastAsia="宋体"/>
                <w:sz w:val="21"/>
              </w:rPr>
            </w:pPr>
          </w:p>
        </w:tc>
        <w:tc>
          <w:tcPr>
            <w:tcW w:w="1814" w:type="dxa"/>
            <w:tcBorders>
              <w:top w:val="nil"/>
              <w:left w:val="nil"/>
              <w:bottom w:val="nil"/>
              <w:right w:val="nil"/>
            </w:tcBorders>
          </w:tcPr>
          <w:p w14:paraId="042873AB">
            <w:pPr>
              <w:spacing w:before="20" w:after="20"/>
              <w:jc w:val="center"/>
              <w:rPr>
                <w:rFonts w:ascii="Times New Roman" w:hAnsi="Times New Roman" w:eastAsia="宋体"/>
                <w:sz w:val="21"/>
              </w:rPr>
            </w:pPr>
          </w:p>
        </w:tc>
        <w:tc>
          <w:tcPr>
            <w:tcW w:w="1020" w:type="dxa"/>
            <w:tcBorders>
              <w:top w:val="nil"/>
              <w:left w:val="nil"/>
              <w:bottom w:val="nil"/>
              <w:right w:val="nil"/>
            </w:tcBorders>
          </w:tcPr>
          <w:p w14:paraId="6DF2A5C7">
            <w:pPr>
              <w:spacing w:before="20" w:after="20"/>
              <w:jc w:val="center"/>
              <w:rPr>
                <w:rFonts w:ascii="Times New Roman" w:hAnsi="Times New Roman" w:eastAsia="宋体"/>
                <w:sz w:val="21"/>
              </w:rPr>
            </w:pPr>
          </w:p>
        </w:tc>
      </w:tr>
      <w:tr w14:paraId="07474A74">
        <w:tblPrEx>
          <w:tblCellMar>
            <w:top w:w="0" w:type="dxa"/>
            <w:left w:w="108" w:type="dxa"/>
            <w:bottom w:w="0" w:type="dxa"/>
            <w:right w:w="108" w:type="dxa"/>
          </w:tblCellMar>
        </w:tblPrEx>
        <w:trPr>
          <w:jc w:val="center"/>
        </w:trPr>
        <w:tc>
          <w:tcPr>
            <w:tcW w:w="4762" w:type="dxa"/>
            <w:tcBorders>
              <w:top w:val="nil"/>
              <w:left w:val="nil"/>
              <w:bottom w:val="nil"/>
              <w:right w:val="nil"/>
            </w:tcBorders>
          </w:tcPr>
          <w:p w14:paraId="571E0D5E">
            <w:pPr>
              <w:spacing w:before="20" w:after="20"/>
              <w:jc w:val="left"/>
              <w:rPr>
                <w:rFonts w:ascii="Times New Roman" w:hAnsi="Times New Roman" w:eastAsia="宋体"/>
                <w:sz w:val="21"/>
              </w:rPr>
            </w:pPr>
            <w:r>
              <w:rPr>
                <w:rFonts w:ascii="Times New Roman" w:hAnsi="Times New Roman" w:eastAsia="宋体"/>
                <w:sz w:val="21"/>
              </w:rPr>
              <w:t xml:space="preserve">   Round 5 (2015) baseline, without full SES adjustmentᵉ</w:t>
            </w:r>
          </w:p>
        </w:tc>
        <w:tc>
          <w:tcPr>
            <w:tcW w:w="1701" w:type="dxa"/>
            <w:tcBorders>
              <w:top w:val="nil"/>
              <w:left w:val="nil"/>
              <w:bottom w:val="nil"/>
              <w:right w:val="nil"/>
            </w:tcBorders>
          </w:tcPr>
          <w:p w14:paraId="67094310">
            <w:pPr>
              <w:spacing w:before="20" w:after="20"/>
              <w:jc w:val="center"/>
              <w:rPr>
                <w:rFonts w:ascii="Times New Roman" w:hAnsi="Times New Roman" w:eastAsia="宋体"/>
                <w:sz w:val="21"/>
              </w:rPr>
            </w:pPr>
            <w:r>
              <w:rPr>
                <w:rFonts w:ascii="Times New Roman" w:hAnsi="Times New Roman" w:eastAsia="宋体"/>
                <w:sz w:val="21"/>
              </w:rPr>
              <w:t>5,280 (512)</w:t>
            </w:r>
          </w:p>
        </w:tc>
        <w:tc>
          <w:tcPr>
            <w:tcW w:w="1814" w:type="dxa"/>
            <w:tcBorders>
              <w:top w:val="nil"/>
              <w:left w:val="nil"/>
              <w:bottom w:val="nil"/>
              <w:right w:val="nil"/>
            </w:tcBorders>
          </w:tcPr>
          <w:p w14:paraId="0FE2B20E">
            <w:pPr>
              <w:spacing w:before="20" w:after="20"/>
              <w:jc w:val="center"/>
              <w:rPr>
                <w:rFonts w:ascii="Times New Roman" w:hAnsi="Times New Roman" w:eastAsia="宋体"/>
                <w:sz w:val="21"/>
              </w:rPr>
            </w:pPr>
            <w:r>
              <w:rPr>
                <w:rFonts w:ascii="Times New Roman" w:hAnsi="Times New Roman" w:eastAsia="宋体"/>
                <w:sz w:val="21"/>
              </w:rPr>
              <w:t>0.80 (0.65–0.98)</w:t>
            </w:r>
          </w:p>
        </w:tc>
        <w:tc>
          <w:tcPr>
            <w:tcW w:w="1020" w:type="dxa"/>
            <w:tcBorders>
              <w:top w:val="nil"/>
              <w:left w:val="nil"/>
              <w:bottom w:val="nil"/>
              <w:right w:val="nil"/>
            </w:tcBorders>
          </w:tcPr>
          <w:p w14:paraId="7B4BAABA">
            <w:pPr>
              <w:spacing w:before="20" w:after="20"/>
              <w:jc w:val="center"/>
              <w:rPr>
                <w:rFonts w:ascii="Times New Roman" w:hAnsi="Times New Roman" w:eastAsia="宋体"/>
                <w:sz w:val="21"/>
              </w:rPr>
            </w:pPr>
            <w:r>
              <w:rPr>
                <w:rFonts w:ascii="Times New Roman" w:hAnsi="Times New Roman" w:eastAsia="宋体"/>
                <w:sz w:val="21"/>
              </w:rPr>
              <w:t>.04</w:t>
            </w:r>
          </w:p>
        </w:tc>
      </w:tr>
      <w:tr w14:paraId="16C9E272">
        <w:tblPrEx>
          <w:tblCellMar>
            <w:top w:w="0" w:type="dxa"/>
            <w:left w:w="108" w:type="dxa"/>
            <w:bottom w:w="0" w:type="dxa"/>
            <w:right w:w="108" w:type="dxa"/>
          </w:tblCellMar>
        </w:tblPrEx>
        <w:trPr>
          <w:jc w:val="center"/>
        </w:trPr>
        <w:tc>
          <w:tcPr>
            <w:tcW w:w="4762" w:type="dxa"/>
            <w:tcBorders>
              <w:top w:val="nil"/>
              <w:left w:val="nil"/>
              <w:bottom w:val="single" w:color="000000" w:sz="8" w:space="0"/>
              <w:right w:val="nil"/>
            </w:tcBorders>
          </w:tcPr>
          <w:p w14:paraId="741758CF">
            <w:pPr>
              <w:spacing w:before="20" w:after="20"/>
              <w:jc w:val="left"/>
              <w:rPr>
                <w:rFonts w:ascii="Times New Roman" w:hAnsi="Times New Roman" w:eastAsia="宋体"/>
                <w:sz w:val="21"/>
              </w:rPr>
            </w:pPr>
            <w:r>
              <w:rPr>
                <w:rFonts w:ascii="Times New Roman" w:hAnsi="Times New Roman" w:eastAsia="宋体"/>
                <w:sz w:val="21"/>
              </w:rPr>
              <w:t xml:space="preserve">   Round 5 (2015) baseline, + full SES adjustment (covariate set matching primary model)</w:t>
            </w:r>
          </w:p>
        </w:tc>
        <w:tc>
          <w:tcPr>
            <w:tcW w:w="1701" w:type="dxa"/>
            <w:tcBorders>
              <w:top w:val="nil"/>
              <w:left w:val="nil"/>
              <w:bottom w:val="single" w:color="000000" w:sz="8" w:space="0"/>
              <w:right w:val="nil"/>
            </w:tcBorders>
          </w:tcPr>
          <w:p w14:paraId="29302F93">
            <w:pPr>
              <w:spacing w:before="20" w:after="20"/>
              <w:jc w:val="center"/>
              <w:rPr>
                <w:rFonts w:ascii="Times New Roman" w:hAnsi="Times New Roman" w:eastAsia="宋体"/>
                <w:sz w:val="21"/>
              </w:rPr>
            </w:pPr>
            <w:r>
              <w:rPr>
                <w:rFonts w:ascii="Times New Roman" w:hAnsi="Times New Roman" w:eastAsia="宋体"/>
                <w:sz w:val="21"/>
              </w:rPr>
              <w:t>3,731 (381)</w:t>
            </w:r>
          </w:p>
        </w:tc>
        <w:tc>
          <w:tcPr>
            <w:tcW w:w="1814" w:type="dxa"/>
            <w:tcBorders>
              <w:top w:val="nil"/>
              <w:left w:val="nil"/>
              <w:bottom w:val="single" w:color="000000" w:sz="8" w:space="0"/>
              <w:right w:val="nil"/>
            </w:tcBorders>
          </w:tcPr>
          <w:p w14:paraId="017A3CC2">
            <w:pPr>
              <w:spacing w:before="20" w:after="20"/>
              <w:jc w:val="center"/>
              <w:rPr>
                <w:rFonts w:ascii="Times New Roman" w:hAnsi="Times New Roman" w:eastAsia="宋体"/>
                <w:sz w:val="21"/>
              </w:rPr>
            </w:pPr>
            <w:r>
              <w:rPr>
                <w:rFonts w:ascii="Times New Roman" w:hAnsi="Times New Roman" w:eastAsia="宋体"/>
                <w:sz w:val="21"/>
              </w:rPr>
              <w:t>0.80 (0.62–1.02)</w:t>
            </w:r>
          </w:p>
        </w:tc>
        <w:tc>
          <w:tcPr>
            <w:tcW w:w="1020" w:type="dxa"/>
            <w:tcBorders>
              <w:top w:val="nil"/>
              <w:left w:val="nil"/>
              <w:bottom w:val="single" w:color="000000" w:sz="8" w:space="0"/>
              <w:right w:val="nil"/>
            </w:tcBorders>
          </w:tcPr>
          <w:p w14:paraId="73AD8A1A">
            <w:pPr>
              <w:spacing w:before="20" w:after="20"/>
              <w:jc w:val="center"/>
              <w:rPr>
                <w:rFonts w:ascii="Times New Roman" w:hAnsi="Times New Roman" w:eastAsia="宋体"/>
                <w:sz w:val="21"/>
              </w:rPr>
            </w:pPr>
            <w:r>
              <w:rPr>
                <w:rFonts w:ascii="Times New Roman" w:hAnsi="Times New Roman" w:eastAsia="宋体"/>
                <w:sz w:val="21"/>
              </w:rPr>
              <w:t>.07</w:t>
            </w:r>
          </w:p>
        </w:tc>
      </w:tr>
    </w:tbl>
    <w:p w14:paraId="7AFAC747">
      <w:pPr>
        <w:spacing w:before="60"/>
        <w:rPr>
          <w:sz w:val="18"/>
          <w:szCs w:val="18"/>
        </w:rPr>
      </w:pPr>
      <w:r>
        <w:rPr>
          <w:rFonts w:ascii="Times New Roman" w:hAnsi="Times New Roman" w:eastAsia="宋体"/>
          <w:sz w:val="18"/>
          <w:szCs w:val="18"/>
        </w:rPr>
        <w:t>Abbreviations: CI, confidence interval; HR, hazard ratio; IPTW, inverse probability of treatment weighting; MI, myocardial infarction; SES, socioeconomic status.</w:t>
      </w:r>
    </w:p>
    <w:p w14:paraId="001F1A08">
      <w:pPr>
        <w:spacing w:before="60"/>
        <w:rPr>
          <w:sz w:val="18"/>
          <w:szCs w:val="18"/>
        </w:rPr>
      </w:pPr>
      <w:r>
        <w:rPr>
          <w:rFonts w:ascii="Times New Roman" w:hAnsi="Times New Roman" w:eastAsia="宋体"/>
          <w:sz w:val="18"/>
          <w:szCs w:val="18"/>
        </w:rPr>
        <w:t>ᵃ Propensity score estimated by logistic regression including sex, age group, education, race or ethnicity (categorical), heart disease, diabetes, hypertension, lung disease, stroke and smoking history (10 covariates); the model contained only variables classified as confounders in the primary analysis, and no mediator. Stabilised weights were trimmed at the 1st and 99th percentiles.</w:t>
      </w:r>
    </w:p>
    <w:p w14:paraId="120C7F14">
      <w:pPr>
        <w:spacing w:before="60"/>
        <w:rPr>
          <w:sz w:val="18"/>
          <w:szCs w:val="18"/>
        </w:rPr>
      </w:pPr>
      <w:r>
        <w:rPr>
          <w:rFonts w:ascii="Times New Roman" w:hAnsi="Times New Roman" w:eastAsia="宋体"/>
          <w:sz w:val="18"/>
          <w:szCs w:val="18"/>
        </w:rPr>
        <w:t>ᵇ As above, with the addition of household income quartile, Medicaid coverage and marital status (13 covariates).</w:t>
      </w:r>
    </w:p>
    <w:p w14:paraId="136D4DF4">
      <w:pPr>
        <w:spacing w:before="60"/>
        <w:rPr>
          <w:sz w:val="18"/>
          <w:szCs w:val="18"/>
        </w:rPr>
      </w:pPr>
      <w:r>
        <w:rPr>
          <w:rFonts w:ascii="Times New Roman" w:hAnsi="Times New Roman" w:eastAsia="宋体"/>
          <w:sz w:val="18"/>
          <w:szCs w:val="18"/>
        </w:rPr>
        <w:t>ᶜ Participants with an event within the specified window were excluded and the primary model refitted.</w:t>
      </w:r>
    </w:p>
    <w:p w14:paraId="377CB2F3">
      <w:pPr>
        <w:spacing w:before="60"/>
        <w:rPr>
          <w:sz w:val="18"/>
          <w:szCs w:val="18"/>
        </w:rPr>
      </w:pPr>
      <w:r>
        <w:rPr>
          <w:rFonts w:ascii="Times New Roman" w:hAnsi="Times New Roman" w:eastAsia="宋体"/>
          <w:sz w:val="18"/>
          <w:szCs w:val="18"/>
        </w:rPr>
        <w:t>ᵈ Model additionally adjusted for prevalent MI at baseline. P for interaction between internet use and prevalent MI = .86. Stratified estimates: no prevalent MI, HR 0.78 (95% CI 0.62–0.99); prevalent MI, HR 0.88 (95% CI 0.61–1.28).</w:t>
      </w:r>
    </w:p>
    <w:p w14:paraId="4FAA1F17">
      <w:pPr>
        <w:spacing w:before="60"/>
        <w:rPr>
          <w:sz w:val="18"/>
          <w:szCs w:val="18"/>
        </w:rPr>
      </w:pPr>
      <w:r>
        <w:rPr>
          <w:rFonts w:ascii="Times New Roman" w:hAnsi="Times New Roman" w:eastAsia="宋体"/>
          <w:sz w:val="18"/>
          <w:szCs w:val="18"/>
        </w:rPr>
        <w:t>ᵉ Later-baseline replication cohort constructed with internet use measured at Round 5 (2015) as the exposure and incident MI over Rounds 6–14 as the outcome. Round 5 includes continuing members of the 2011 cohort together with a refresh sample; this cohort is therefore not fully independent of the original sample. See Supplementary Table S2.</w:t>
      </w:r>
    </w:p>
    <w:p w14:paraId="382D6EDC">
      <w:pPr>
        <w:spacing w:before="60"/>
        <w:rPr>
          <w:sz w:val="18"/>
          <w:szCs w:val="18"/>
        </w:rPr>
      </w:pPr>
      <w:r>
        <w:rPr>
          <w:rFonts w:ascii="Times New Roman" w:hAnsi="Times New Roman" w:eastAsia="宋体"/>
          <w:sz w:val="18"/>
          <w:szCs w:val="18"/>
        </w:rPr>
        <w:t>ᶠ Physician-diagnosed arthritis (NHATS item HC2d) was not included in the primary covariate set; this analysis adds it to the primary model. Seven participants with missing arthritis status were excluded, leaving 4,113 participants and 428 events. The estimate is unchanged from the primary model.</w:t>
      </w:r>
    </w:p>
    <w:p w14:paraId="56F202BC">
      <w:pPr>
        <w:rPr>
          <w:sz w:val="18"/>
          <w:szCs w:val="18"/>
        </w:rPr>
      </w:pPr>
      <w:r>
        <w:rPr>
          <w:sz w:val="18"/>
          <w:szCs w:val="18"/>
        </w:rPr>
        <w:br w:type="page"/>
      </w:r>
    </w:p>
    <w:p w14:paraId="68B9C00B">
      <w:r>
        <w:rPr>
          <w:rFonts w:ascii="Times New Roman" w:hAnsi="Times New Roman" w:eastAsia="宋体"/>
          <w:b/>
          <w:sz w:val="24"/>
        </w:rPr>
        <w:t>Supplementary Table S2. Replication cohort using Round 5 (2015) as baseline</w:t>
      </w:r>
    </w:p>
    <w:tbl>
      <w:tblPr>
        <w:tblStyle w:val="32"/>
        <w:tblW w:w="0" w:type="auto"/>
        <w:jc w:val="center"/>
        <w:tblLayout w:type="fixed"/>
        <w:tblCellMar>
          <w:top w:w="0" w:type="dxa"/>
          <w:left w:w="108" w:type="dxa"/>
          <w:bottom w:w="0" w:type="dxa"/>
          <w:right w:w="108" w:type="dxa"/>
        </w:tblCellMar>
      </w:tblPr>
      <w:tblGrid>
        <w:gridCol w:w="2880"/>
        <w:gridCol w:w="2880"/>
        <w:gridCol w:w="2880"/>
      </w:tblGrid>
      <w:tr w14:paraId="70A31310">
        <w:tblPrEx>
          <w:tblCellMar>
            <w:top w:w="0" w:type="dxa"/>
            <w:left w:w="108" w:type="dxa"/>
            <w:bottom w:w="0" w:type="dxa"/>
            <w:right w:w="108" w:type="dxa"/>
          </w:tblCellMar>
        </w:tblPrEx>
        <w:trPr>
          <w:jc w:val="center"/>
        </w:trPr>
        <w:tc>
          <w:tcPr>
            <w:tcW w:w="5669" w:type="dxa"/>
            <w:tcBorders>
              <w:top w:val="single" w:color="000000" w:sz="8" w:space="0"/>
              <w:left w:val="nil"/>
              <w:bottom w:val="single" w:color="000000" w:sz="8" w:space="0"/>
              <w:right w:val="nil"/>
            </w:tcBorders>
          </w:tcPr>
          <w:p w14:paraId="406A098A">
            <w:pPr>
              <w:spacing w:before="20" w:after="20"/>
              <w:jc w:val="left"/>
              <w:rPr>
                <w:sz w:val="21"/>
                <w:szCs w:val="21"/>
              </w:rPr>
            </w:pPr>
            <w:r>
              <w:rPr>
                <w:rFonts w:ascii="Times New Roman" w:hAnsi="Times New Roman" w:eastAsia="宋体"/>
                <w:b/>
                <w:sz w:val="21"/>
                <w:szCs w:val="21"/>
              </w:rPr>
              <w:t>Model</w:t>
            </w:r>
          </w:p>
        </w:tc>
        <w:tc>
          <w:tcPr>
            <w:tcW w:w="1928" w:type="dxa"/>
            <w:tcBorders>
              <w:top w:val="single" w:color="000000" w:sz="8" w:space="0"/>
              <w:left w:val="nil"/>
              <w:bottom w:val="single" w:color="000000" w:sz="8" w:space="0"/>
              <w:right w:val="nil"/>
            </w:tcBorders>
          </w:tcPr>
          <w:p w14:paraId="550A7519">
            <w:pPr>
              <w:spacing w:before="20" w:after="20"/>
              <w:jc w:val="center"/>
              <w:rPr>
                <w:sz w:val="21"/>
                <w:szCs w:val="21"/>
              </w:rPr>
            </w:pPr>
            <w:r>
              <w:rPr>
                <w:rFonts w:ascii="Times New Roman" w:hAnsi="Times New Roman" w:eastAsia="宋体"/>
                <w:b/>
                <w:sz w:val="21"/>
                <w:szCs w:val="21"/>
              </w:rPr>
              <w:t>HR (95% CI)</w:t>
            </w:r>
          </w:p>
        </w:tc>
        <w:tc>
          <w:tcPr>
            <w:tcW w:w="1134" w:type="dxa"/>
            <w:tcBorders>
              <w:top w:val="single" w:color="000000" w:sz="8" w:space="0"/>
              <w:left w:val="nil"/>
              <w:bottom w:val="single" w:color="000000" w:sz="8" w:space="0"/>
              <w:right w:val="nil"/>
            </w:tcBorders>
          </w:tcPr>
          <w:p w14:paraId="540EDFCD">
            <w:pPr>
              <w:spacing w:before="20" w:after="20"/>
              <w:jc w:val="center"/>
              <w:rPr>
                <w:sz w:val="21"/>
                <w:szCs w:val="21"/>
              </w:rPr>
            </w:pPr>
            <w:r>
              <w:rPr>
                <w:rFonts w:ascii="Times New Roman" w:hAnsi="Times New Roman" w:eastAsia="宋体"/>
                <w:b/>
                <w:sz w:val="21"/>
                <w:szCs w:val="21"/>
              </w:rPr>
              <w:t>P value</w:t>
            </w:r>
          </w:p>
        </w:tc>
      </w:tr>
      <w:tr w14:paraId="6A04570C">
        <w:tblPrEx>
          <w:tblCellMar>
            <w:top w:w="0" w:type="dxa"/>
            <w:left w:w="108" w:type="dxa"/>
            <w:bottom w:w="0" w:type="dxa"/>
            <w:right w:w="108" w:type="dxa"/>
          </w:tblCellMar>
        </w:tblPrEx>
        <w:trPr>
          <w:jc w:val="center"/>
        </w:trPr>
        <w:tc>
          <w:tcPr>
            <w:tcW w:w="5669" w:type="dxa"/>
            <w:tcBorders>
              <w:top w:val="nil"/>
              <w:left w:val="nil"/>
              <w:bottom w:val="nil"/>
              <w:right w:val="nil"/>
            </w:tcBorders>
          </w:tcPr>
          <w:p w14:paraId="3333EE58">
            <w:pPr>
              <w:spacing w:before="20" w:after="20"/>
              <w:jc w:val="left"/>
              <w:rPr>
                <w:sz w:val="21"/>
                <w:szCs w:val="21"/>
              </w:rPr>
            </w:pPr>
            <w:r>
              <w:rPr>
                <w:rFonts w:ascii="Times New Roman" w:hAnsi="Times New Roman" w:eastAsia="宋体"/>
                <w:b w:val="0"/>
                <w:sz w:val="21"/>
                <w:szCs w:val="21"/>
              </w:rPr>
              <w:t>Model 1: unadjusted</w:t>
            </w:r>
          </w:p>
        </w:tc>
        <w:tc>
          <w:tcPr>
            <w:tcW w:w="1928" w:type="dxa"/>
            <w:tcBorders>
              <w:top w:val="nil"/>
              <w:left w:val="nil"/>
              <w:bottom w:val="nil"/>
              <w:right w:val="nil"/>
            </w:tcBorders>
          </w:tcPr>
          <w:p w14:paraId="654C1555">
            <w:pPr>
              <w:spacing w:before="20" w:after="20"/>
              <w:jc w:val="center"/>
              <w:rPr>
                <w:sz w:val="21"/>
                <w:szCs w:val="21"/>
              </w:rPr>
            </w:pPr>
            <w:r>
              <w:rPr>
                <w:sz w:val="21"/>
                <w:szCs w:val="21"/>
              </w:rPr>
              <w:t>0.65 (0.55–0.77)</w:t>
            </w:r>
          </w:p>
        </w:tc>
        <w:tc>
          <w:tcPr>
            <w:tcW w:w="1134" w:type="dxa"/>
            <w:tcBorders>
              <w:top w:val="nil"/>
              <w:left w:val="nil"/>
              <w:bottom w:val="nil"/>
              <w:right w:val="nil"/>
            </w:tcBorders>
          </w:tcPr>
          <w:p w14:paraId="303587BE">
            <w:pPr>
              <w:spacing w:before="20" w:after="20"/>
              <w:jc w:val="center"/>
              <w:rPr>
                <w:sz w:val="21"/>
                <w:szCs w:val="21"/>
              </w:rPr>
            </w:pPr>
            <w:r>
              <w:rPr>
                <w:sz w:val="21"/>
                <w:szCs w:val="21"/>
              </w:rPr>
              <w:t>&lt;.001</w:t>
            </w:r>
          </w:p>
        </w:tc>
      </w:tr>
      <w:tr w14:paraId="6F95A5FE">
        <w:tblPrEx>
          <w:tblCellMar>
            <w:top w:w="0" w:type="dxa"/>
            <w:left w:w="108" w:type="dxa"/>
            <w:bottom w:w="0" w:type="dxa"/>
            <w:right w:w="108" w:type="dxa"/>
          </w:tblCellMar>
        </w:tblPrEx>
        <w:trPr>
          <w:jc w:val="center"/>
        </w:trPr>
        <w:tc>
          <w:tcPr>
            <w:tcW w:w="5669" w:type="dxa"/>
            <w:tcBorders>
              <w:top w:val="nil"/>
              <w:left w:val="nil"/>
              <w:bottom w:val="nil"/>
              <w:right w:val="nil"/>
            </w:tcBorders>
          </w:tcPr>
          <w:p w14:paraId="4822A03F">
            <w:pPr>
              <w:spacing w:before="20" w:after="20"/>
              <w:jc w:val="left"/>
              <w:rPr>
                <w:sz w:val="21"/>
                <w:szCs w:val="21"/>
              </w:rPr>
            </w:pPr>
            <w:r>
              <w:rPr>
                <w:rFonts w:ascii="Times New Roman" w:hAnsi="Times New Roman" w:eastAsia="宋体"/>
                <w:b w:val="0"/>
                <w:sz w:val="21"/>
                <w:szCs w:val="21"/>
              </w:rPr>
              <w:t>Model 2: + sex, age group, education, race or ethnicity</w:t>
            </w:r>
          </w:p>
        </w:tc>
        <w:tc>
          <w:tcPr>
            <w:tcW w:w="1928" w:type="dxa"/>
            <w:tcBorders>
              <w:top w:val="nil"/>
              <w:left w:val="nil"/>
              <w:bottom w:val="nil"/>
              <w:right w:val="nil"/>
            </w:tcBorders>
          </w:tcPr>
          <w:p w14:paraId="50709A7B">
            <w:pPr>
              <w:spacing w:before="20" w:after="20"/>
              <w:jc w:val="center"/>
              <w:rPr>
                <w:sz w:val="21"/>
                <w:szCs w:val="21"/>
              </w:rPr>
            </w:pPr>
            <w:r>
              <w:rPr>
                <w:sz w:val="21"/>
                <w:szCs w:val="21"/>
              </w:rPr>
              <w:t>0.80 (0.65–0.99)</w:t>
            </w:r>
          </w:p>
        </w:tc>
        <w:tc>
          <w:tcPr>
            <w:tcW w:w="1134" w:type="dxa"/>
            <w:tcBorders>
              <w:top w:val="nil"/>
              <w:left w:val="nil"/>
              <w:bottom w:val="nil"/>
              <w:right w:val="nil"/>
            </w:tcBorders>
          </w:tcPr>
          <w:p w14:paraId="7C690FE0">
            <w:pPr>
              <w:spacing w:before="20" w:after="20"/>
              <w:jc w:val="center"/>
              <w:rPr>
                <w:sz w:val="21"/>
                <w:szCs w:val="21"/>
              </w:rPr>
            </w:pPr>
            <w:r>
              <w:rPr>
                <w:sz w:val="21"/>
                <w:szCs w:val="21"/>
              </w:rPr>
              <w:t>.04</w:t>
            </w:r>
          </w:p>
        </w:tc>
      </w:tr>
      <w:tr w14:paraId="341B4D75">
        <w:tblPrEx>
          <w:tblCellMar>
            <w:top w:w="0" w:type="dxa"/>
            <w:left w:w="108" w:type="dxa"/>
            <w:bottom w:w="0" w:type="dxa"/>
            <w:right w:w="108" w:type="dxa"/>
          </w:tblCellMar>
        </w:tblPrEx>
        <w:trPr>
          <w:jc w:val="center"/>
        </w:trPr>
        <w:tc>
          <w:tcPr>
            <w:tcW w:w="5669" w:type="dxa"/>
            <w:tcBorders>
              <w:top w:val="nil"/>
              <w:left w:val="nil"/>
              <w:bottom w:val="nil"/>
              <w:right w:val="nil"/>
            </w:tcBorders>
          </w:tcPr>
          <w:p w14:paraId="68FB591E">
            <w:pPr>
              <w:spacing w:before="20" w:after="20"/>
              <w:jc w:val="left"/>
              <w:rPr>
                <w:sz w:val="21"/>
                <w:szCs w:val="21"/>
              </w:rPr>
            </w:pPr>
            <w:r>
              <w:rPr>
                <w:sz w:val="21"/>
                <w:szCs w:val="21"/>
              </w:rPr>
              <w:t>Model 3: + heart disease, diabetes, hypertension, lung disease, stroke, smoking history (no socioeconomic adjustment)</w:t>
            </w:r>
          </w:p>
        </w:tc>
        <w:tc>
          <w:tcPr>
            <w:tcW w:w="1928" w:type="dxa"/>
            <w:tcBorders>
              <w:top w:val="nil"/>
              <w:left w:val="nil"/>
              <w:bottom w:val="nil"/>
              <w:right w:val="nil"/>
            </w:tcBorders>
          </w:tcPr>
          <w:p w14:paraId="4189D016">
            <w:pPr>
              <w:spacing w:before="20" w:after="20"/>
              <w:jc w:val="center"/>
              <w:rPr>
                <w:sz w:val="21"/>
                <w:szCs w:val="21"/>
              </w:rPr>
            </w:pPr>
            <w:r>
              <w:rPr>
                <w:sz w:val="21"/>
                <w:szCs w:val="21"/>
              </w:rPr>
              <w:t>0.80 (0.65–0.98)</w:t>
            </w:r>
          </w:p>
        </w:tc>
        <w:tc>
          <w:tcPr>
            <w:tcW w:w="1134" w:type="dxa"/>
            <w:tcBorders>
              <w:top w:val="nil"/>
              <w:left w:val="nil"/>
              <w:bottom w:val="nil"/>
              <w:right w:val="nil"/>
            </w:tcBorders>
          </w:tcPr>
          <w:p w14:paraId="6B7D6638">
            <w:pPr>
              <w:spacing w:before="20" w:after="20"/>
              <w:jc w:val="center"/>
              <w:rPr>
                <w:sz w:val="21"/>
                <w:szCs w:val="21"/>
              </w:rPr>
            </w:pPr>
            <w:r>
              <w:rPr>
                <w:sz w:val="21"/>
                <w:szCs w:val="21"/>
              </w:rPr>
              <w:t>.04</w:t>
            </w:r>
          </w:p>
        </w:tc>
      </w:tr>
      <w:tr w14:paraId="49E6BFE9">
        <w:tblPrEx>
          <w:tblCellMar>
            <w:top w:w="0" w:type="dxa"/>
            <w:left w:w="108" w:type="dxa"/>
            <w:bottom w:w="0" w:type="dxa"/>
            <w:right w:w="108" w:type="dxa"/>
          </w:tblCellMar>
        </w:tblPrEx>
        <w:trPr>
          <w:jc w:val="center"/>
        </w:trPr>
        <w:tc>
          <w:tcPr>
            <w:tcW w:w="5669" w:type="dxa"/>
            <w:tcBorders>
              <w:top w:val="nil"/>
              <w:left w:val="nil"/>
              <w:bottom w:val="single" w:color="000000" w:sz="8" w:space="0"/>
              <w:right w:val="nil"/>
            </w:tcBorders>
          </w:tcPr>
          <w:p w14:paraId="0BEC501E">
            <w:pPr>
              <w:spacing w:before="20" w:after="20"/>
              <w:jc w:val="left"/>
              <w:rPr>
                <w:sz w:val="21"/>
                <w:szCs w:val="21"/>
              </w:rPr>
            </w:pPr>
            <w:r>
              <w:rPr>
                <w:sz w:val="21"/>
                <w:szCs w:val="21"/>
              </w:rPr>
              <w:t>Model 4: + household income quartile, Medicaid coverage, marital status (covariate set matching the 2011 primary model)ᵃ</w:t>
            </w:r>
          </w:p>
        </w:tc>
        <w:tc>
          <w:tcPr>
            <w:tcW w:w="1928" w:type="dxa"/>
            <w:tcBorders>
              <w:top w:val="nil"/>
              <w:left w:val="nil"/>
              <w:bottom w:val="single" w:color="000000" w:sz="8" w:space="0"/>
              <w:right w:val="nil"/>
            </w:tcBorders>
          </w:tcPr>
          <w:p w14:paraId="7C02CF0E">
            <w:pPr>
              <w:spacing w:before="20" w:after="20"/>
              <w:jc w:val="center"/>
              <w:rPr>
                <w:sz w:val="21"/>
                <w:szCs w:val="21"/>
              </w:rPr>
            </w:pPr>
            <w:r>
              <w:rPr>
                <w:sz w:val="21"/>
                <w:szCs w:val="21"/>
              </w:rPr>
              <w:t>0.80 (0.62–1.02)</w:t>
            </w:r>
          </w:p>
        </w:tc>
        <w:tc>
          <w:tcPr>
            <w:tcW w:w="1134" w:type="dxa"/>
            <w:tcBorders>
              <w:top w:val="nil"/>
              <w:left w:val="nil"/>
              <w:bottom w:val="single" w:color="000000" w:sz="8" w:space="0"/>
              <w:right w:val="nil"/>
            </w:tcBorders>
          </w:tcPr>
          <w:p w14:paraId="7F27A2B9">
            <w:pPr>
              <w:spacing w:before="20" w:after="20"/>
              <w:jc w:val="center"/>
              <w:rPr>
                <w:sz w:val="21"/>
                <w:szCs w:val="21"/>
              </w:rPr>
            </w:pPr>
            <w:r>
              <w:rPr>
                <w:sz w:val="21"/>
                <w:szCs w:val="21"/>
              </w:rPr>
              <w:t>.07</w:t>
            </w:r>
          </w:p>
        </w:tc>
      </w:tr>
    </w:tbl>
    <w:p w14:paraId="4426E8D8">
      <w:pPr>
        <w:spacing w:before="60"/>
      </w:pPr>
      <w:r>
        <w:rPr>
          <w:rFonts w:ascii="Times New Roman" w:hAnsi="Times New Roman" w:eastAsia="宋体"/>
          <w:sz w:val="18"/>
        </w:rPr>
        <w:t>Cohort: participants interviewed in NHATS Round 5 (2015), free of MI at that round, with internet use recorded and at least one follow-up interview in Rounds 6–14 (n = 5,280 for Models 1–3; 512 incident MI events). Model 4 was restricted to participants with complete socioeconomic data (n = 3,731; 381 events).</w:t>
      </w:r>
    </w:p>
    <w:p w14:paraId="2D536278">
      <w:pPr>
        <w:spacing w:before="60"/>
      </w:pPr>
      <w:r>
        <w:rPr>
          <w:rFonts w:ascii="Times New Roman" w:hAnsi="Times New Roman" w:eastAsia="宋体"/>
          <w:sz w:val="18"/>
        </w:rPr>
        <w:t>Note on model numbering: the covariate blocks are added in a different order from Table 2 of the main text. In this cohort the comorbidity and smoking block precedes the socioeconomic block, so Model 3 here is a model without socioeconomic adjustment, and Model 4 corresponds in covariate content to Model 4 (the primary model) of the main analysis.</w:t>
      </w:r>
    </w:p>
    <w:p w14:paraId="76FECC56">
      <w:pPr>
        <w:spacing w:before="60"/>
      </w:pPr>
      <w:r>
        <w:rPr>
          <w:rFonts w:ascii="Times New Roman" w:hAnsi="Times New Roman" w:eastAsia="宋体"/>
          <w:sz w:val="18"/>
        </w:rPr>
        <w:t>ᵃ The reduced sample size for Model 4 reflects the fact that household income was not re-elicited from all continuing respondents in Round 5; where the Round 5 value was not collected, the Round 1 value was carried forward, and participants entering at the Round 5 sample refresh without a prior income measurement could not be included.</w:t>
      </w:r>
    </w:p>
    <w:p w14:paraId="4EDC875B">
      <w:pPr>
        <w:spacing w:before="60"/>
      </w:pPr>
      <w:r>
        <w:rPr>
          <w:rFonts w:ascii="Times New Roman" w:hAnsi="Times New Roman" w:eastAsia="宋体"/>
          <w:sz w:val="18"/>
        </w:rPr>
        <w:t>Baseline internet use prevalence was 52.2% in the Round 5 cohort compared with 45.4% in the Round 1 cohort, consistent with the substantial expansion of internet access among older adults between 2011 and 2015. Despite this shift in the exposure distribution, the estimate with socioeconomic adjustment matching the primary model is close to that obtained in the Round 1 cohort (HR 0.80 vs 0.78; 95% CI 0.62–1.02 in the Round 5 cohort), indicating that the association is not specific to the 2011 digital environment.</w:t>
      </w:r>
    </w:p>
    <w:p w14:paraId="409F393C">
      <w:r>
        <w:br w:type="page"/>
      </w:r>
    </w:p>
    <w:p w14:paraId="16BE852C">
      <w:r>
        <w:rPr>
          <w:rFonts w:ascii="Times New Roman" w:hAnsi="Times New Roman" w:eastAsia="宋体"/>
          <w:b/>
          <w:sz w:val="24"/>
        </w:rPr>
        <w:t>Supplementary Table S3. Exposure specificity: internet use versus device ownership and email use</w:t>
      </w:r>
    </w:p>
    <w:tbl>
      <w:tblPr>
        <w:tblStyle w:val="32"/>
        <w:tblW w:w="0" w:type="auto"/>
        <w:jc w:val="center"/>
        <w:tblLayout w:type="fixed"/>
        <w:tblCellMar>
          <w:top w:w="0" w:type="dxa"/>
          <w:left w:w="108" w:type="dxa"/>
          <w:bottom w:w="0" w:type="dxa"/>
          <w:right w:w="108" w:type="dxa"/>
        </w:tblCellMar>
      </w:tblPr>
      <w:tblGrid>
        <w:gridCol w:w="2160"/>
        <w:gridCol w:w="2160"/>
        <w:gridCol w:w="2160"/>
        <w:gridCol w:w="2160"/>
      </w:tblGrid>
      <w:tr w14:paraId="3395AA29">
        <w:tblPrEx>
          <w:tblCellMar>
            <w:top w:w="0" w:type="dxa"/>
            <w:left w:w="108" w:type="dxa"/>
            <w:bottom w:w="0" w:type="dxa"/>
            <w:right w:w="108" w:type="dxa"/>
          </w:tblCellMar>
        </w:tblPrEx>
        <w:trPr>
          <w:jc w:val="center"/>
        </w:trPr>
        <w:tc>
          <w:tcPr>
            <w:tcW w:w="4535" w:type="dxa"/>
            <w:tcBorders>
              <w:top w:val="single" w:color="000000" w:sz="8" w:space="0"/>
              <w:left w:val="nil"/>
              <w:bottom w:val="single" w:color="000000" w:sz="8" w:space="0"/>
              <w:right w:val="nil"/>
            </w:tcBorders>
          </w:tcPr>
          <w:p w14:paraId="10F88FF4">
            <w:pPr>
              <w:spacing w:before="20" w:after="20"/>
              <w:jc w:val="left"/>
              <w:rPr>
                <w:sz w:val="21"/>
                <w:szCs w:val="21"/>
              </w:rPr>
            </w:pPr>
            <w:r>
              <w:rPr>
                <w:rFonts w:ascii="Times New Roman" w:hAnsi="Times New Roman" w:eastAsia="宋体"/>
                <w:b/>
                <w:sz w:val="21"/>
                <w:szCs w:val="21"/>
              </w:rPr>
              <w:t>Baseline exposure</w:t>
            </w:r>
          </w:p>
        </w:tc>
        <w:tc>
          <w:tcPr>
            <w:tcW w:w="1134" w:type="dxa"/>
            <w:tcBorders>
              <w:top w:val="single" w:color="000000" w:sz="8" w:space="0"/>
              <w:left w:val="nil"/>
              <w:bottom w:val="single" w:color="000000" w:sz="8" w:space="0"/>
              <w:right w:val="nil"/>
            </w:tcBorders>
          </w:tcPr>
          <w:p w14:paraId="3E594402">
            <w:pPr>
              <w:spacing w:before="20" w:after="20"/>
              <w:jc w:val="center"/>
              <w:rPr>
                <w:sz w:val="21"/>
                <w:szCs w:val="21"/>
              </w:rPr>
            </w:pPr>
            <w:r>
              <w:rPr>
                <w:rFonts w:ascii="Times New Roman" w:hAnsi="Times New Roman" w:eastAsia="宋体"/>
                <w:b/>
                <w:sz w:val="21"/>
                <w:szCs w:val="21"/>
              </w:rPr>
              <w:t>n</w:t>
            </w:r>
          </w:p>
        </w:tc>
        <w:tc>
          <w:tcPr>
            <w:tcW w:w="1928" w:type="dxa"/>
            <w:tcBorders>
              <w:top w:val="single" w:color="000000" w:sz="8" w:space="0"/>
              <w:left w:val="nil"/>
              <w:bottom w:val="single" w:color="000000" w:sz="8" w:space="0"/>
              <w:right w:val="nil"/>
            </w:tcBorders>
          </w:tcPr>
          <w:p w14:paraId="7D22F754">
            <w:pPr>
              <w:spacing w:before="20" w:after="20"/>
              <w:jc w:val="center"/>
              <w:rPr>
                <w:sz w:val="21"/>
                <w:szCs w:val="21"/>
              </w:rPr>
            </w:pPr>
            <w:r>
              <w:rPr>
                <w:rFonts w:ascii="Times New Roman" w:hAnsi="Times New Roman" w:eastAsia="宋体"/>
                <w:b/>
                <w:sz w:val="21"/>
                <w:szCs w:val="21"/>
              </w:rPr>
              <w:t>HR (95% CI)</w:t>
            </w:r>
          </w:p>
        </w:tc>
        <w:tc>
          <w:tcPr>
            <w:tcW w:w="1134" w:type="dxa"/>
            <w:tcBorders>
              <w:top w:val="single" w:color="000000" w:sz="8" w:space="0"/>
              <w:left w:val="nil"/>
              <w:bottom w:val="single" w:color="000000" w:sz="8" w:space="0"/>
              <w:right w:val="nil"/>
            </w:tcBorders>
          </w:tcPr>
          <w:p w14:paraId="46514146">
            <w:pPr>
              <w:spacing w:before="20" w:after="20"/>
              <w:jc w:val="center"/>
              <w:rPr>
                <w:sz w:val="21"/>
                <w:szCs w:val="21"/>
              </w:rPr>
            </w:pPr>
            <w:r>
              <w:rPr>
                <w:rFonts w:ascii="Times New Roman" w:hAnsi="Times New Roman" w:eastAsia="宋体"/>
                <w:b/>
                <w:sz w:val="21"/>
                <w:szCs w:val="21"/>
              </w:rPr>
              <w:t>P value</w:t>
            </w:r>
          </w:p>
        </w:tc>
      </w:tr>
      <w:tr w14:paraId="0AAFBE5D">
        <w:tblPrEx>
          <w:tblCellMar>
            <w:top w:w="0" w:type="dxa"/>
            <w:left w:w="108" w:type="dxa"/>
            <w:bottom w:w="0" w:type="dxa"/>
            <w:right w:w="108" w:type="dxa"/>
          </w:tblCellMar>
        </w:tblPrEx>
        <w:trPr>
          <w:jc w:val="center"/>
        </w:trPr>
        <w:tc>
          <w:tcPr>
            <w:tcW w:w="4535" w:type="dxa"/>
            <w:tcBorders>
              <w:top w:val="nil"/>
              <w:left w:val="nil"/>
              <w:bottom w:val="nil"/>
              <w:right w:val="nil"/>
            </w:tcBorders>
          </w:tcPr>
          <w:p w14:paraId="2C726F41">
            <w:pPr>
              <w:spacing w:before="20" w:after="20"/>
              <w:jc w:val="left"/>
              <w:rPr>
                <w:sz w:val="21"/>
                <w:szCs w:val="21"/>
              </w:rPr>
            </w:pPr>
            <w:r>
              <w:rPr>
                <w:rFonts w:ascii="Times New Roman" w:hAnsi="Times New Roman" w:eastAsia="宋体"/>
                <w:b/>
                <w:sz w:val="21"/>
                <w:szCs w:val="21"/>
              </w:rPr>
              <w:t>Internet use (primary exposure)</w:t>
            </w:r>
          </w:p>
        </w:tc>
        <w:tc>
          <w:tcPr>
            <w:tcW w:w="1134" w:type="dxa"/>
            <w:tcBorders>
              <w:top w:val="nil"/>
              <w:left w:val="nil"/>
              <w:bottom w:val="nil"/>
              <w:right w:val="nil"/>
            </w:tcBorders>
          </w:tcPr>
          <w:p w14:paraId="490563A1">
            <w:pPr>
              <w:spacing w:before="20" w:after="20"/>
              <w:jc w:val="center"/>
              <w:rPr>
                <w:sz w:val="21"/>
                <w:szCs w:val="21"/>
              </w:rPr>
            </w:pPr>
            <w:r>
              <w:rPr>
                <w:sz w:val="21"/>
                <w:szCs w:val="21"/>
              </w:rPr>
              <w:t>4,120</w:t>
            </w:r>
          </w:p>
        </w:tc>
        <w:tc>
          <w:tcPr>
            <w:tcW w:w="1928" w:type="dxa"/>
            <w:tcBorders>
              <w:top w:val="nil"/>
              <w:left w:val="nil"/>
              <w:bottom w:val="nil"/>
              <w:right w:val="nil"/>
            </w:tcBorders>
          </w:tcPr>
          <w:p w14:paraId="67428BD8">
            <w:pPr>
              <w:spacing w:before="20" w:after="20"/>
              <w:jc w:val="center"/>
              <w:rPr>
                <w:sz w:val="21"/>
                <w:szCs w:val="21"/>
              </w:rPr>
            </w:pPr>
            <w:r>
              <w:rPr>
                <w:sz w:val="21"/>
                <w:szCs w:val="21"/>
              </w:rPr>
              <w:t>0.78 (0.62–0.99)</w:t>
            </w:r>
          </w:p>
        </w:tc>
        <w:tc>
          <w:tcPr>
            <w:tcW w:w="1134" w:type="dxa"/>
            <w:tcBorders>
              <w:top w:val="nil"/>
              <w:left w:val="nil"/>
              <w:bottom w:val="nil"/>
              <w:right w:val="nil"/>
            </w:tcBorders>
          </w:tcPr>
          <w:p w14:paraId="4199B1C5">
            <w:pPr>
              <w:spacing w:before="20" w:after="20"/>
              <w:jc w:val="center"/>
              <w:rPr>
                <w:sz w:val="21"/>
                <w:szCs w:val="21"/>
              </w:rPr>
            </w:pPr>
            <w:r>
              <w:rPr>
                <w:sz w:val="21"/>
                <w:szCs w:val="21"/>
              </w:rPr>
              <w:t>.04</w:t>
            </w:r>
          </w:p>
        </w:tc>
      </w:tr>
      <w:tr w14:paraId="75D932AE">
        <w:tblPrEx>
          <w:tblCellMar>
            <w:top w:w="0" w:type="dxa"/>
            <w:left w:w="108" w:type="dxa"/>
            <w:bottom w:w="0" w:type="dxa"/>
            <w:right w:w="108" w:type="dxa"/>
          </w:tblCellMar>
        </w:tblPrEx>
        <w:trPr>
          <w:jc w:val="center"/>
        </w:trPr>
        <w:tc>
          <w:tcPr>
            <w:tcW w:w="4535" w:type="dxa"/>
            <w:tcBorders>
              <w:top w:val="nil"/>
              <w:left w:val="nil"/>
              <w:bottom w:val="nil"/>
              <w:right w:val="nil"/>
            </w:tcBorders>
          </w:tcPr>
          <w:p w14:paraId="2A6C474E">
            <w:pPr>
              <w:spacing w:before="20" w:after="20"/>
              <w:jc w:val="left"/>
              <w:rPr>
                <w:sz w:val="21"/>
                <w:szCs w:val="21"/>
              </w:rPr>
            </w:pPr>
            <w:r>
              <w:rPr>
                <w:rFonts w:ascii="Times New Roman" w:hAnsi="Times New Roman" w:eastAsia="宋体"/>
                <w:b w:val="0"/>
                <w:sz w:val="21"/>
                <w:szCs w:val="21"/>
              </w:rPr>
              <w:t>Owns a cellular telephone</w:t>
            </w:r>
          </w:p>
        </w:tc>
        <w:tc>
          <w:tcPr>
            <w:tcW w:w="1134" w:type="dxa"/>
            <w:tcBorders>
              <w:top w:val="nil"/>
              <w:left w:val="nil"/>
              <w:bottom w:val="nil"/>
              <w:right w:val="nil"/>
            </w:tcBorders>
          </w:tcPr>
          <w:p w14:paraId="652D539B">
            <w:pPr>
              <w:spacing w:before="20" w:after="20"/>
              <w:jc w:val="center"/>
              <w:rPr>
                <w:sz w:val="21"/>
                <w:szCs w:val="21"/>
              </w:rPr>
            </w:pPr>
            <w:r>
              <w:rPr>
                <w:sz w:val="21"/>
                <w:szCs w:val="21"/>
              </w:rPr>
              <w:t>4,120</w:t>
            </w:r>
          </w:p>
        </w:tc>
        <w:tc>
          <w:tcPr>
            <w:tcW w:w="1928" w:type="dxa"/>
            <w:tcBorders>
              <w:top w:val="nil"/>
              <w:left w:val="nil"/>
              <w:bottom w:val="nil"/>
              <w:right w:val="nil"/>
            </w:tcBorders>
          </w:tcPr>
          <w:p w14:paraId="029C7D9C">
            <w:pPr>
              <w:spacing w:before="20" w:after="20"/>
              <w:jc w:val="center"/>
              <w:rPr>
                <w:sz w:val="21"/>
                <w:szCs w:val="21"/>
              </w:rPr>
            </w:pPr>
            <w:r>
              <w:rPr>
                <w:sz w:val="21"/>
                <w:szCs w:val="21"/>
              </w:rPr>
              <w:t>1.19 (0.85–1.67)</w:t>
            </w:r>
          </w:p>
        </w:tc>
        <w:tc>
          <w:tcPr>
            <w:tcW w:w="1134" w:type="dxa"/>
            <w:tcBorders>
              <w:top w:val="nil"/>
              <w:left w:val="nil"/>
              <w:bottom w:val="nil"/>
              <w:right w:val="nil"/>
            </w:tcBorders>
          </w:tcPr>
          <w:p w14:paraId="641E0B7F">
            <w:pPr>
              <w:spacing w:before="20" w:after="20"/>
              <w:jc w:val="center"/>
              <w:rPr>
                <w:sz w:val="21"/>
                <w:szCs w:val="21"/>
              </w:rPr>
            </w:pPr>
            <w:r>
              <w:rPr>
                <w:sz w:val="21"/>
                <w:szCs w:val="21"/>
              </w:rPr>
              <w:t>.31</w:t>
            </w:r>
          </w:p>
        </w:tc>
      </w:tr>
      <w:tr w14:paraId="20D5162E">
        <w:tblPrEx>
          <w:tblCellMar>
            <w:top w:w="0" w:type="dxa"/>
            <w:left w:w="108" w:type="dxa"/>
            <w:bottom w:w="0" w:type="dxa"/>
            <w:right w:w="108" w:type="dxa"/>
          </w:tblCellMar>
        </w:tblPrEx>
        <w:trPr>
          <w:jc w:val="center"/>
        </w:trPr>
        <w:tc>
          <w:tcPr>
            <w:tcW w:w="4535" w:type="dxa"/>
            <w:tcBorders>
              <w:top w:val="nil"/>
              <w:left w:val="nil"/>
              <w:bottom w:val="nil"/>
              <w:right w:val="nil"/>
            </w:tcBorders>
          </w:tcPr>
          <w:p w14:paraId="7E56BBD0">
            <w:pPr>
              <w:spacing w:before="20" w:after="20"/>
              <w:jc w:val="left"/>
              <w:rPr>
                <w:sz w:val="21"/>
                <w:szCs w:val="21"/>
              </w:rPr>
            </w:pPr>
            <w:r>
              <w:rPr>
                <w:rFonts w:ascii="Times New Roman" w:hAnsi="Times New Roman" w:eastAsia="宋体"/>
                <w:b w:val="0"/>
                <w:sz w:val="21"/>
                <w:szCs w:val="21"/>
              </w:rPr>
              <w:t>Owns a computer</w:t>
            </w:r>
          </w:p>
        </w:tc>
        <w:tc>
          <w:tcPr>
            <w:tcW w:w="1134" w:type="dxa"/>
            <w:tcBorders>
              <w:top w:val="nil"/>
              <w:left w:val="nil"/>
              <w:bottom w:val="nil"/>
              <w:right w:val="nil"/>
            </w:tcBorders>
          </w:tcPr>
          <w:p w14:paraId="4BF6B2D4">
            <w:pPr>
              <w:spacing w:before="20" w:after="20"/>
              <w:jc w:val="center"/>
              <w:rPr>
                <w:sz w:val="21"/>
                <w:szCs w:val="21"/>
              </w:rPr>
            </w:pPr>
            <w:r>
              <w:rPr>
                <w:sz w:val="21"/>
                <w:szCs w:val="21"/>
              </w:rPr>
              <w:t>3,980</w:t>
            </w:r>
          </w:p>
        </w:tc>
        <w:tc>
          <w:tcPr>
            <w:tcW w:w="1928" w:type="dxa"/>
            <w:tcBorders>
              <w:top w:val="nil"/>
              <w:left w:val="nil"/>
              <w:bottom w:val="nil"/>
              <w:right w:val="nil"/>
            </w:tcBorders>
          </w:tcPr>
          <w:p w14:paraId="42557C45">
            <w:pPr>
              <w:spacing w:before="20" w:after="20"/>
              <w:jc w:val="center"/>
              <w:rPr>
                <w:sz w:val="21"/>
                <w:szCs w:val="21"/>
              </w:rPr>
            </w:pPr>
            <w:r>
              <w:rPr>
                <w:sz w:val="21"/>
                <w:szCs w:val="21"/>
              </w:rPr>
              <w:t>0.95 (0.75–1.21)</w:t>
            </w:r>
          </w:p>
        </w:tc>
        <w:tc>
          <w:tcPr>
            <w:tcW w:w="1134" w:type="dxa"/>
            <w:tcBorders>
              <w:top w:val="nil"/>
              <w:left w:val="nil"/>
              <w:bottom w:val="nil"/>
              <w:right w:val="nil"/>
            </w:tcBorders>
          </w:tcPr>
          <w:p w14:paraId="7A1745B5">
            <w:pPr>
              <w:spacing w:before="20" w:after="20"/>
              <w:jc w:val="center"/>
              <w:rPr>
                <w:sz w:val="21"/>
                <w:szCs w:val="21"/>
              </w:rPr>
            </w:pPr>
            <w:r>
              <w:rPr>
                <w:sz w:val="21"/>
                <w:szCs w:val="21"/>
              </w:rPr>
              <w:t>.69</w:t>
            </w:r>
          </w:p>
        </w:tc>
      </w:tr>
      <w:tr w14:paraId="7C45A80E">
        <w:tblPrEx>
          <w:tblCellMar>
            <w:top w:w="0" w:type="dxa"/>
            <w:left w:w="108" w:type="dxa"/>
            <w:bottom w:w="0" w:type="dxa"/>
            <w:right w:w="108" w:type="dxa"/>
          </w:tblCellMar>
        </w:tblPrEx>
        <w:trPr>
          <w:jc w:val="center"/>
        </w:trPr>
        <w:tc>
          <w:tcPr>
            <w:tcW w:w="4535" w:type="dxa"/>
            <w:tcBorders>
              <w:top w:val="nil"/>
              <w:left w:val="nil"/>
              <w:bottom w:val="single" w:color="000000" w:sz="8" w:space="0"/>
              <w:right w:val="nil"/>
            </w:tcBorders>
          </w:tcPr>
          <w:p w14:paraId="593F2183">
            <w:pPr>
              <w:spacing w:before="20" w:after="20"/>
              <w:jc w:val="left"/>
              <w:rPr>
                <w:sz w:val="21"/>
                <w:szCs w:val="21"/>
              </w:rPr>
            </w:pPr>
            <w:r>
              <w:rPr>
                <w:rFonts w:ascii="Times New Roman" w:hAnsi="Times New Roman" w:eastAsia="宋体"/>
                <w:b w:val="0"/>
                <w:sz w:val="21"/>
                <w:szCs w:val="21"/>
              </w:rPr>
              <w:t>Sends or receives email or text messages</w:t>
            </w:r>
          </w:p>
        </w:tc>
        <w:tc>
          <w:tcPr>
            <w:tcW w:w="1134" w:type="dxa"/>
            <w:tcBorders>
              <w:top w:val="nil"/>
              <w:left w:val="nil"/>
              <w:bottom w:val="single" w:color="000000" w:sz="8" w:space="0"/>
              <w:right w:val="nil"/>
            </w:tcBorders>
          </w:tcPr>
          <w:p w14:paraId="1AAB68AE">
            <w:pPr>
              <w:spacing w:before="20" w:after="20"/>
              <w:jc w:val="center"/>
              <w:rPr>
                <w:sz w:val="21"/>
                <w:szCs w:val="21"/>
              </w:rPr>
            </w:pPr>
            <w:r>
              <w:rPr>
                <w:sz w:val="21"/>
                <w:szCs w:val="21"/>
              </w:rPr>
              <w:t>4,119</w:t>
            </w:r>
          </w:p>
        </w:tc>
        <w:tc>
          <w:tcPr>
            <w:tcW w:w="1928" w:type="dxa"/>
            <w:tcBorders>
              <w:top w:val="nil"/>
              <w:left w:val="nil"/>
              <w:bottom w:val="single" w:color="000000" w:sz="8" w:space="0"/>
              <w:right w:val="nil"/>
            </w:tcBorders>
          </w:tcPr>
          <w:p w14:paraId="5043D349">
            <w:pPr>
              <w:spacing w:before="20" w:after="20"/>
              <w:jc w:val="center"/>
              <w:rPr>
                <w:sz w:val="21"/>
                <w:szCs w:val="21"/>
              </w:rPr>
            </w:pPr>
            <w:r>
              <w:rPr>
                <w:sz w:val="21"/>
                <w:szCs w:val="21"/>
              </w:rPr>
              <w:t>0.96 (0.76–1.21)</w:t>
            </w:r>
          </w:p>
        </w:tc>
        <w:tc>
          <w:tcPr>
            <w:tcW w:w="1134" w:type="dxa"/>
            <w:tcBorders>
              <w:top w:val="nil"/>
              <w:left w:val="nil"/>
              <w:bottom w:val="single" w:color="000000" w:sz="8" w:space="0"/>
              <w:right w:val="nil"/>
            </w:tcBorders>
          </w:tcPr>
          <w:p w14:paraId="02A0EF45">
            <w:pPr>
              <w:spacing w:before="20" w:after="20"/>
              <w:jc w:val="center"/>
              <w:rPr>
                <w:sz w:val="21"/>
                <w:szCs w:val="21"/>
              </w:rPr>
            </w:pPr>
            <w:r>
              <w:rPr>
                <w:sz w:val="21"/>
                <w:szCs w:val="21"/>
              </w:rPr>
              <w:t>.72</w:t>
            </w:r>
          </w:p>
        </w:tc>
      </w:tr>
    </w:tbl>
    <w:p w14:paraId="57FDBE7D">
      <w:pPr>
        <w:spacing w:before="60"/>
        <w:rPr>
          <w:sz w:val="18"/>
          <w:szCs w:val="18"/>
        </w:rPr>
      </w:pPr>
      <w:r>
        <w:rPr>
          <w:rFonts w:ascii="Times New Roman" w:hAnsi="Times New Roman" w:eastAsia="宋体"/>
          <w:sz w:val="18"/>
          <w:szCs w:val="18"/>
        </w:rPr>
        <w:t>All models adjusted for the covariates of the primary model (Model 4). Device ownership alone was not associated with incident MI in these analyses; however, this comparison cannot distinguish an effect of internet use itself from residual confounding by socioeconomic position or related characteristics.</w:t>
      </w:r>
    </w:p>
    <w:p w14:paraId="65854EC1">
      <w:pPr>
        <w:rPr>
          <w:sz w:val="18"/>
          <w:szCs w:val="18"/>
        </w:rPr>
      </w:pPr>
      <w:r>
        <w:rPr>
          <w:sz w:val="18"/>
          <w:szCs w:val="18"/>
        </w:rPr>
        <w:br w:type="page"/>
      </w:r>
    </w:p>
    <w:p w14:paraId="228F7410">
      <w:r>
        <w:rPr>
          <w:rFonts w:ascii="Times New Roman" w:hAnsi="Times New Roman" w:eastAsia="宋体"/>
          <w:b/>
          <w:sz w:val="24"/>
        </w:rPr>
        <w:t>Supplementary Table S4. E-value sensitivity analysis for unmeasured confounding</w:t>
      </w:r>
    </w:p>
    <w:tbl>
      <w:tblPr>
        <w:tblStyle w:val="32"/>
        <w:tblW w:w="0" w:type="auto"/>
        <w:jc w:val="center"/>
        <w:tblLayout w:type="fixed"/>
        <w:tblCellMar>
          <w:top w:w="0" w:type="dxa"/>
          <w:left w:w="108" w:type="dxa"/>
          <w:bottom w:w="0" w:type="dxa"/>
          <w:right w:w="108" w:type="dxa"/>
        </w:tblCellMar>
      </w:tblPr>
      <w:tblGrid>
        <w:gridCol w:w="2880"/>
        <w:gridCol w:w="2880"/>
        <w:gridCol w:w="2880"/>
      </w:tblGrid>
      <w:tr w14:paraId="40BB2E48">
        <w:tblPrEx>
          <w:tblCellMar>
            <w:top w:w="0" w:type="dxa"/>
            <w:left w:w="108" w:type="dxa"/>
            <w:bottom w:w="0" w:type="dxa"/>
            <w:right w:w="108" w:type="dxa"/>
          </w:tblCellMar>
        </w:tblPrEx>
        <w:trPr>
          <w:jc w:val="center"/>
        </w:trPr>
        <w:tc>
          <w:tcPr>
            <w:tcW w:w="4535" w:type="dxa"/>
            <w:tcBorders>
              <w:top w:val="single" w:color="000000" w:sz="8" w:space="0"/>
              <w:left w:val="nil"/>
              <w:bottom w:val="single" w:color="000000" w:sz="8" w:space="0"/>
              <w:right w:val="nil"/>
            </w:tcBorders>
          </w:tcPr>
          <w:p w14:paraId="6959BB82">
            <w:pPr>
              <w:spacing w:before="20" w:after="20"/>
              <w:jc w:val="left"/>
              <w:rPr>
                <w:sz w:val="21"/>
                <w:szCs w:val="21"/>
              </w:rPr>
            </w:pPr>
            <w:r>
              <w:rPr>
                <w:rFonts w:ascii="Times New Roman" w:hAnsi="Times New Roman" w:eastAsia="宋体"/>
                <w:b/>
                <w:sz w:val="21"/>
                <w:szCs w:val="21"/>
              </w:rPr>
              <w:t>Estimate</w:t>
            </w:r>
          </w:p>
        </w:tc>
        <w:tc>
          <w:tcPr>
            <w:tcW w:w="1701" w:type="dxa"/>
            <w:tcBorders>
              <w:top w:val="single" w:color="000000" w:sz="8" w:space="0"/>
              <w:left w:val="nil"/>
              <w:bottom w:val="single" w:color="000000" w:sz="8" w:space="0"/>
              <w:right w:val="nil"/>
            </w:tcBorders>
          </w:tcPr>
          <w:p w14:paraId="746FFA87">
            <w:pPr>
              <w:spacing w:before="20" w:after="20"/>
              <w:jc w:val="center"/>
              <w:rPr>
                <w:sz w:val="21"/>
                <w:szCs w:val="21"/>
              </w:rPr>
            </w:pPr>
            <w:r>
              <w:rPr>
                <w:rFonts w:ascii="Times New Roman" w:hAnsi="Times New Roman" w:eastAsia="宋体"/>
                <w:b/>
                <w:sz w:val="21"/>
                <w:szCs w:val="21"/>
              </w:rPr>
              <w:t>Value</w:t>
            </w:r>
          </w:p>
        </w:tc>
        <w:tc>
          <w:tcPr>
            <w:tcW w:w="1701" w:type="dxa"/>
            <w:tcBorders>
              <w:top w:val="single" w:color="000000" w:sz="8" w:space="0"/>
              <w:left w:val="nil"/>
              <w:bottom w:val="single" w:color="000000" w:sz="8" w:space="0"/>
              <w:right w:val="nil"/>
            </w:tcBorders>
          </w:tcPr>
          <w:p w14:paraId="2C4AAA87">
            <w:pPr>
              <w:spacing w:before="20" w:after="20"/>
              <w:jc w:val="center"/>
              <w:rPr>
                <w:sz w:val="21"/>
                <w:szCs w:val="21"/>
              </w:rPr>
            </w:pPr>
            <w:r>
              <w:rPr>
                <w:rFonts w:ascii="Times New Roman" w:hAnsi="Times New Roman" w:eastAsia="宋体"/>
                <w:b/>
                <w:sz w:val="21"/>
                <w:szCs w:val="21"/>
              </w:rPr>
              <w:t>E-value</w:t>
            </w:r>
          </w:p>
        </w:tc>
      </w:tr>
      <w:tr w14:paraId="449EF397">
        <w:tblPrEx>
          <w:tblCellMar>
            <w:top w:w="0" w:type="dxa"/>
            <w:left w:w="108" w:type="dxa"/>
            <w:bottom w:w="0" w:type="dxa"/>
            <w:right w:w="108" w:type="dxa"/>
          </w:tblCellMar>
        </w:tblPrEx>
        <w:trPr>
          <w:jc w:val="center"/>
        </w:trPr>
        <w:tc>
          <w:tcPr>
            <w:tcW w:w="4535" w:type="dxa"/>
            <w:tcBorders>
              <w:top w:val="nil"/>
              <w:left w:val="nil"/>
              <w:bottom w:val="nil"/>
              <w:right w:val="nil"/>
            </w:tcBorders>
          </w:tcPr>
          <w:p w14:paraId="4CC3C943">
            <w:pPr>
              <w:spacing w:before="20" w:after="20"/>
              <w:jc w:val="left"/>
              <w:rPr>
                <w:sz w:val="21"/>
                <w:szCs w:val="21"/>
              </w:rPr>
            </w:pPr>
            <w:r>
              <w:rPr>
                <w:rFonts w:ascii="Times New Roman" w:hAnsi="Times New Roman" w:eastAsia="宋体"/>
                <w:b w:val="0"/>
                <w:sz w:val="21"/>
                <w:szCs w:val="21"/>
              </w:rPr>
              <w:t>Primary model (Model 4) point estimate</w:t>
            </w:r>
          </w:p>
        </w:tc>
        <w:tc>
          <w:tcPr>
            <w:tcW w:w="1701" w:type="dxa"/>
            <w:tcBorders>
              <w:top w:val="nil"/>
              <w:left w:val="nil"/>
              <w:bottom w:val="nil"/>
              <w:right w:val="nil"/>
            </w:tcBorders>
          </w:tcPr>
          <w:p w14:paraId="5B353A01">
            <w:pPr>
              <w:spacing w:before="20" w:after="20"/>
              <w:jc w:val="center"/>
              <w:rPr>
                <w:sz w:val="21"/>
                <w:szCs w:val="21"/>
              </w:rPr>
            </w:pPr>
            <w:r>
              <w:rPr>
                <w:sz w:val="21"/>
                <w:szCs w:val="21"/>
              </w:rPr>
              <w:t>HR 0.78</w:t>
            </w:r>
          </w:p>
        </w:tc>
        <w:tc>
          <w:tcPr>
            <w:tcW w:w="1701" w:type="dxa"/>
            <w:tcBorders>
              <w:top w:val="nil"/>
              <w:left w:val="nil"/>
              <w:bottom w:val="nil"/>
              <w:right w:val="nil"/>
            </w:tcBorders>
          </w:tcPr>
          <w:p w14:paraId="1BE900AF">
            <w:pPr>
              <w:spacing w:before="20" w:after="20"/>
              <w:jc w:val="center"/>
              <w:rPr>
                <w:sz w:val="21"/>
                <w:szCs w:val="21"/>
              </w:rPr>
            </w:pPr>
            <w:r>
              <w:rPr>
                <w:sz w:val="21"/>
                <w:szCs w:val="21"/>
              </w:rPr>
              <w:t>1.87</w:t>
            </w:r>
          </w:p>
        </w:tc>
      </w:tr>
      <w:tr w14:paraId="44310D39">
        <w:tblPrEx>
          <w:tblCellMar>
            <w:top w:w="0" w:type="dxa"/>
            <w:left w:w="108" w:type="dxa"/>
            <w:bottom w:w="0" w:type="dxa"/>
            <w:right w:w="108" w:type="dxa"/>
          </w:tblCellMar>
        </w:tblPrEx>
        <w:trPr>
          <w:jc w:val="center"/>
        </w:trPr>
        <w:tc>
          <w:tcPr>
            <w:tcW w:w="4535" w:type="dxa"/>
            <w:tcBorders>
              <w:top w:val="nil"/>
              <w:left w:val="nil"/>
              <w:bottom w:val="single" w:color="000000" w:sz="8" w:space="0"/>
              <w:right w:val="nil"/>
            </w:tcBorders>
          </w:tcPr>
          <w:p w14:paraId="73587D72">
            <w:pPr>
              <w:spacing w:before="20" w:after="20"/>
              <w:jc w:val="left"/>
              <w:rPr>
                <w:sz w:val="21"/>
                <w:szCs w:val="21"/>
              </w:rPr>
            </w:pPr>
            <w:r>
              <w:rPr>
                <w:rFonts w:ascii="Times New Roman" w:hAnsi="Times New Roman" w:eastAsia="宋体"/>
                <w:b w:val="0"/>
                <w:sz w:val="21"/>
                <w:szCs w:val="21"/>
              </w:rPr>
              <w:t>Primary model upper 95% confidence limit</w:t>
            </w:r>
          </w:p>
        </w:tc>
        <w:tc>
          <w:tcPr>
            <w:tcW w:w="1701" w:type="dxa"/>
            <w:tcBorders>
              <w:top w:val="nil"/>
              <w:left w:val="nil"/>
              <w:bottom w:val="single" w:color="000000" w:sz="8" w:space="0"/>
              <w:right w:val="nil"/>
            </w:tcBorders>
          </w:tcPr>
          <w:p w14:paraId="27BFB787">
            <w:pPr>
              <w:spacing w:before="20" w:after="20"/>
              <w:jc w:val="center"/>
              <w:rPr>
                <w:sz w:val="21"/>
                <w:szCs w:val="21"/>
              </w:rPr>
            </w:pPr>
            <w:r>
              <w:rPr>
                <w:sz w:val="21"/>
                <w:szCs w:val="21"/>
              </w:rPr>
              <w:t>HR 0.99</w:t>
            </w:r>
          </w:p>
        </w:tc>
        <w:tc>
          <w:tcPr>
            <w:tcW w:w="1701" w:type="dxa"/>
            <w:tcBorders>
              <w:top w:val="nil"/>
              <w:left w:val="nil"/>
              <w:bottom w:val="single" w:color="000000" w:sz="8" w:space="0"/>
              <w:right w:val="nil"/>
            </w:tcBorders>
          </w:tcPr>
          <w:p w14:paraId="0232E8EC">
            <w:pPr>
              <w:spacing w:before="20" w:after="20"/>
              <w:jc w:val="center"/>
              <w:rPr>
                <w:sz w:val="21"/>
                <w:szCs w:val="21"/>
              </w:rPr>
            </w:pPr>
            <w:r>
              <w:rPr>
                <w:sz w:val="21"/>
                <w:szCs w:val="21"/>
              </w:rPr>
              <w:t>1.14</w:t>
            </w:r>
          </w:p>
        </w:tc>
      </w:tr>
    </w:tbl>
    <w:p w14:paraId="48633186">
      <w:pPr>
        <w:spacing w:before="60"/>
      </w:pPr>
      <w:r>
        <w:rPr>
          <w:rFonts w:ascii="Times New Roman" w:hAnsi="Times New Roman" w:eastAsia="宋体"/>
          <w:sz w:val="18"/>
        </w:rPr>
        <w:t>The E-value is the minimum strength of association, on the risk ratio scale, that an unmeasured confounder would need to have with both internet use and incident MI — conditional on the measured covariates — to fully explain away the observed association (VanderWeele and Ding, 2017).</w:t>
      </w:r>
    </w:p>
    <w:p w14:paraId="3BA71849">
      <w:pPr>
        <w:spacing w:before="60"/>
      </w:pPr>
      <w:r>
        <w:rPr>
          <w:rFonts w:ascii="Times New Roman" w:hAnsi="Times New Roman" w:eastAsia="宋体"/>
          <w:sz w:val="18"/>
        </w:rPr>
        <w:t>Interpretation. An unmeasured confounder would need to be associated with both internet use and MI by a risk ratio of at least 1.87 each to move the point estimate to the null, and by a risk ratio of only 1.14 each to move the upper confidence limit to the null. We do not regard an E-value of this magnitude as reassuring. Although household income, Medicaid coverage, marital status and education are adjusted for in the primary model, these are imperfect measures of socioeconomic position, and unmeasured dimensions — wealth, health literacy, area-level deprivation and lifetime occupational status — could plausibly generate confounding of this strength either individually or jointly. The E-value is therefore reported to quantify how fragile the estimate is, and not as evidence that the association is robust to unmeasured confounding. (E-values are calculated from the unrounded estimates: point estimate 0.783 and upper 95% confidence limit 0.986.)</w:t>
      </w:r>
    </w:p>
    <w:p w14:paraId="11F95A14">
      <w:r>
        <w:br w:type="page"/>
      </w:r>
    </w:p>
    <w:p w14:paraId="0D2C8107">
      <w:r>
        <w:rPr>
          <w:rFonts w:ascii="Times New Roman" w:hAnsi="Times New Roman" w:eastAsia="宋体"/>
          <w:b/>
          <w:sz w:val="24"/>
        </w:rPr>
        <w:t>Supplementary Table S5. Covariates included in the propensity score model for the IPTW analysis</w:t>
      </w:r>
    </w:p>
    <w:tbl>
      <w:tblPr>
        <w:tblStyle w:val="32"/>
        <w:tblW w:w="0" w:type="auto"/>
        <w:jc w:val="center"/>
        <w:tblLayout w:type="fixed"/>
        <w:tblCellMar>
          <w:top w:w="0" w:type="dxa"/>
          <w:left w:w="108" w:type="dxa"/>
          <w:bottom w:w="0" w:type="dxa"/>
          <w:right w:w="108" w:type="dxa"/>
        </w:tblCellMar>
      </w:tblPr>
      <w:tblGrid>
        <w:gridCol w:w="2880"/>
        <w:gridCol w:w="2880"/>
        <w:gridCol w:w="2880"/>
      </w:tblGrid>
      <w:tr w14:paraId="143D9CEC">
        <w:tblPrEx>
          <w:tblCellMar>
            <w:top w:w="0" w:type="dxa"/>
            <w:left w:w="108" w:type="dxa"/>
            <w:bottom w:w="0" w:type="dxa"/>
            <w:right w:w="108" w:type="dxa"/>
          </w:tblCellMar>
        </w:tblPrEx>
        <w:trPr>
          <w:jc w:val="center"/>
        </w:trPr>
        <w:tc>
          <w:tcPr>
            <w:tcW w:w="680" w:type="dxa"/>
            <w:tcBorders>
              <w:top w:val="single" w:color="000000" w:sz="8" w:space="0"/>
              <w:left w:val="nil"/>
              <w:bottom w:val="single" w:color="000000" w:sz="8" w:space="0"/>
              <w:right w:val="nil"/>
            </w:tcBorders>
          </w:tcPr>
          <w:p w14:paraId="6B2D591A">
            <w:pPr>
              <w:spacing w:before="20" w:after="20"/>
              <w:jc w:val="left"/>
              <w:rPr>
                <w:sz w:val="21"/>
                <w:szCs w:val="21"/>
              </w:rPr>
            </w:pPr>
            <w:r>
              <w:rPr>
                <w:rFonts w:ascii="Times New Roman" w:hAnsi="Times New Roman" w:eastAsia="宋体"/>
                <w:b/>
                <w:sz w:val="21"/>
                <w:szCs w:val="21"/>
              </w:rPr>
              <w:t>#</w:t>
            </w:r>
          </w:p>
        </w:tc>
        <w:tc>
          <w:tcPr>
            <w:tcW w:w="3685" w:type="dxa"/>
            <w:tcBorders>
              <w:top w:val="single" w:color="000000" w:sz="8" w:space="0"/>
              <w:left w:val="nil"/>
              <w:bottom w:val="single" w:color="000000" w:sz="8" w:space="0"/>
              <w:right w:val="nil"/>
            </w:tcBorders>
          </w:tcPr>
          <w:p w14:paraId="10B0DAB1">
            <w:pPr>
              <w:spacing w:before="20" w:after="20"/>
              <w:jc w:val="center"/>
              <w:rPr>
                <w:sz w:val="21"/>
                <w:szCs w:val="21"/>
              </w:rPr>
            </w:pPr>
            <w:r>
              <w:rPr>
                <w:rFonts w:ascii="Times New Roman" w:hAnsi="Times New Roman" w:eastAsia="宋体"/>
                <w:b/>
                <w:sz w:val="21"/>
                <w:szCs w:val="21"/>
              </w:rPr>
              <w:t>Covariate</w:t>
            </w:r>
          </w:p>
        </w:tc>
        <w:tc>
          <w:tcPr>
            <w:tcW w:w="4535" w:type="dxa"/>
            <w:tcBorders>
              <w:top w:val="single" w:color="000000" w:sz="8" w:space="0"/>
              <w:left w:val="nil"/>
              <w:bottom w:val="single" w:color="000000" w:sz="8" w:space="0"/>
              <w:right w:val="nil"/>
            </w:tcBorders>
          </w:tcPr>
          <w:p w14:paraId="6BAC2CF5">
            <w:pPr>
              <w:spacing w:before="20" w:after="20"/>
              <w:jc w:val="center"/>
              <w:rPr>
                <w:sz w:val="21"/>
                <w:szCs w:val="21"/>
              </w:rPr>
            </w:pPr>
            <w:r>
              <w:rPr>
                <w:rFonts w:ascii="Times New Roman" w:hAnsi="Times New Roman" w:eastAsia="宋体"/>
                <w:b/>
                <w:sz w:val="21"/>
                <w:szCs w:val="21"/>
              </w:rPr>
              <w:t>Coding</w:t>
            </w:r>
          </w:p>
        </w:tc>
      </w:tr>
      <w:tr w14:paraId="26C78736">
        <w:tblPrEx>
          <w:tblCellMar>
            <w:top w:w="0" w:type="dxa"/>
            <w:left w:w="108" w:type="dxa"/>
            <w:bottom w:w="0" w:type="dxa"/>
            <w:right w:w="108" w:type="dxa"/>
          </w:tblCellMar>
        </w:tblPrEx>
        <w:trPr>
          <w:jc w:val="center"/>
        </w:trPr>
        <w:tc>
          <w:tcPr>
            <w:tcW w:w="680" w:type="dxa"/>
            <w:tcBorders>
              <w:top w:val="nil"/>
              <w:left w:val="nil"/>
              <w:bottom w:val="nil"/>
              <w:right w:val="nil"/>
            </w:tcBorders>
          </w:tcPr>
          <w:p w14:paraId="58D2F39D">
            <w:pPr>
              <w:spacing w:before="20" w:after="20"/>
              <w:jc w:val="left"/>
              <w:rPr>
                <w:sz w:val="21"/>
                <w:szCs w:val="21"/>
              </w:rPr>
            </w:pPr>
            <w:r>
              <w:rPr>
                <w:rFonts w:ascii="Times New Roman" w:hAnsi="Times New Roman" w:eastAsia="宋体"/>
                <w:b w:val="0"/>
                <w:sz w:val="21"/>
                <w:szCs w:val="21"/>
              </w:rPr>
              <w:t>1</w:t>
            </w:r>
          </w:p>
        </w:tc>
        <w:tc>
          <w:tcPr>
            <w:tcW w:w="3685" w:type="dxa"/>
            <w:tcBorders>
              <w:top w:val="nil"/>
              <w:left w:val="nil"/>
              <w:bottom w:val="nil"/>
              <w:right w:val="nil"/>
            </w:tcBorders>
          </w:tcPr>
          <w:p w14:paraId="43594481">
            <w:pPr>
              <w:spacing w:before="20" w:after="20"/>
              <w:jc w:val="center"/>
              <w:rPr>
                <w:sz w:val="21"/>
                <w:szCs w:val="21"/>
              </w:rPr>
            </w:pPr>
            <w:r>
              <w:rPr>
                <w:rFonts w:ascii="Times New Roman" w:hAnsi="Times New Roman" w:eastAsia="宋体"/>
                <w:b w:val="0"/>
                <w:sz w:val="21"/>
                <w:szCs w:val="21"/>
              </w:rPr>
              <w:t>Sex</w:t>
            </w:r>
          </w:p>
        </w:tc>
        <w:tc>
          <w:tcPr>
            <w:tcW w:w="4535" w:type="dxa"/>
            <w:tcBorders>
              <w:top w:val="nil"/>
              <w:left w:val="nil"/>
              <w:bottom w:val="nil"/>
              <w:right w:val="nil"/>
            </w:tcBorders>
          </w:tcPr>
          <w:p w14:paraId="42CEC99E">
            <w:pPr>
              <w:spacing w:before="20" w:after="20"/>
              <w:jc w:val="center"/>
              <w:rPr>
                <w:sz w:val="21"/>
                <w:szCs w:val="21"/>
              </w:rPr>
            </w:pPr>
            <w:r>
              <w:rPr>
                <w:rFonts w:ascii="Times New Roman" w:hAnsi="Times New Roman" w:eastAsia="宋体"/>
                <w:b w:val="0"/>
                <w:sz w:val="21"/>
                <w:szCs w:val="21"/>
              </w:rPr>
              <w:t>Male / female</w:t>
            </w:r>
          </w:p>
        </w:tc>
      </w:tr>
      <w:tr w14:paraId="3CA89487">
        <w:tblPrEx>
          <w:tblCellMar>
            <w:top w:w="0" w:type="dxa"/>
            <w:left w:w="108" w:type="dxa"/>
            <w:bottom w:w="0" w:type="dxa"/>
            <w:right w:w="108" w:type="dxa"/>
          </w:tblCellMar>
        </w:tblPrEx>
        <w:trPr>
          <w:jc w:val="center"/>
        </w:trPr>
        <w:tc>
          <w:tcPr>
            <w:tcW w:w="680" w:type="dxa"/>
            <w:tcBorders>
              <w:top w:val="nil"/>
              <w:left w:val="nil"/>
              <w:bottom w:val="nil"/>
              <w:right w:val="nil"/>
            </w:tcBorders>
          </w:tcPr>
          <w:p w14:paraId="794497C9">
            <w:pPr>
              <w:spacing w:before="20" w:after="20"/>
              <w:jc w:val="left"/>
              <w:rPr>
                <w:sz w:val="21"/>
                <w:szCs w:val="21"/>
              </w:rPr>
            </w:pPr>
            <w:r>
              <w:rPr>
                <w:rFonts w:ascii="Times New Roman" w:hAnsi="Times New Roman" w:eastAsia="宋体"/>
                <w:b w:val="0"/>
                <w:sz w:val="21"/>
                <w:szCs w:val="21"/>
              </w:rPr>
              <w:t>2</w:t>
            </w:r>
          </w:p>
        </w:tc>
        <w:tc>
          <w:tcPr>
            <w:tcW w:w="3685" w:type="dxa"/>
            <w:tcBorders>
              <w:top w:val="nil"/>
              <w:left w:val="nil"/>
              <w:bottom w:val="nil"/>
              <w:right w:val="nil"/>
            </w:tcBorders>
          </w:tcPr>
          <w:p w14:paraId="1037DC0F">
            <w:pPr>
              <w:spacing w:before="20" w:after="20"/>
              <w:jc w:val="center"/>
              <w:rPr>
                <w:sz w:val="21"/>
                <w:szCs w:val="21"/>
              </w:rPr>
            </w:pPr>
            <w:r>
              <w:rPr>
                <w:rFonts w:ascii="Times New Roman" w:hAnsi="Times New Roman" w:eastAsia="宋体"/>
                <w:b w:val="0"/>
                <w:sz w:val="21"/>
                <w:szCs w:val="21"/>
              </w:rPr>
              <w:t>Age group</w:t>
            </w:r>
          </w:p>
        </w:tc>
        <w:tc>
          <w:tcPr>
            <w:tcW w:w="4535" w:type="dxa"/>
            <w:tcBorders>
              <w:top w:val="nil"/>
              <w:left w:val="nil"/>
              <w:bottom w:val="nil"/>
              <w:right w:val="nil"/>
            </w:tcBorders>
          </w:tcPr>
          <w:p w14:paraId="349FA239">
            <w:pPr>
              <w:spacing w:before="20" w:after="20"/>
              <w:jc w:val="center"/>
              <w:rPr>
                <w:sz w:val="21"/>
                <w:szCs w:val="21"/>
              </w:rPr>
            </w:pPr>
            <w:r>
              <w:rPr>
                <w:rFonts w:ascii="Times New Roman" w:hAnsi="Times New Roman" w:eastAsia="宋体"/>
                <w:b w:val="0"/>
                <w:sz w:val="21"/>
                <w:szCs w:val="21"/>
              </w:rPr>
              <w:t>Ordinal, 6 categories (65–69 to ≥90 years)</w:t>
            </w:r>
          </w:p>
        </w:tc>
      </w:tr>
      <w:tr w14:paraId="23974868">
        <w:tblPrEx>
          <w:tblCellMar>
            <w:top w:w="0" w:type="dxa"/>
            <w:left w:w="108" w:type="dxa"/>
            <w:bottom w:w="0" w:type="dxa"/>
            <w:right w:w="108" w:type="dxa"/>
          </w:tblCellMar>
        </w:tblPrEx>
        <w:trPr>
          <w:jc w:val="center"/>
        </w:trPr>
        <w:tc>
          <w:tcPr>
            <w:tcW w:w="680" w:type="dxa"/>
            <w:tcBorders>
              <w:top w:val="nil"/>
              <w:left w:val="nil"/>
              <w:bottom w:val="nil"/>
              <w:right w:val="nil"/>
            </w:tcBorders>
          </w:tcPr>
          <w:p w14:paraId="54F9324E">
            <w:pPr>
              <w:spacing w:before="20" w:after="20"/>
              <w:jc w:val="left"/>
              <w:rPr>
                <w:sz w:val="21"/>
                <w:szCs w:val="21"/>
              </w:rPr>
            </w:pPr>
            <w:r>
              <w:rPr>
                <w:rFonts w:ascii="Times New Roman" w:hAnsi="Times New Roman" w:eastAsia="宋体"/>
                <w:b w:val="0"/>
                <w:sz w:val="21"/>
                <w:szCs w:val="21"/>
              </w:rPr>
              <w:t>3</w:t>
            </w:r>
          </w:p>
        </w:tc>
        <w:tc>
          <w:tcPr>
            <w:tcW w:w="3685" w:type="dxa"/>
            <w:tcBorders>
              <w:top w:val="nil"/>
              <w:left w:val="nil"/>
              <w:bottom w:val="nil"/>
              <w:right w:val="nil"/>
            </w:tcBorders>
          </w:tcPr>
          <w:p w14:paraId="3CEB290D">
            <w:pPr>
              <w:spacing w:before="20" w:after="20"/>
              <w:jc w:val="center"/>
              <w:rPr>
                <w:sz w:val="21"/>
                <w:szCs w:val="21"/>
              </w:rPr>
            </w:pPr>
            <w:r>
              <w:rPr>
                <w:rFonts w:ascii="Times New Roman" w:hAnsi="Times New Roman" w:eastAsia="宋体"/>
                <w:b w:val="0"/>
                <w:sz w:val="21"/>
                <w:szCs w:val="21"/>
              </w:rPr>
              <w:t>Education</w:t>
            </w:r>
          </w:p>
        </w:tc>
        <w:tc>
          <w:tcPr>
            <w:tcW w:w="4535" w:type="dxa"/>
            <w:tcBorders>
              <w:top w:val="nil"/>
              <w:left w:val="nil"/>
              <w:bottom w:val="nil"/>
              <w:right w:val="nil"/>
            </w:tcBorders>
          </w:tcPr>
          <w:p w14:paraId="3E1F347A">
            <w:pPr>
              <w:spacing w:before="20" w:after="20"/>
              <w:jc w:val="center"/>
              <w:rPr>
                <w:sz w:val="21"/>
                <w:szCs w:val="21"/>
              </w:rPr>
            </w:pPr>
            <w:r>
              <w:rPr>
                <w:rFonts w:ascii="Times New Roman" w:hAnsi="Times New Roman" w:eastAsia="宋体"/>
                <w:b w:val="0"/>
                <w:sz w:val="21"/>
                <w:szCs w:val="21"/>
              </w:rPr>
              <w:t>Ordinal, 9-level scale</w:t>
            </w:r>
          </w:p>
        </w:tc>
      </w:tr>
      <w:tr w14:paraId="2DD6AAA0">
        <w:tblPrEx>
          <w:tblCellMar>
            <w:top w:w="0" w:type="dxa"/>
            <w:left w:w="108" w:type="dxa"/>
            <w:bottom w:w="0" w:type="dxa"/>
            <w:right w:w="108" w:type="dxa"/>
          </w:tblCellMar>
        </w:tblPrEx>
        <w:trPr>
          <w:jc w:val="center"/>
        </w:trPr>
        <w:tc>
          <w:tcPr>
            <w:tcW w:w="680" w:type="dxa"/>
            <w:tcBorders>
              <w:top w:val="nil"/>
              <w:left w:val="nil"/>
              <w:bottom w:val="nil"/>
              <w:right w:val="nil"/>
            </w:tcBorders>
          </w:tcPr>
          <w:p w14:paraId="489A19C2">
            <w:pPr>
              <w:spacing w:before="20" w:after="20"/>
              <w:jc w:val="left"/>
              <w:rPr>
                <w:sz w:val="21"/>
                <w:szCs w:val="21"/>
              </w:rPr>
            </w:pPr>
            <w:r>
              <w:rPr>
                <w:rFonts w:ascii="Times New Roman" w:hAnsi="Times New Roman" w:eastAsia="宋体"/>
                <w:b w:val="0"/>
                <w:sz w:val="21"/>
                <w:szCs w:val="21"/>
              </w:rPr>
              <w:t>4</w:t>
            </w:r>
          </w:p>
        </w:tc>
        <w:tc>
          <w:tcPr>
            <w:tcW w:w="3685" w:type="dxa"/>
            <w:tcBorders>
              <w:top w:val="nil"/>
              <w:left w:val="nil"/>
              <w:bottom w:val="nil"/>
              <w:right w:val="nil"/>
            </w:tcBorders>
          </w:tcPr>
          <w:p w14:paraId="30EC7ED0">
            <w:pPr>
              <w:spacing w:before="20" w:after="20"/>
              <w:jc w:val="center"/>
              <w:rPr>
                <w:sz w:val="21"/>
                <w:szCs w:val="21"/>
              </w:rPr>
            </w:pPr>
            <w:r>
              <w:rPr>
                <w:rFonts w:ascii="Times New Roman" w:hAnsi="Times New Roman" w:eastAsia="宋体"/>
                <w:b w:val="0"/>
                <w:sz w:val="21"/>
                <w:szCs w:val="21"/>
              </w:rPr>
              <w:t>Race or ethnicity</w:t>
            </w:r>
          </w:p>
        </w:tc>
        <w:tc>
          <w:tcPr>
            <w:tcW w:w="4535" w:type="dxa"/>
            <w:tcBorders>
              <w:top w:val="nil"/>
              <w:left w:val="nil"/>
              <w:bottom w:val="nil"/>
              <w:right w:val="nil"/>
            </w:tcBorders>
          </w:tcPr>
          <w:p w14:paraId="18A02A15">
            <w:pPr>
              <w:spacing w:before="20" w:after="20"/>
              <w:jc w:val="center"/>
              <w:rPr>
                <w:sz w:val="21"/>
                <w:szCs w:val="21"/>
              </w:rPr>
            </w:pPr>
            <w:r>
              <w:rPr>
                <w:rFonts w:ascii="Times New Roman" w:hAnsi="Times New Roman" w:eastAsia="宋体"/>
                <w:b w:val="0"/>
                <w:sz w:val="21"/>
                <w:szCs w:val="21"/>
              </w:rPr>
              <w:t>Categorical; non-Hispanic White as the reference (indicator terms for non-Hispanic Black, Hispanic and other non-Hispanic)</w:t>
            </w:r>
          </w:p>
        </w:tc>
      </w:tr>
      <w:tr w14:paraId="0BE8BE48">
        <w:tblPrEx>
          <w:tblCellMar>
            <w:top w:w="0" w:type="dxa"/>
            <w:left w:w="108" w:type="dxa"/>
            <w:bottom w:w="0" w:type="dxa"/>
            <w:right w:w="108" w:type="dxa"/>
          </w:tblCellMar>
        </w:tblPrEx>
        <w:trPr>
          <w:jc w:val="center"/>
        </w:trPr>
        <w:tc>
          <w:tcPr>
            <w:tcW w:w="680" w:type="dxa"/>
            <w:tcBorders>
              <w:top w:val="nil"/>
              <w:left w:val="nil"/>
              <w:bottom w:val="nil"/>
              <w:right w:val="nil"/>
            </w:tcBorders>
          </w:tcPr>
          <w:p w14:paraId="4C640F76">
            <w:pPr>
              <w:spacing w:before="20" w:after="20"/>
              <w:jc w:val="left"/>
              <w:rPr>
                <w:sz w:val="21"/>
                <w:szCs w:val="21"/>
              </w:rPr>
            </w:pPr>
            <w:r>
              <w:rPr>
                <w:rFonts w:ascii="Times New Roman" w:hAnsi="Times New Roman" w:eastAsia="宋体"/>
                <w:b w:val="0"/>
                <w:sz w:val="21"/>
                <w:szCs w:val="21"/>
              </w:rPr>
              <w:t>5</w:t>
            </w:r>
          </w:p>
        </w:tc>
        <w:tc>
          <w:tcPr>
            <w:tcW w:w="3685" w:type="dxa"/>
            <w:tcBorders>
              <w:top w:val="nil"/>
              <w:left w:val="nil"/>
              <w:bottom w:val="nil"/>
              <w:right w:val="nil"/>
            </w:tcBorders>
          </w:tcPr>
          <w:p w14:paraId="6BB9480E">
            <w:pPr>
              <w:spacing w:before="20" w:after="20"/>
              <w:jc w:val="center"/>
              <w:rPr>
                <w:sz w:val="21"/>
                <w:szCs w:val="21"/>
              </w:rPr>
            </w:pPr>
            <w:r>
              <w:rPr>
                <w:rFonts w:ascii="Times New Roman" w:hAnsi="Times New Roman" w:eastAsia="宋体"/>
                <w:b w:val="0"/>
                <w:sz w:val="21"/>
                <w:szCs w:val="21"/>
              </w:rPr>
              <w:t>Heart disease</w:t>
            </w:r>
          </w:p>
        </w:tc>
        <w:tc>
          <w:tcPr>
            <w:tcW w:w="4535" w:type="dxa"/>
            <w:tcBorders>
              <w:top w:val="nil"/>
              <w:left w:val="nil"/>
              <w:bottom w:val="nil"/>
              <w:right w:val="nil"/>
            </w:tcBorders>
          </w:tcPr>
          <w:p w14:paraId="498C31F8">
            <w:pPr>
              <w:spacing w:before="20" w:after="20"/>
              <w:jc w:val="center"/>
              <w:rPr>
                <w:sz w:val="21"/>
                <w:szCs w:val="21"/>
              </w:rPr>
            </w:pPr>
            <w:r>
              <w:rPr>
                <w:rFonts w:ascii="Times New Roman" w:hAnsi="Times New Roman" w:eastAsia="宋体"/>
                <w:b w:val="0"/>
                <w:sz w:val="21"/>
                <w:szCs w:val="21"/>
              </w:rPr>
              <w:t>Yes / no</w:t>
            </w:r>
          </w:p>
        </w:tc>
      </w:tr>
      <w:tr w14:paraId="40231C42">
        <w:tblPrEx>
          <w:tblCellMar>
            <w:top w:w="0" w:type="dxa"/>
            <w:left w:w="108" w:type="dxa"/>
            <w:bottom w:w="0" w:type="dxa"/>
            <w:right w:w="108" w:type="dxa"/>
          </w:tblCellMar>
        </w:tblPrEx>
        <w:trPr>
          <w:jc w:val="center"/>
        </w:trPr>
        <w:tc>
          <w:tcPr>
            <w:tcW w:w="680" w:type="dxa"/>
            <w:tcBorders>
              <w:top w:val="nil"/>
              <w:left w:val="nil"/>
              <w:bottom w:val="nil"/>
              <w:right w:val="nil"/>
            </w:tcBorders>
          </w:tcPr>
          <w:p w14:paraId="0838DB74">
            <w:pPr>
              <w:spacing w:before="20" w:after="20"/>
              <w:jc w:val="left"/>
              <w:rPr>
                <w:sz w:val="21"/>
                <w:szCs w:val="21"/>
              </w:rPr>
            </w:pPr>
            <w:r>
              <w:rPr>
                <w:rFonts w:ascii="Times New Roman" w:hAnsi="Times New Roman" w:eastAsia="宋体"/>
                <w:b w:val="0"/>
                <w:sz w:val="21"/>
                <w:szCs w:val="21"/>
              </w:rPr>
              <w:t>6</w:t>
            </w:r>
          </w:p>
        </w:tc>
        <w:tc>
          <w:tcPr>
            <w:tcW w:w="3685" w:type="dxa"/>
            <w:tcBorders>
              <w:top w:val="nil"/>
              <w:left w:val="nil"/>
              <w:bottom w:val="nil"/>
              <w:right w:val="nil"/>
            </w:tcBorders>
          </w:tcPr>
          <w:p w14:paraId="0D91AAA1">
            <w:pPr>
              <w:spacing w:before="20" w:after="20"/>
              <w:jc w:val="center"/>
              <w:rPr>
                <w:sz w:val="21"/>
                <w:szCs w:val="21"/>
              </w:rPr>
            </w:pPr>
            <w:r>
              <w:rPr>
                <w:rFonts w:ascii="Times New Roman" w:hAnsi="Times New Roman" w:eastAsia="宋体"/>
                <w:b w:val="0"/>
                <w:sz w:val="21"/>
                <w:szCs w:val="21"/>
              </w:rPr>
              <w:t>Diabetes</w:t>
            </w:r>
          </w:p>
        </w:tc>
        <w:tc>
          <w:tcPr>
            <w:tcW w:w="4535" w:type="dxa"/>
            <w:tcBorders>
              <w:top w:val="nil"/>
              <w:left w:val="nil"/>
              <w:bottom w:val="nil"/>
              <w:right w:val="nil"/>
            </w:tcBorders>
          </w:tcPr>
          <w:p w14:paraId="2DA0DE04">
            <w:pPr>
              <w:spacing w:before="20" w:after="20"/>
              <w:jc w:val="center"/>
              <w:rPr>
                <w:sz w:val="21"/>
                <w:szCs w:val="21"/>
              </w:rPr>
            </w:pPr>
            <w:r>
              <w:rPr>
                <w:rFonts w:ascii="Times New Roman" w:hAnsi="Times New Roman" w:eastAsia="宋体"/>
                <w:b w:val="0"/>
                <w:sz w:val="21"/>
                <w:szCs w:val="21"/>
              </w:rPr>
              <w:t>Yes / no</w:t>
            </w:r>
          </w:p>
        </w:tc>
      </w:tr>
      <w:tr w14:paraId="0E3273A3">
        <w:tblPrEx>
          <w:tblCellMar>
            <w:top w:w="0" w:type="dxa"/>
            <w:left w:w="108" w:type="dxa"/>
            <w:bottom w:w="0" w:type="dxa"/>
            <w:right w:w="108" w:type="dxa"/>
          </w:tblCellMar>
        </w:tblPrEx>
        <w:trPr>
          <w:jc w:val="center"/>
        </w:trPr>
        <w:tc>
          <w:tcPr>
            <w:tcW w:w="680" w:type="dxa"/>
            <w:tcBorders>
              <w:top w:val="nil"/>
              <w:left w:val="nil"/>
              <w:bottom w:val="nil"/>
              <w:right w:val="nil"/>
            </w:tcBorders>
          </w:tcPr>
          <w:p w14:paraId="65B38D6D">
            <w:pPr>
              <w:spacing w:before="20" w:after="20"/>
              <w:jc w:val="left"/>
              <w:rPr>
                <w:sz w:val="21"/>
                <w:szCs w:val="21"/>
              </w:rPr>
            </w:pPr>
            <w:r>
              <w:rPr>
                <w:rFonts w:ascii="Times New Roman" w:hAnsi="Times New Roman" w:eastAsia="宋体"/>
                <w:b w:val="0"/>
                <w:sz w:val="21"/>
                <w:szCs w:val="21"/>
              </w:rPr>
              <w:t>7</w:t>
            </w:r>
          </w:p>
        </w:tc>
        <w:tc>
          <w:tcPr>
            <w:tcW w:w="3685" w:type="dxa"/>
            <w:tcBorders>
              <w:top w:val="nil"/>
              <w:left w:val="nil"/>
              <w:bottom w:val="nil"/>
              <w:right w:val="nil"/>
            </w:tcBorders>
          </w:tcPr>
          <w:p w14:paraId="19E00D24">
            <w:pPr>
              <w:spacing w:before="20" w:after="20"/>
              <w:jc w:val="center"/>
              <w:rPr>
                <w:sz w:val="21"/>
                <w:szCs w:val="21"/>
              </w:rPr>
            </w:pPr>
            <w:r>
              <w:rPr>
                <w:sz w:val="21"/>
                <w:szCs w:val="21"/>
              </w:rPr>
              <w:t>Hypertension</w:t>
            </w:r>
          </w:p>
        </w:tc>
        <w:tc>
          <w:tcPr>
            <w:tcW w:w="4535" w:type="dxa"/>
            <w:tcBorders>
              <w:top w:val="nil"/>
              <w:left w:val="nil"/>
              <w:bottom w:val="nil"/>
              <w:right w:val="nil"/>
            </w:tcBorders>
          </w:tcPr>
          <w:p w14:paraId="2DAB8A53">
            <w:pPr>
              <w:spacing w:before="20" w:after="20"/>
              <w:jc w:val="center"/>
              <w:rPr>
                <w:sz w:val="21"/>
                <w:szCs w:val="21"/>
              </w:rPr>
            </w:pPr>
            <w:r>
              <w:rPr>
                <w:rFonts w:ascii="Times New Roman" w:hAnsi="Times New Roman" w:eastAsia="宋体"/>
                <w:b w:val="0"/>
                <w:sz w:val="21"/>
                <w:szCs w:val="21"/>
              </w:rPr>
              <w:t>Yes / no</w:t>
            </w:r>
          </w:p>
        </w:tc>
      </w:tr>
      <w:tr w14:paraId="1FF6DBE4">
        <w:tblPrEx>
          <w:tblCellMar>
            <w:top w:w="0" w:type="dxa"/>
            <w:left w:w="108" w:type="dxa"/>
            <w:bottom w:w="0" w:type="dxa"/>
            <w:right w:w="108" w:type="dxa"/>
          </w:tblCellMar>
        </w:tblPrEx>
        <w:trPr>
          <w:jc w:val="center"/>
        </w:trPr>
        <w:tc>
          <w:tcPr>
            <w:tcW w:w="680" w:type="dxa"/>
            <w:tcBorders>
              <w:top w:val="nil"/>
              <w:left w:val="nil"/>
              <w:bottom w:val="nil"/>
              <w:right w:val="nil"/>
            </w:tcBorders>
          </w:tcPr>
          <w:p w14:paraId="522F4A79">
            <w:pPr>
              <w:spacing w:before="20" w:after="20"/>
              <w:jc w:val="left"/>
              <w:rPr>
                <w:sz w:val="21"/>
                <w:szCs w:val="21"/>
              </w:rPr>
            </w:pPr>
            <w:r>
              <w:rPr>
                <w:rFonts w:ascii="Times New Roman" w:hAnsi="Times New Roman" w:eastAsia="宋体"/>
                <w:b w:val="0"/>
                <w:sz w:val="21"/>
                <w:szCs w:val="21"/>
              </w:rPr>
              <w:t>8</w:t>
            </w:r>
          </w:p>
        </w:tc>
        <w:tc>
          <w:tcPr>
            <w:tcW w:w="3685" w:type="dxa"/>
            <w:tcBorders>
              <w:top w:val="nil"/>
              <w:left w:val="nil"/>
              <w:bottom w:val="nil"/>
              <w:right w:val="nil"/>
            </w:tcBorders>
          </w:tcPr>
          <w:p w14:paraId="701F1CB5">
            <w:pPr>
              <w:spacing w:before="20" w:after="20"/>
              <w:jc w:val="center"/>
              <w:rPr>
                <w:sz w:val="21"/>
                <w:szCs w:val="21"/>
              </w:rPr>
            </w:pPr>
            <w:r>
              <w:rPr>
                <w:rFonts w:ascii="Times New Roman" w:hAnsi="Times New Roman" w:eastAsia="宋体"/>
                <w:b w:val="0"/>
                <w:sz w:val="21"/>
                <w:szCs w:val="21"/>
              </w:rPr>
              <w:t>Lung disease</w:t>
            </w:r>
          </w:p>
        </w:tc>
        <w:tc>
          <w:tcPr>
            <w:tcW w:w="4535" w:type="dxa"/>
            <w:tcBorders>
              <w:top w:val="nil"/>
              <w:left w:val="nil"/>
              <w:bottom w:val="nil"/>
              <w:right w:val="nil"/>
            </w:tcBorders>
          </w:tcPr>
          <w:p w14:paraId="40393100">
            <w:pPr>
              <w:spacing w:before="20" w:after="20"/>
              <w:jc w:val="center"/>
              <w:rPr>
                <w:sz w:val="21"/>
                <w:szCs w:val="21"/>
              </w:rPr>
            </w:pPr>
            <w:r>
              <w:rPr>
                <w:rFonts w:ascii="Times New Roman" w:hAnsi="Times New Roman" w:eastAsia="宋体"/>
                <w:b w:val="0"/>
                <w:sz w:val="21"/>
                <w:szCs w:val="21"/>
              </w:rPr>
              <w:t>Yes / no</w:t>
            </w:r>
          </w:p>
        </w:tc>
      </w:tr>
      <w:tr w14:paraId="754F64B4">
        <w:tblPrEx>
          <w:tblCellMar>
            <w:top w:w="0" w:type="dxa"/>
            <w:left w:w="108" w:type="dxa"/>
            <w:bottom w:w="0" w:type="dxa"/>
            <w:right w:w="108" w:type="dxa"/>
          </w:tblCellMar>
        </w:tblPrEx>
        <w:trPr>
          <w:jc w:val="center"/>
        </w:trPr>
        <w:tc>
          <w:tcPr>
            <w:tcW w:w="680" w:type="dxa"/>
            <w:tcBorders>
              <w:top w:val="nil"/>
              <w:left w:val="nil"/>
              <w:bottom w:val="nil"/>
              <w:right w:val="nil"/>
            </w:tcBorders>
          </w:tcPr>
          <w:p w14:paraId="21550AF8">
            <w:pPr>
              <w:spacing w:before="20" w:after="20"/>
              <w:jc w:val="left"/>
              <w:rPr>
                <w:sz w:val="21"/>
                <w:szCs w:val="21"/>
              </w:rPr>
            </w:pPr>
            <w:r>
              <w:rPr>
                <w:rFonts w:ascii="Times New Roman" w:hAnsi="Times New Roman" w:eastAsia="宋体"/>
                <w:b w:val="0"/>
                <w:sz w:val="21"/>
                <w:szCs w:val="21"/>
              </w:rPr>
              <w:t>9</w:t>
            </w:r>
          </w:p>
        </w:tc>
        <w:tc>
          <w:tcPr>
            <w:tcW w:w="3685" w:type="dxa"/>
            <w:tcBorders>
              <w:top w:val="nil"/>
              <w:left w:val="nil"/>
              <w:bottom w:val="nil"/>
              <w:right w:val="nil"/>
            </w:tcBorders>
          </w:tcPr>
          <w:p w14:paraId="61958937">
            <w:pPr>
              <w:spacing w:before="20" w:after="20"/>
              <w:jc w:val="center"/>
              <w:rPr>
                <w:sz w:val="21"/>
                <w:szCs w:val="21"/>
              </w:rPr>
            </w:pPr>
            <w:r>
              <w:rPr>
                <w:rFonts w:ascii="Times New Roman" w:hAnsi="Times New Roman" w:eastAsia="宋体"/>
                <w:b w:val="0"/>
                <w:sz w:val="21"/>
                <w:szCs w:val="21"/>
              </w:rPr>
              <w:t>Stroke</w:t>
            </w:r>
          </w:p>
        </w:tc>
        <w:tc>
          <w:tcPr>
            <w:tcW w:w="4535" w:type="dxa"/>
            <w:tcBorders>
              <w:top w:val="nil"/>
              <w:left w:val="nil"/>
              <w:bottom w:val="nil"/>
              <w:right w:val="nil"/>
            </w:tcBorders>
          </w:tcPr>
          <w:p w14:paraId="62D337FB">
            <w:pPr>
              <w:spacing w:before="20" w:after="20"/>
              <w:jc w:val="center"/>
              <w:rPr>
                <w:sz w:val="21"/>
                <w:szCs w:val="21"/>
              </w:rPr>
            </w:pPr>
            <w:r>
              <w:rPr>
                <w:rFonts w:ascii="Times New Roman" w:hAnsi="Times New Roman" w:eastAsia="宋体"/>
                <w:b w:val="0"/>
                <w:sz w:val="21"/>
                <w:szCs w:val="21"/>
              </w:rPr>
              <w:t>Yes / no</w:t>
            </w:r>
          </w:p>
        </w:tc>
      </w:tr>
      <w:tr w14:paraId="00611508">
        <w:tblPrEx>
          <w:tblCellMar>
            <w:top w:w="0" w:type="dxa"/>
            <w:left w:w="108" w:type="dxa"/>
            <w:bottom w:w="0" w:type="dxa"/>
            <w:right w:w="108" w:type="dxa"/>
          </w:tblCellMar>
        </w:tblPrEx>
        <w:trPr>
          <w:jc w:val="center"/>
        </w:trPr>
        <w:tc>
          <w:tcPr>
            <w:tcW w:w="680" w:type="dxa"/>
            <w:tcBorders>
              <w:top w:val="nil"/>
              <w:left w:val="nil"/>
              <w:bottom w:val="nil"/>
              <w:right w:val="nil"/>
            </w:tcBorders>
          </w:tcPr>
          <w:p w14:paraId="0BB81655">
            <w:pPr>
              <w:spacing w:before="20" w:after="20"/>
              <w:jc w:val="left"/>
              <w:rPr>
                <w:sz w:val="21"/>
                <w:szCs w:val="21"/>
              </w:rPr>
            </w:pPr>
            <w:r>
              <w:rPr>
                <w:rFonts w:ascii="Times New Roman" w:hAnsi="Times New Roman" w:eastAsia="宋体"/>
                <w:b w:val="0"/>
                <w:sz w:val="21"/>
                <w:szCs w:val="21"/>
              </w:rPr>
              <w:t>10</w:t>
            </w:r>
          </w:p>
        </w:tc>
        <w:tc>
          <w:tcPr>
            <w:tcW w:w="3685" w:type="dxa"/>
            <w:tcBorders>
              <w:top w:val="nil"/>
              <w:left w:val="nil"/>
              <w:bottom w:val="nil"/>
              <w:right w:val="nil"/>
            </w:tcBorders>
          </w:tcPr>
          <w:p w14:paraId="7E6A58AB">
            <w:pPr>
              <w:spacing w:before="20" w:after="20"/>
              <w:jc w:val="center"/>
              <w:rPr>
                <w:sz w:val="21"/>
                <w:szCs w:val="21"/>
              </w:rPr>
            </w:pPr>
            <w:r>
              <w:rPr>
                <w:rFonts w:ascii="Times New Roman" w:hAnsi="Times New Roman" w:eastAsia="宋体"/>
                <w:b w:val="0"/>
                <w:sz w:val="21"/>
                <w:szCs w:val="21"/>
              </w:rPr>
              <w:t>Smoking history</w:t>
            </w:r>
          </w:p>
        </w:tc>
        <w:tc>
          <w:tcPr>
            <w:tcW w:w="4535" w:type="dxa"/>
            <w:tcBorders>
              <w:top w:val="nil"/>
              <w:left w:val="nil"/>
              <w:bottom w:val="nil"/>
              <w:right w:val="nil"/>
            </w:tcBorders>
          </w:tcPr>
          <w:p w14:paraId="5B84C266">
            <w:pPr>
              <w:spacing w:before="20" w:after="20"/>
              <w:jc w:val="center"/>
              <w:rPr>
                <w:sz w:val="21"/>
                <w:szCs w:val="21"/>
              </w:rPr>
            </w:pPr>
            <w:r>
              <w:rPr>
                <w:rFonts w:ascii="Times New Roman" w:hAnsi="Times New Roman" w:eastAsia="宋体"/>
                <w:b w:val="0"/>
                <w:sz w:val="21"/>
                <w:szCs w:val="21"/>
              </w:rPr>
              <w:t>Ever / never</w:t>
            </w:r>
          </w:p>
        </w:tc>
      </w:tr>
      <w:tr w14:paraId="06F80B37">
        <w:tblPrEx>
          <w:tblCellMar>
            <w:top w:w="0" w:type="dxa"/>
            <w:left w:w="108" w:type="dxa"/>
            <w:bottom w:w="0" w:type="dxa"/>
            <w:right w:w="108" w:type="dxa"/>
          </w:tblCellMar>
        </w:tblPrEx>
        <w:trPr>
          <w:jc w:val="center"/>
        </w:trPr>
        <w:tc>
          <w:tcPr>
            <w:tcW w:w="680" w:type="dxa"/>
            <w:tcBorders>
              <w:top w:val="nil"/>
              <w:left w:val="nil"/>
              <w:bottom w:val="nil"/>
              <w:right w:val="nil"/>
            </w:tcBorders>
          </w:tcPr>
          <w:p w14:paraId="18655C27">
            <w:pPr>
              <w:spacing w:before="20" w:after="20"/>
              <w:jc w:val="left"/>
              <w:rPr>
                <w:sz w:val="21"/>
                <w:szCs w:val="21"/>
              </w:rPr>
            </w:pPr>
            <w:r>
              <w:rPr>
                <w:rFonts w:ascii="Times New Roman" w:hAnsi="Times New Roman" w:eastAsia="宋体"/>
                <w:b w:val="0"/>
                <w:sz w:val="21"/>
                <w:szCs w:val="21"/>
              </w:rPr>
              <w:t>11</w:t>
            </w:r>
          </w:p>
        </w:tc>
        <w:tc>
          <w:tcPr>
            <w:tcW w:w="3685" w:type="dxa"/>
            <w:tcBorders>
              <w:top w:val="nil"/>
              <w:left w:val="nil"/>
              <w:bottom w:val="nil"/>
              <w:right w:val="nil"/>
            </w:tcBorders>
          </w:tcPr>
          <w:p w14:paraId="1DC59285">
            <w:pPr>
              <w:spacing w:before="20" w:after="20"/>
              <w:jc w:val="center"/>
              <w:rPr>
                <w:sz w:val="21"/>
                <w:szCs w:val="21"/>
              </w:rPr>
            </w:pPr>
            <w:r>
              <w:rPr>
                <w:rFonts w:ascii="Times New Roman" w:hAnsi="Times New Roman" w:eastAsia="宋体"/>
                <w:b w:val="0"/>
                <w:sz w:val="21"/>
                <w:szCs w:val="21"/>
              </w:rPr>
              <w:t>Household income quartileᵃ</w:t>
            </w:r>
          </w:p>
        </w:tc>
        <w:tc>
          <w:tcPr>
            <w:tcW w:w="4535" w:type="dxa"/>
            <w:tcBorders>
              <w:top w:val="nil"/>
              <w:left w:val="nil"/>
              <w:bottom w:val="nil"/>
              <w:right w:val="nil"/>
            </w:tcBorders>
          </w:tcPr>
          <w:p w14:paraId="4DBA4808">
            <w:pPr>
              <w:spacing w:before="20" w:after="20"/>
              <w:jc w:val="center"/>
              <w:rPr>
                <w:sz w:val="21"/>
                <w:szCs w:val="21"/>
              </w:rPr>
            </w:pPr>
            <w:r>
              <w:rPr>
                <w:rFonts w:ascii="Times New Roman" w:hAnsi="Times New Roman" w:eastAsia="宋体"/>
                <w:b w:val="0"/>
                <w:sz w:val="21"/>
                <w:szCs w:val="21"/>
              </w:rPr>
              <w:t>Quartiles of imputed total household income</w:t>
            </w:r>
          </w:p>
        </w:tc>
      </w:tr>
      <w:tr w14:paraId="4E1F9677">
        <w:tblPrEx>
          <w:tblCellMar>
            <w:top w:w="0" w:type="dxa"/>
            <w:left w:w="108" w:type="dxa"/>
            <w:bottom w:w="0" w:type="dxa"/>
            <w:right w:w="108" w:type="dxa"/>
          </w:tblCellMar>
        </w:tblPrEx>
        <w:trPr>
          <w:jc w:val="center"/>
        </w:trPr>
        <w:tc>
          <w:tcPr>
            <w:tcW w:w="680" w:type="dxa"/>
            <w:tcBorders>
              <w:top w:val="nil"/>
              <w:left w:val="nil"/>
              <w:bottom w:val="nil"/>
              <w:right w:val="nil"/>
            </w:tcBorders>
          </w:tcPr>
          <w:p w14:paraId="5AF2613C">
            <w:pPr>
              <w:spacing w:before="20" w:after="20"/>
              <w:jc w:val="left"/>
              <w:rPr>
                <w:sz w:val="21"/>
                <w:szCs w:val="21"/>
              </w:rPr>
            </w:pPr>
            <w:r>
              <w:rPr>
                <w:rFonts w:ascii="Times New Roman" w:hAnsi="Times New Roman" w:eastAsia="宋体"/>
                <w:b w:val="0"/>
                <w:sz w:val="21"/>
                <w:szCs w:val="21"/>
              </w:rPr>
              <w:t>12</w:t>
            </w:r>
          </w:p>
        </w:tc>
        <w:tc>
          <w:tcPr>
            <w:tcW w:w="3685" w:type="dxa"/>
            <w:tcBorders>
              <w:top w:val="nil"/>
              <w:left w:val="nil"/>
              <w:bottom w:val="nil"/>
              <w:right w:val="nil"/>
            </w:tcBorders>
          </w:tcPr>
          <w:p w14:paraId="4732148A">
            <w:pPr>
              <w:spacing w:before="20" w:after="20"/>
              <w:jc w:val="center"/>
              <w:rPr>
                <w:sz w:val="21"/>
                <w:szCs w:val="21"/>
              </w:rPr>
            </w:pPr>
            <w:r>
              <w:rPr>
                <w:rFonts w:ascii="Times New Roman" w:hAnsi="Times New Roman" w:eastAsia="宋体"/>
                <w:b w:val="0"/>
                <w:sz w:val="21"/>
                <w:szCs w:val="21"/>
              </w:rPr>
              <w:t>Medicaid coverageᵃ</w:t>
            </w:r>
          </w:p>
        </w:tc>
        <w:tc>
          <w:tcPr>
            <w:tcW w:w="4535" w:type="dxa"/>
            <w:tcBorders>
              <w:top w:val="nil"/>
              <w:left w:val="nil"/>
              <w:bottom w:val="nil"/>
              <w:right w:val="nil"/>
            </w:tcBorders>
          </w:tcPr>
          <w:p w14:paraId="3C18D335">
            <w:pPr>
              <w:spacing w:before="20" w:after="20"/>
              <w:jc w:val="center"/>
              <w:rPr>
                <w:sz w:val="21"/>
                <w:szCs w:val="21"/>
              </w:rPr>
            </w:pPr>
            <w:r>
              <w:rPr>
                <w:rFonts w:ascii="Times New Roman" w:hAnsi="Times New Roman" w:eastAsia="宋体"/>
                <w:b w:val="0"/>
                <w:sz w:val="21"/>
                <w:szCs w:val="21"/>
              </w:rPr>
              <w:t>Yes / no</w:t>
            </w:r>
          </w:p>
        </w:tc>
      </w:tr>
      <w:tr w14:paraId="41A08E89">
        <w:tblPrEx>
          <w:tblCellMar>
            <w:top w:w="0" w:type="dxa"/>
            <w:left w:w="108" w:type="dxa"/>
            <w:bottom w:w="0" w:type="dxa"/>
            <w:right w:w="108" w:type="dxa"/>
          </w:tblCellMar>
        </w:tblPrEx>
        <w:trPr>
          <w:jc w:val="center"/>
        </w:trPr>
        <w:tc>
          <w:tcPr>
            <w:tcW w:w="680" w:type="dxa"/>
            <w:tcBorders>
              <w:top w:val="nil"/>
              <w:left w:val="nil"/>
              <w:bottom w:val="single" w:color="000000" w:sz="8" w:space="0"/>
              <w:right w:val="nil"/>
            </w:tcBorders>
          </w:tcPr>
          <w:p w14:paraId="789EA899">
            <w:pPr>
              <w:spacing w:before="20" w:after="20"/>
              <w:jc w:val="left"/>
              <w:rPr>
                <w:sz w:val="21"/>
                <w:szCs w:val="21"/>
              </w:rPr>
            </w:pPr>
            <w:r>
              <w:rPr>
                <w:rFonts w:ascii="Times New Roman" w:hAnsi="Times New Roman" w:eastAsia="宋体"/>
                <w:b w:val="0"/>
                <w:sz w:val="21"/>
                <w:szCs w:val="21"/>
              </w:rPr>
              <w:t>13</w:t>
            </w:r>
          </w:p>
        </w:tc>
        <w:tc>
          <w:tcPr>
            <w:tcW w:w="3685" w:type="dxa"/>
            <w:tcBorders>
              <w:top w:val="nil"/>
              <w:left w:val="nil"/>
              <w:bottom w:val="single" w:color="000000" w:sz="8" w:space="0"/>
              <w:right w:val="nil"/>
            </w:tcBorders>
          </w:tcPr>
          <w:p w14:paraId="40CA2E2C">
            <w:pPr>
              <w:spacing w:before="20" w:after="20"/>
              <w:jc w:val="center"/>
              <w:rPr>
                <w:sz w:val="21"/>
                <w:szCs w:val="21"/>
              </w:rPr>
            </w:pPr>
            <w:r>
              <w:rPr>
                <w:rFonts w:ascii="Times New Roman" w:hAnsi="Times New Roman" w:eastAsia="宋体"/>
                <w:b w:val="0"/>
                <w:sz w:val="21"/>
                <w:szCs w:val="21"/>
              </w:rPr>
              <w:t>Marital statusᵃ</w:t>
            </w:r>
          </w:p>
        </w:tc>
        <w:tc>
          <w:tcPr>
            <w:tcW w:w="4535" w:type="dxa"/>
            <w:tcBorders>
              <w:top w:val="nil"/>
              <w:left w:val="nil"/>
              <w:bottom w:val="single" w:color="000000" w:sz="8" w:space="0"/>
              <w:right w:val="nil"/>
            </w:tcBorders>
          </w:tcPr>
          <w:p w14:paraId="4624B221">
            <w:pPr>
              <w:spacing w:before="20" w:after="20"/>
              <w:jc w:val="center"/>
              <w:rPr>
                <w:sz w:val="21"/>
                <w:szCs w:val="21"/>
              </w:rPr>
            </w:pPr>
            <w:r>
              <w:rPr>
                <w:rFonts w:ascii="Times New Roman" w:hAnsi="Times New Roman" w:eastAsia="宋体"/>
                <w:b w:val="0"/>
                <w:sz w:val="21"/>
                <w:szCs w:val="21"/>
              </w:rPr>
              <w:t>Married or partnered / not</w:t>
            </w:r>
          </w:p>
        </w:tc>
      </w:tr>
    </w:tbl>
    <w:p w14:paraId="7E6D279E">
      <w:pPr>
        <w:spacing w:before="60"/>
      </w:pPr>
      <w:r>
        <w:rPr>
          <w:rFonts w:ascii="Times New Roman" w:hAnsi="Times New Roman" w:eastAsia="宋体"/>
          <w:sz w:val="18"/>
        </w:rPr>
        <w:t>ᵃ Covariates 11–13 were included only in the 13-covariate propensity score model with socioeconomic adjustment. The 10-covariate model comprised covariates 1–10, all of which are confounders in the primary analysis; no mediator was included in either model.</w:t>
      </w:r>
    </w:p>
    <w:p w14:paraId="1E006F90">
      <w:pPr>
        <w:spacing w:before="60"/>
      </w:pPr>
      <w:r>
        <w:rPr>
          <w:rFonts w:ascii="Times New Roman" w:hAnsi="Times New Roman" w:eastAsia="宋体"/>
          <w:sz w:val="18"/>
        </w:rPr>
        <w:t>Stabilised inverse probability weights were derived from a logistic regression propensity score model and trimmed at the 1st and 99th percentiles.</w:t>
      </w:r>
    </w:p>
    <w:p w14:paraId="6EB2B693">
      <w:r>
        <w:br w:type="page"/>
      </w:r>
    </w:p>
    <w:p w14:paraId="657F80D2">
      <w:r>
        <w:rPr>
          <w:rFonts w:ascii="Times New Roman" w:hAnsi="Times New Roman" w:eastAsia="宋体"/>
          <w:b/>
          <w:sz w:val="24"/>
        </w:rPr>
        <w:t>Supplementary Table S6. Comparison of participants aged 70–74 years with all other participants</w:t>
      </w:r>
    </w:p>
    <w:tbl>
      <w:tblPr>
        <w:tblStyle w:val="32"/>
        <w:tblW w:w="0" w:type="auto"/>
        <w:jc w:val="center"/>
        <w:tblLayout w:type="fixed"/>
        <w:tblCellMar>
          <w:top w:w="0" w:type="dxa"/>
          <w:left w:w="108" w:type="dxa"/>
          <w:bottom w:w="0" w:type="dxa"/>
          <w:right w:w="108" w:type="dxa"/>
        </w:tblCellMar>
      </w:tblPr>
      <w:tblGrid>
        <w:gridCol w:w="2880"/>
        <w:gridCol w:w="2880"/>
        <w:gridCol w:w="2880"/>
        <w:gridCol w:w="2880"/>
      </w:tblGrid>
      <w:tr w14:paraId="27744F88">
        <w:tblPrEx>
          <w:tblCellMar>
            <w:top w:w="0" w:type="dxa"/>
            <w:left w:w="108" w:type="dxa"/>
            <w:bottom w:w="0" w:type="dxa"/>
            <w:right w:w="108" w:type="dxa"/>
          </w:tblCellMar>
        </w:tblPrEx>
        <w:trPr>
          <w:jc w:val="center"/>
        </w:trPr>
        <w:tc>
          <w:tcPr>
            <w:tcW w:w="4535" w:type="dxa"/>
            <w:tcBorders>
              <w:top w:val="single" w:color="000000" w:sz="8" w:space="0"/>
              <w:left w:val="nil"/>
              <w:bottom w:val="single" w:color="000000" w:sz="8" w:space="0"/>
              <w:right w:val="nil"/>
            </w:tcBorders>
          </w:tcPr>
          <w:p w14:paraId="2633D98A">
            <w:pPr>
              <w:spacing w:before="20" w:after="20"/>
              <w:jc w:val="left"/>
              <w:rPr>
                <w:rFonts w:ascii="Times New Roman" w:hAnsi="Times New Roman"/>
                <w:sz w:val="21"/>
              </w:rPr>
            </w:pPr>
            <w:r>
              <w:rPr>
                <w:rFonts w:ascii="Times New Roman" w:hAnsi="Times New Roman" w:eastAsia="宋体"/>
                <w:b/>
                <w:sz w:val="21"/>
              </w:rPr>
              <w:t>Characteristic</w:t>
            </w:r>
          </w:p>
        </w:tc>
        <w:tc>
          <w:tcPr>
            <w:tcW w:w="1984" w:type="dxa"/>
            <w:tcBorders>
              <w:top w:val="single" w:color="000000" w:sz="8" w:space="0"/>
              <w:left w:val="nil"/>
              <w:bottom w:val="single" w:color="000000" w:sz="8" w:space="0"/>
              <w:right w:val="nil"/>
            </w:tcBorders>
          </w:tcPr>
          <w:p w14:paraId="170869E7">
            <w:pPr>
              <w:spacing w:before="20" w:after="20"/>
              <w:jc w:val="center"/>
              <w:rPr>
                <w:rFonts w:ascii="Times New Roman" w:hAnsi="Times New Roman"/>
                <w:sz w:val="21"/>
              </w:rPr>
            </w:pPr>
            <w:r>
              <w:rPr>
                <w:rFonts w:ascii="Times New Roman" w:hAnsi="Times New Roman" w:eastAsia="宋体"/>
                <w:b/>
                <w:sz w:val="21"/>
              </w:rPr>
              <w:t>Aged 70–74 y</w:t>
            </w:r>
            <w:r>
              <w:rPr>
                <w:rFonts w:ascii="Times New Roman" w:hAnsi="Times New Roman" w:eastAsia="宋体"/>
                <w:b/>
                <w:sz w:val="21"/>
              </w:rPr>
              <w:br w:type="textWrapping"/>
            </w:r>
            <w:r>
              <w:rPr>
                <w:rFonts w:ascii="Times New Roman" w:hAnsi="Times New Roman" w:eastAsia="宋体"/>
                <w:b/>
                <w:sz w:val="21"/>
              </w:rPr>
              <w:t>(n = 969)</w:t>
            </w:r>
          </w:p>
        </w:tc>
        <w:tc>
          <w:tcPr>
            <w:tcW w:w="1984" w:type="dxa"/>
            <w:tcBorders>
              <w:top w:val="single" w:color="000000" w:sz="8" w:space="0"/>
              <w:left w:val="nil"/>
              <w:bottom w:val="single" w:color="000000" w:sz="8" w:space="0"/>
              <w:right w:val="nil"/>
            </w:tcBorders>
          </w:tcPr>
          <w:p w14:paraId="25E6CA64">
            <w:pPr>
              <w:spacing w:before="20" w:after="20"/>
              <w:jc w:val="center"/>
              <w:rPr>
                <w:rFonts w:ascii="Times New Roman" w:hAnsi="Times New Roman"/>
                <w:sz w:val="21"/>
              </w:rPr>
            </w:pPr>
            <w:r>
              <w:rPr>
                <w:rFonts w:ascii="Times New Roman" w:hAnsi="Times New Roman" w:eastAsia="宋体"/>
                <w:b/>
                <w:sz w:val="21"/>
              </w:rPr>
              <w:t>All other ages</w:t>
            </w:r>
            <w:r>
              <w:rPr>
                <w:rFonts w:ascii="Times New Roman" w:hAnsi="Times New Roman" w:eastAsia="宋体"/>
                <w:b/>
                <w:sz w:val="21"/>
              </w:rPr>
              <w:br w:type="textWrapping"/>
            </w:r>
            <w:r>
              <w:rPr>
                <w:rFonts w:ascii="Times New Roman" w:hAnsi="Times New Roman" w:eastAsia="宋体"/>
                <w:b/>
                <w:sz w:val="21"/>
              </w:rPr>
              <w:t>(n = 3,151)</w:t>
            </w:r>
          </w:p>
        </w:tc>
        <w:tc>
          <w:tcPr>
            <w:tcW w:w="1984" w:type="dxa"/>
            <w:tcBorders>
              <w:top w:val="single" w:color="000000" w:sz="8" w:space="0"/>
              <w:left w:val="nil"/>
              <w:bottom w:val="single" w:color="000000" w:sz="8" w:space="0"/>
              <w:right w:val="nil"/>
            </w:tcBorders>
          </w:tcPr>
          <w:p w14:paraId="02934E4C">
            <w:pPr>
              <w:rPr>
                <w:rFonts w:ascii="Times New Roman" w:hAnsi="Times New Roman"/>
                <w:sz w:val="21"/>
              </w:rPr>
            </w:pPr>
            <w:r>
              <w:rPr>
                <w:rFonts w:ascii="Times New Roman" w:hAnsi="Times New Roman"/>
                <w:sz w:val="21"/>
              </w:rPr>
              <w:t>Standardised difference</w:t>
            </w:r>
          </w:p>
        </w:tc>
      </w:tr>
      <w:tr w14:paraId="3462E28B">
        <w:tblPrEx>
          <w:tblCellMar>
            <w:top w:w="0" w:type="dxa"/>
            <w:left w:w="108" w:type="dxa"/>
            <w:bottom w:w="0" w:type="dxa"/>
            <w:right w:w="108" w:type="dxa"/>
          </w:tblCellMar>
        </w:tblPrEx>
        <w:trPr>
          <w:jc w:val="center"/>
        </w:trPr>
        <w:tc>
          <w:tcPr>
            <w:tcW w:w="4535" w:type="dxa"/>
            <w:tcBorders>
              <w:top w:val="nil"/>
              <w:left w:val="nil"/>
              <w:bottom w:val="nil"/>
              <w:right w:val="nil"/>
            </w:tcBorders>
          </w:tcPr>
          <w:p w14:paraId="6E08C8F5">
            <w:pPr>
              <w:spacing w:before="20" w:after="20"/>
              <w:jc w:val="left"/>
              <w:rPr>
                <w:rFonts w:ascii="Times New Roman" w:hAnsi="Times New Roman"/>
                <w:sz w:val="21"/>
              </w:rPr>
            </w:pPr>
            <w:r>
              <w:rPr>
                <w:rFonts w:ascii="Times New Roman" w:hAnsi="Times New Roman" w:eastAsia="宋体"/>
                <w:b w:val="0"/>
                <w:sz w:val="21"/>
              </w:rPr>
              <w:t>Internet use, %</w:t>
            </w:r>
          </w:p>
        </w:tc>
        <w:tc>
          <w:tcPr>
            <w:tcW w:w="1984" w:type="dxa"/>
            <w:tcBorders>
              <w:top w:val="nil"/>
              <w:left w:val="nil"/>
              <w:bottom w:val="nil"/>
              <w:right w:val="nil"/>
            </w:tcBorders>
          </w:tcPr>
          <w:p w14:paraId="316AC59F">
            <w:pPr>
              <w:spacing w:before="20" w:after="20"/>
              <w:jc w:val="center"/>
              <w:rPr>
                <w:rFonts w:ascii="Times New Roman" w:hAnsi="Times New Roman"/>
                <w:sz w:val="21"/>
              </w:rPr>
            </w:pPr>
            <w:r>
              <w:rPr>
                <w:rFonts w:ascii="Times New Roman" w:hAnsi="Times New Roman"/>
                <w:sz w:val="21"/>
              </w:rPr>
              <w:t>53</w:t>
            </w:r>
          </w:p>
        </w:tc>
        <w:tc>
          <w:tcPr>
            <w:tcW w:w="1984" w:type="dxa"/>
            <w:tcBorders>
              <w:top w:val="nil"/>
              <w:left w:val="nil"/>
              <w:bottom w:val="nil"/>
              <w:right w:val="nil"/>
            </w:tcBorders>
          </w:tcPr>
          <w:p w14:paraId="25790E4E">
            <w:pPr>
              <w:spacing w:before="20" w:after="20"/>
              <w:jc w:val="center"/>
              <w:rPr>
                <w:rFonts w:ascii="Times New Roman" w:hAnsi="Times New Roman"/>
                <w:sz w:val="21"/>
              </w:rPr>
            </w:pPr>
            <w:r>
              <w:rPr>
                <w:rFonts w:ascii="Times New Roman" w:hAnsi="Times New Roman"/>
                <w:sz w:val="21"/>
              </w:rPr>
              <w:t>43</w:t>
            </w:r>
          </w:p>
        </w:tc>
        <w:tc>
          <w:tcPr>
            <w:tcW w:w="1984" w:type="dxa"/>
            <w:tcBorders>
              <w:top w:val="nil"/>
              <w:left w:val="nil"/>
              <w:bottom w:val="nil"/>
              <w:right w:val="nil"/>
            </w:tcBorders>
          </w:tcPr>
          <w:p w14:paraId="2BF0F328">
            <w:pPr>
              <w:spacing w:before="20" w:after="20"/>
              <w:jc w:val="center"/>
              <w:rPr>
                <w:rFonts w:ascii="Times New Roman" w:hAnsi="Times New Roman"/>
                <w:sz w:val="21"/>
              </w:rPr>
            </w:pPr>
            <w:r>
              <w:rPr>
                <w:rFonts w:ascii="Times New Roman" w:hAnsi="Times New Roman"/>
                <w:sz w:val="21"/>
              </w:rPr>
              <w:t>0.20</w:t>
            </w:r>
          </w:p>
        </w:tc>
      </w:tr>
      <w:tr w14:paraId="1F14D25F">
        <w:tblPrEx>
          <w:tblCellMar>
            <w:top w:w="0" w:type="dxa"/>
            <w:left w:w="108" w:type="dxa"/>
            <w:bottom w:w="0" w:type="dxa"/>
            <w:right w:w="108" w:type="dxa"/>
          </w:tblCellMar>
        </w:tblPrEx>
        <w:trPr>
          <w:jc w:val="center"/>
        </w:trPr>
        <w:tc>
          <w:tcPr>
            <w:tcW w:w="4535" w:type="dxa"/>
            <w:tcBorders>
              <w:top w:val="nil"/>
              <w:left w:val="nil"/>
              <w:bottom w:val="nil"/>
              <w:right w:val="nil"/>
            </w:tcBorders>
          </w:tcPr>
          <w:p w14:paraId="782819E7">
            <w:pPr>
              <w:spacing w:before="20" w:after="20"/>
              <w:jc w:val="left"/>
              <w:rPr>
                <w:rFonts w:ascii="Times New Roman" w:hAnsi="Times New Roman"/>
                <w:sz w:val="21"/>
              </w:rPr>
            </w:pPr>
            <w:r>
              <w:rPr>
                <w:rFonts w:ascii="Times New Roman" w:hAnsi="Times New Roman" w:eastAsia="宋体"/>
                <w:b w:val="0"/>
                <w:sz w:val="21"/>
              </w:rPr>
              <w:t>Female, %</w:t>
            </w:r>
          </w:p>
        </w:tc>
        <w:tc>
          <w:tcPr>
            <w:tcW w:w="1984" w:type="dxa"/>
            <w:tcBorders>
              <w:top w:val="nil"/>
              <w:left w:val="nil"/>
              <w:bottom w:val="nil"/>
              <w:right w:val="nil"/>
            </w:tcBorders>
          </w:tcPr>
          <w:p w14:paraId="16A8A5FB">
            <w:pPr>
              <w:spacing w:before="20" w:after="20"/>
              <w:jc w:val="center"/>
              <w:rPr>
                <w:rFonts w:ascii="Times New Roman" w:hAnsi="Times New Roman"/>
                <w:sz w:val="21"/>
              </w:rPr>
            </w:pPr>
            <w:r>
              <w:rPr>
                <w:rFonts w:ascii="Times New Roman" w:hAnsi="Times New Roman"/>
                <w:sz w:val="21"/>
              </w:rPr>
              <w:t>57</w:t>
            </w:r>
          </w:p>
        </w:tc>
        <w:tc>
          <w:tcPr>
            <w:tcW w:w="1984" w:type="dxa"/>
            <w:tcBorders>
              <w:top w:val="nil"/>
              <w:left w:val="nil"/>
              <w:bottom w:val="nil"/>
              <w:right w:val="nil"/>
            </w:tcBorders>
          </w:tcPr>
          <w:p w14:paraId="3AD27E0A">
            <w:pPr>
              <w:spacing w:before="20" w:after="20"/>
              <w:jc w:val="center"/>
              <w:rPr>
                <w:rFonts w:ascii="Times New Roman" w:hAnsi="Times New Roman"/>
                <w:sz w:val="21"/>
              </w:rPr>
            </w:pPr>
            <w:r>
              <w:rPr>
                <w:rFonts w:ascii="Times New Roman" w:hAnsi="Times New Roman"/>
                <w:sz w:val="21"/>
              </w:rPr>
              <w:t>59</w:t>
            </w:r>
          </w:p>
        </w:tc>
        <w:tc>
          <w:tcPr>
            <w:tcW w:w="1984" w:type="dxa"/>
            <w:tcBorders>
              <w:top w:val="nil"/>
              <w:left w:val="nil"/>
              <w:bottom w:val="nil"/>
              <w:right w:val="nil"/>
            </w:tcBorders>
          </w:tcPr>
          <w:p w14:paraId="67B12D48">
            <w:pPr>
              <w:spacing w:before="20" w:after="20"/>
              <w:jc w:val="center"/>
              <w:rPr>
                <w:rFonts w:ascii="Times New Roman" w:hAnsi="Times New Roman"/>
                <w:sz w:val="21"/>
              </w:rPr>
            </w:pPr>
            <w:r>
              <w:rPr>
                <w:rFonts w:ascii="Times New Roman" w:hAnsi="Times New Roman"/>
                <w:sz w:val="21"/>
              </w:rPr>
              <w:t>−0.03</w:t>
            </w:r>
          </w:p>
        </w:tc>
      </w:tr>
      <w:tr w14:paraId="5BF750FD">
        <w:tblPrEx>
          <w:tblCellMar>
            <w:top w:w="0" w:type="dxa"/>
            <w:left w:w="108" w:type="dxa"/>
            <w:bottom w:w="0" w:type="dxa"/>
            <w:right w:w="108" w:type="dxa"/>
          </w:tblCellMar>
        </w:tblPrEx>
        <w:trPr>
          <w:jc w:val="center"/>
        </w:trPr>
        <w:tc>
          <w:tcPr>
            <w:tcW w:w="4535" w:type="dxa"/>
            <w:tcBorders>
              <w:top w:val="nil"/>
              <w:left w:val="nil"/>
              <w:bottom w:val="nil"/>
              <w:right w:val="nil"/>
            </w:tcBorders>
          </w:tcPr>
          <w:p w14:paraId="3880B21F">
            <w:pPr>
              <w:spacing w:before="20" w:after="20"/>
              <w:jc w:val="left"/>
              <w:rPr>
                <w:rFonts w:ascii="Times New Roman" w:hAnsi="Times New Roman"/>
                <w:sz w:val="21"/>
              </w:rPr>
            </w:pPr>
            <w:r>
              <w:rPr>
                <w:rFonts w:ascii="Times New Roman" w:hAnsi="Times New Roman" w:eastAsia="宋体"/>
                <w:b w:val="0"/>
                <w:sz w:val="21"/>
              </w:rPr>
              <w:t>Education, mean (9-level scale)</w:t>
            </w:r>
          </w:p>
        </w:tc>
        <w:tc>
          <w:tcPr>
            <w:tcW w:w="1984" w:type="dxa"/>
            <w:tcBorders>
              <w:top w:val="nil"/>
              <w:left w:val="nil"/>
              <w:bottom w:val="nil"/>
              <w:right w:val="nil"/>
            </w:tcBorders>
          </w:tcPr>
          <w:p w14:paraId="40EAC624">
            <w:pPr>
              <w:spacing w:before="20" w:after="20"/>
              <w:jc w:val="center"/>
              <w:rPr>
                <w:rFonts w:ascii="Times New Roman" w:hAnsi="Times New Roman"/>
                <w:sz w:val="21"/>
              </w:rPr>
            </w:pPr>
            <w:r>
              <w:rPr>
                <w:rFonts w:ascii="Times New Roman" w:hAnsi="Times New Roman"/>
                <w:sz w:val="21"/>
              </w:rPr>
              <w:t>5.5</w:t>
            </w:r>
          </w:p>
        </w:tc>
        <w:tc>
          <w:tcPr>
            <w:tcW w:w="1984" w:type="dxa"/>
            <w:tcBorders>
              <w:top w:val="nil"/>
              <w:left w:val="nil"/>
              <w:bottom w:val="nil"/>
              <w:right w:val="nil"/>
            </w:tcBorders>
          </w:tcPr>
          <w:p w14:paraId="55FB46A5">
            <w:pPr>
              <w:spacing w:before="20" w:after="20"/>
              <w:jc w:val="center"/>
              <w:rPr>
                <w:rFonts w:ascii="Times New Roman" w:hAnsi="Times New Roman"/>
                <w:sz w:val="21"/>
              </w:rPr>
            </w:pPr>
            <w:r>
              <w:rPr>
                <w:rFonts w:ascii="Times New Roman" w:hAnsi="Times New Roman"/>
                <w:sz w:val="21"/>
              </w:rPr>
              <w:t>5.4</w:t>
            </w:r>
          </w:p>
        </w:tc>
        <w:tc>
          <w:tcPr>
            <w:tcW w:w="1984" w:type="dxa"/>
            <w:tcBorders>
              <w:top w:val="nil"/>
              <w:left w:val="nil"/>
              <w:bottom w:val="nil"/>
              <w:right w:val="nil"/>
            </w:tcBorders>
          </w:tcPr>
          <w:p w14:paraId="6BDD4D85">
            <w:pPr>
              <w:spacing w:before="20" w:after="20"/>
              <w:jc w:val="center"/>
              <w:rPr>
                <w:rFonts w:ascii="Times New Roman" w:hAnsi="Times New Roman"/>
                <w:sz w:val="21"/>
              </w:rPr>
            </w:pPr>
            <w:r>
              <w:rPr>
                <w:rFonts w:ascii="Times New Roman" w:hAnsi="Times New Roman"/>
                <w:sz w:val="21"/>
              </w:rPr>
              <w:t>0.04</w:t>
            </w:r>
          </w:p>
        </w:tc>
      </w:tr>
      <w:tr w14:paraId="76B2CEF4">
        <w:tblPrEx>
          <w:tblCellMar>
            <w:top w:w="0" w:type="dxa"/>
            <w:left w:w="108" w:type="dxa"/>
            <w:bottom w:w="0" w:type="dxa"/>
            <w:right w:w="108" w:type="dxa"/>
          </w:tblCellMar>
        </w:tblPrEx>
        <w:trPr>
          <w:jc w:val="center"/>
        </w:trPr>
        <w:tc>
          <w:tcPr>
            <w:tcW w:w="4535" w:type="dxa"/>
            <w:tcBorders>
              <w:top w:val="nil"/>
              <w:left w:val="nil"/>
              <w:bottom w:val="nil"/>
              <w:right w:val="nil"/>
            </w:tcBorders>
          </w:tcPr>
          <w:p w14:paraId="06AB3CDB">
            <w:pPr>
              <w:spacing w:before="20" w:after="20"/>
              <w:jc w:val="left"/>
              <w:rPr>
                <w:rFonts w:ascii="Times New Roman" w:hAnsi="Times New Roman"/>
                <w:sz w:val="21"/>
              </w:rPr>
            </w:pPr>
            <w:r>
              <w:rPr>
                <w:rFonts w:ascii="Times New Roman" w:hAnsi="Times New Roman" w:eastAsia="宋体"/>
                <w:b w:val="0"/>
                <w:sz w:val="21"/>
              </w:rPr>
              <w:t>Medicaid coverage, %</w:t>
            </w:r>
          </w:p>
        </w:tc>
        <w:tc>
          <w:tcPr>
            <w:tcW w:w="1984" w:type="dxa"/>
            <w:tcBorders>
              <w:top w:val="nil"/>
              <w:left w:val="nil"/>
              <w:bottom w:val="nil"/>
              <w:right w:val="nil"/>
            </w:tcBorders>
          </w:tcPr>
          <w:p w14:paraId="04125552">
            <w:pPr>
              <w:spacing w:before="20" w:after="20"/>
              <w:jc w:val="center"/>
              <w:rPr>
                <w:rFonts w:ascii="Times New Roman" w:hAnsi="Times New Roman"/>
                <w:sz w:val="21"/>
              </w:rPr>
            </w:pPr>
            <w:r>
              <w:rPr>
                <w:rFonts w:ascii="Times New Roman" w:hAnsi="Times New Roman"/>
                <w:sz w:val="21"/>
              </w:rPr>
              <w:t>13</w:t>
            </w:r>
          </w:p>
        </w:tc>
        <w:tc>
          <w:tcPr>
            <w:tcW w:w="1984" w:type="dxa"/>
            <w:tcBorders>
              <w:top w:val="nil"/>
              <w:left w:val="nil"/>
              <w:bottom w:val="nil"/>
              <w:right w:val="nil"/>
            </w:tcBorders>
          </w:tcPr>
          <w:p w14:paraId="6AEC9F65">
            <w:pPr>
              <w:spacing w:before="20" w:after="20"/>
              <w:jc w:val="center"/>
              <w:rPr>
                <w:rFonts w:ascii="Times New Roman" w:hAnsi="Times New Roman"/>
                <w:sz w:val="21"/>
              </w:rPr>
            </w:pPr>
            <w:r>
              <w:rPr>
                <w:rFonts w:ascii="Times New Roman" w:hAnsi="Times New Roman"/>
                <w:sz w:val="21"/>
              </w:rPr>
              <w:t>12</w:t>
            </w:r>
          </w:p>
        </w:tc>
        <w:tc>
          <w:tcPr>
            <w:tcW w:w="1984" w:type="dxa"/>
            <w:tcBorders>
              <w:top w:val="nil"/>
              <w:left w:val="nil"/>
              <w:bottom w:val="nil"/>
              <w:right w:val="nil"/>
            </w:tcBorders>
          </w:tcPr>
          <w:p w14:paraId="4E77EBF4">
            <w:pPr>
              <w:spacing w:before="20" w:after="20"/>
              <w:jc w:val="center"/>
              <w:rPr>
                <w:rFonts w:ascii="Times New Roman" w:hAnsi="Times New Roman"/>
                <w:sz w:val="21"/>
              </w:rPr>
            </w:pPr>
            <w:r>
              <w:rPr>
                <w:rFonts w:ascii="Times New Roman" w:hAnsi="Times New Roman"/>
                <w:sz w:val="21"/>
              </w:rPr>
              <w:t>0.04</w:t>
            </w:r>
          </w:p>
        </w:tc>
      </w:tr>
      <w:tr w14:paraId="23A5BA9B">
        <w:tblPrEx>
          <w:tblCellMar>
            <w:top w:w="0" w:type="dxa"/>
            <w:left w:w="108" w:type="dxa"/>
            <w:bottom w:w="0" w:type="dxa"/>
            <w:right w:w="108" w:type="dxa"/>
          </w:tblCellMar>
        </w:tblPrEx>
        <w:trPr>
          <w:jc w:val="center"/>
        </w:trPr>
        <w:tc>
          <w:tcPr>
            <w:tcW w:w="4535" w:type="dxa"/>
            <w:tcBorders>
              <w:top w:val="nil"/>
              <w:left w:val="nil"/>
              <w:bottom w:val="nil"/>
              <w:right w:val="nil"/>
            </w:tcBorders>
          </w:tcPr>
          <w:p w14:paraId="7239247B">
            <w:pPr>
              <w:spacing w:before="20" w:after="20"/>
              <w:jc w:val="left"/>
              <w:rPr>
                <w:rFonts w:ascii="Times New Roman" w:hAnsi="Times New Roman"/>
                <w:sz w:val="21"/>
              </w:rPr>
            </w:pPr>
            <w:r>
              <w:rPr>
                <w:rFonts w:ascii="Times New Roman" w:hAnsi="Times New Roman" w:eastAsia="宋体"/>
                <w:b w:val="0"/>
                <w:sz w:val="21"/>
              </w:rPr>
              <w:t>Heart disease, %</w:t>
            </w:r>
          </w:p>
        </w:tc>
        <w:tc>
          <w:tcPr>
            <w:tcW w:w="1984" w:type="dxa"/>
            <w:tcBorders>
              <w:top w:val="nil"/>
              <w:left w:val="nil"/>
              <w:bottom w:val="nil"/>
              <w:right w:val="nil"/>
            </w:tcBorders>
          </w:tcPr>
          <w:p w14:paraId="61F49622">
            <w:pPr>
              <w:spacing w:before="20" w:after="20"/>
              <w:jc w:val="center"/>
              <w:rPr>
                <w:rFonts w:ascii="Times New Roman" w:hAnsi="Times New Roman"/>
                <w:sz w:val="21"/>
              </w:rPr>
            </w:pPr>
            <w:r>
              <w:rPr>
                <w:rFonts w:ascii="Times New Roman" w:hAnsi="Times New Roman"/>
                <w:sz w:val="21"/>
              </w:rPr>
              <w:t>10</w:t>
            </w:r>
          </w:p>
        </w:tc>
        <w:tc>
          <w:tcPr>
            <w:tcW w:w="1984" w:type="dxa"/>
            <w:tcBorders>
              <w:top w:val="nil"/>
              <w:left w:val="nil"/>
              <w:bottom w:val="nil"/>
              <w:right w:val="nil"/>
            </w:tcBorders>
          </w:tcPr>
          <w:p w14:paraId="224DCABC">
            <w:pPr>
              <w:spacing w:before="20" w:after="20"/>
              <w:jc w:val="center"/>
              <w:rPr>
                <w:rFonts w:ascii="Times New Roman" w:hAnsi="Times New Roman"/>
                <w:sz w:val="21"/>
              </w:rPr>
            </w:pPr>
            <w:r>
              <w:rPr>
                <w:rFonts w:ascii="Times New Roman" w:hAnsi="Times New Roman"/>
                <w:sz w:val="21"/>
              </w:rPr>
              <w:t>14</w:t>
            </w:r>
          </w:p>
        </w:tc>
        <w:tc>
          <w:tcPr>
            <w:tcW w:w="1984" w:type="dxa"/>
            <w:tcBorders>
              <w:top w:val="nil"/>
              <w:left w:val="nil"/>
              <w:bottom w:val="nil"/>
              <w:right w:val="nil"/>
            </w:tcBorders>
          </w:tcPr>
          <w:p w14:paraId="659ECA69">
            <w:pPr>
              <w:spacing w:before="20" w:after="20"/>
              <w:jc w:val="center"/>
              <w:rPr>
                <w:rFonts w:ascii="Times New Roman" w:hAnsi="Times New Roman"/>
                <w:sz w:val="21"/>
              </w:rPr>
            </w:pPr>
            <w:r>
              <w:rPr>
                <w:rFonts w:ascii="Times New Roman" w:hAnsi="Times New Roman"/>
                <w:sz w:val="21"/>
              </w:rPr>
              <w:t>−0.12</w:t>
            </w:r>
          </w:p>
        </w:tc>
      </w:tr>
      <w:tr w14:paraId="46296164">
        <w:tblPrEx>
          <w:tblCellMar>
            <w:top w:w="0" w:type="dxa"/>
            <w:left w:w="108" w:type="dxa"/>
            <w:bottom w:w="0" w:type="dxa"/>
            <w:right w:w="108" w:type="dxa"/>
          </w:tblCellMar>
        </w:tblPrEx>
        <w:trPr>
          <w:jc w:val="center"/>
        </w:trPr>
        <w:tc>
          <w:tcPr>
            <w:tcW w:w="4535" w:type="dxa"/>
            <w:tcBorders>
              <w:top w:val="nil"/>
              <w:left w:val="nil"/>
              <w:bottom w:val="nil"/>
              <w:right w:val="nil"/>
            </w:tcBorders>
          </w:tcPr>
          <w:p w14:paraId="680D281E">
            <w:pPr>
              <w:spacing w:before="20" w:after="20"/>
              <w:jc w:val="left"/>
              <w:rPr>
                <w:rFonts w:ascii="Times New Roman" w:hAnsi="Times New Roman"/>
                <w:sz w:val="21"/>
              </w:rPr>
            </w:pPr>
            <w:r>
              <w:rPr>
                <w:rFonts w:ascii="Times New Roman" w:hAnsi="Times New Roman" w:eastAsia="宋体"/>
                <w:b w:val="0"/>
                <w:sz w:val="21"/>
              </w:rPr>
              <w:t>Diabetes, %</w:t>
            </w:r>
          </w:p>
        </w:tc>
        <w:tc>
          <w:tcPr>
            <w:tcW w:w="1984" w:type="dxa"/>
            <w:tcBorders>
              <w:top w:val="nil"/>
              <w:left w:val="nil"/>
              <w:bottom w:val="nil"/>
              <w:right w:val="nil"/>
            </w:tcBorders>
          </w:tcPr>
          <w:p w14:paraId="595B9E37">
            <w:pPr>
              <w:spacing w:before="20" w:after="20"/>
              <w:jc w:val="center"/>
              <w:rPr>
                <w:rFonts w:ascii="Times New Roman" w:hAnsi="Times New Roman"/>
                <w:sz w:val="21"/>
              </w:rPr>
            </w:pPr>
            <w:r>
              <w:rPr>
                <w:rFonts w:ascii="Times New Roman" w:hAnsi="Times New Roman"/>
                <w:sz w:val="21"/>
              </w:rPr>
              <w:t>27</w:t>
            </w:r>
          </w:p>
        </w:tc>
        <w:tc>
          <w:tcPr>
            <w:tcW w:w="1984" w:type="dxa"/>
            <w:tcBorders>
              <w:top w:val="nil"/>
              <w:left w:val="nil"/>
              <w:bottom w:val="nil"/>
              <w:right w:val="nil"/>
            </w:tcBorders>
          </w:tcPr>
          <w:p w14:paraId="79460C26">
            <w:pPr>
              <w:spacing w:before="20" w:after="20"/>
              <w:jc w:val="center"/>
              <w:rPr>
                <w:rFonts w:ascii="Times New Roman" w:hAnsi="Times New Roman"/>
                <w:sz w:val="21"/>
              </w:rPr>
            </w:pPr>
            <w:r>
              <w:rPr>
                <w:rFonts w:ascii="Times New Roman" w:hAnsi="Times New Roman"/>
                <w:sz w:val="21"/>
              </w:rPr>
              <w:t>21</w:t>
            </w:r>
          </w:p>
        </w:tc>
        <w:tc>
          <w:tcPr>
            <w:tcW w:w="1984" w:type="dxa"/>
            <w:tcBorders>
              <w:top w:val="nil"/>
              <w:left w:val="nil"/>
              <w:bottom w:val="nil"/>
              <w:right w:val="nil"/>
            </w:tcBorders>
          </w:tcPr>
          <w:p w14:paraId="44DBCB9C">
            <w:pPr>
              <w:spacing w:before="20" w:after="20"/>
              <w:jc w:val="center"/>
              <w:rPr>
                <w:rFonts w:ascii="Times New Roman" w:hAnsi="Times New Roman"/>
                <w:sz w:val="21"/>
              </w:rPr>
            </w:pPr>
            <w:r>
              <w:rPr>
                <w:rFonts w:ascii="Times New Roman" w:hAnsi="Times New Roman"/>
                <w:sz w:val="21"/>
              </w:rPr>
              <w:t>0.14</w:t>
            </w:r>
          </w:p>
        </w:tc>
      </w:tr>
      <w:tr w14:paraId="3C54DC34">
        <w:tblPrEx>
          <w:tblCellMar>
            <w:top w:w="0" w:type="dxa"/>
            <w:left w:w="108" w:type="dxa"/>
            <w:bottom w:w="0" w:type="dxa"/>
            <w:right w:w="108" w:type="dxa"/>
          </w:tblCellMar>
        </w:tblPrEx>
        <w:trPr>
          <w:jc w:val="center"/>
        </w:trPr>
        <w:tc>
          <w:tcPr>
            <w:tcW w:w="4535" w:type="dxa"/>
            <w:tcBorders>
              <w:top w:val="nil"/>
              <w:left w:val="nil"/>
              <w:bottom w:val="nil"/>
              <w:right w:val="nil"/>
            </w:tcBorders>
          </w:tcPr>
          <w:p w14:paraId="0F844C65">
            <w:pPr>
              <w:spacing w:before="20" w:after="20"/>
              <w:jc w:val="left"/>
              <w:rPr>
                <w:rFonts w:ascii="Times New Roman" w:hAnsi="Times New Roman"/>
                <w:sz w:val="21"/>
              </w:rPr>
            </w:pPr>
            <w:r>
              <w:rPr>
                <w:rFonts w:ascii="Times New Roman" w:hAnsi="Times New Roman" w:eastAsia="宋体"/>
                <w:b w:val="0"/>
                <w:sz w:val="21"/>
              </w:rPr>
              <w:t>Stroke, %</w:t>
            </w:r>
          </w:p>
        </w:tc>
        <w:tc>
          <w:tcPr>
            <w:tcW w:w="1984" w:type="dxa"/>
            <w:tcBorders>
              <w:top w:val="nil"/>
              <w:left w:val="nil"/>
              <w:bottom w:val="nil"/>
              <w:right w:val="nil"/>
            </w:tcBorders>
          </w:tcPr>
          <w:p w14:paraId="67ED27A8">
            <w:pPr>
              <w:spacing w:before="20" w:after="20"/>
              <w:jc w:val="center"/>
              <w:rPr>
                <w:rFonts w:ascii="Times New Roman" w:hAnsi="Times New Roman"/>
                <w:sz w:val="21"/>
              </w:rPr>
            </w:pPr>
            <w:r>
              <w:rPr>
                <w:rFonts w:ascii="Times New Roman" w:hAnsi="Times New Roman"/>
                <w:sz w:val="21"/>
              </w:rPr>
              <w:t>7</w:t>
            </w:r>
          </w:p>
        </w:tc>
        <w:tc>
          <w:tcPr>
            <w:tcW w:w="1984" w:type="dxa"/>
            <w:tcBorders>
              <w:top w:val="nil"/>
              <w:left w:val="nil"/>
              <w:bottom w:val="nil"/>
              <w:right w:val="nil"/>
            </w:tcBorders>
          </w:tcPr>
          <w:p w14:paraId="7F04A95B">
            <w:pPr>
              <w:spacing w:before="20" w:after="20"/>
              <w:jc w:val="center"/>
              <w:rPr>
                <w:rFonts w:ascii="Times New Roman" w:hAnsi="Times New Roman"/>
                <w:sz w:val="21"/>
              </w:rPr>
            </w:pPr>
            <w:r>
              <w:rPr>
                <w:rFonts w:ascii="Times New Roman" w:hAnsi="Times New Roman"/>
                <w:sz w:val="21"/>
              </w:rPr>
              <w:t>9</w:t>
            </w:r>
          </w:p>
        </w:tc>
        <w:tc>
          <w:tcPr>
            <w:tcW w:w="1984" w:type="dxa"/>
            <w:tcBorders>
              <w:top w:val="nil"/>
              <w:left w:val="nil"/>
              <w:bottom w:val="nil"/>
              <w:right w:val="nil"/>
            </w:tcBorders>
          </w:tcPr>
          <w:p w14:paraId="2D81F5DE">
            <w:pPr>
              <w:spacing w:before="20" w:after="20"/>
              <w:jc w:val="center"/>
              <w:rPr>
                <w:rFonts w:ascii="Times New Roman" w:hAnsi="Times New Roman"/>
                <w:sz w:val="21"/>
              </w:rPr>
            </w:pPr>
            <w:r>
              <w:rPr>
                <w:rFonts w:ascii="Times New Roman" w:hAnsi="Times New Roman"/>
                <w:sz w:val="21"/>
              </w:rPr>
              <w:t>−0.07</w:t>
            </w:r>
          </w:p>
        </w:tc>
      </w:tr>
      <w:tr w14:paraId="4E3E1BA5">
        <w:tblPrEx>
          <w:tblCellMar>
            <w:top w:w="0" w:type="dxa"/>
            <w:left w:w="108" w:type="dxa"/>
            <w:bottom w:w="0" w:type="dxa"/>
            <w:right w:w="108" w:type="dxa"/>
          </w:tblCellMar>
        </w:tblPrEx>
        <w:trPr>
          <w:jc w:val="center"/>
        </w:trPr>
        <w:tc>
          <w:tcPr>
            <w:tcW w:w="4535" w:type="dxa"/>
            <w:tcBorders>
              <w:top w:val="nil"/>
              <w:left w:val="nil"/>
              <w:bottom w:val="nil"/>
              <w:right w:val="nil"/>
            </w:tcBorders>
          </w:tcPr>
          <w:p w14:paraId="3366C922">
            <w:pPr>
              <w:spacing w:before="20" w:after="20"/>
              <w:jc w:val="left"/>
              <w:rPr>
                <w:rFonts w:ascii="Times New Roman" w:hAnsi="Times New Roman"/>
                <w:sz w:val="21"/>
              </w:rPr>
            </w:pPr>
            <w:r>
              <w:rPr>
                <w:rFonts w:ascii="Times New Roman" w:hAnsi="Times New Roman" w:eastAsia="宋体"/>
                <w:b w:val="0"/>
                <w:sz w:val="21"/>
              </w:rPr>
              <w:t>Smoking history, %</w:t>
            </w:r>
          </w:p>
        </w:tc>
        <w:tc>
          <w:tcPr>
            <w:tcW w:w="1984" w:type="dxa"/>
            <w:tcBorders>
              <w:top w:val="nil"/>
              <w:left w:val="nil"/>
              <w:bottom w:val="nil"/>
              <w:right w:val="nil"/>
            </w:tcBorders>
          </w:tcPr>
          <w:p w14:paraId="46DE37F0">
            <w:pPr>
              <w:spacing w:before="20" w:after="20"/>
              <w:jc w:val="center"/>
              <w:rPr>
                <w:rFonts w:ascii="Times New Roman" w:hAnsi="Times New Roman"/>
                <w:sz w:val="21"/>
              </w:rPr>
            </w:pPr>
            <w:r>
              <w:rPr>
                <w:rFonts w:ascii="Times New Roman" w:hAnsi="Times New Roman"/>
                <w:sz w:val="21"/>
              </w:rPr>
              <w:t>57</w:t>
            </w:r>
          </w:p>
        </w:tc>
        <w:tc>
          <w:tcPr>
            <w:tcW w:w="1984" w:type="dxa"/>
            <w:tcBorders>
              <w:top w:val="nil"/>
              <w:left w:val="nil"/>
              <w:bottom w:val="nil"/>
              <w:right w:val="nil"/>
            </w:tcBorders>
          </w:tcPr>
          <w:p w14:paraId="21D310AA">
            <w:pPr>
              <w:spacing w:before="20" w:after="20"/>
              <w:jc w:val="center"/>
              <w:rPr>
                <w:rFonts w:ascii="Times New Roman" w:hAnsi="Times New Roman"/>
                <w:sz w:val="21"/>
              </w:rPr>
            </w:pPr>
            <w:r>
              <w:rPr>
                <w:rFonts w:ascii="Times New Roman" w:hAnsi="Times New Roman"/>
                <w:sz w:val="21"/>
              </w:rPr>
              <w:t>48</w:t>
            </w:r>
          </w:p>
        </w:tc>
        <w:tc>
          <w:tcPr>
            <w:tcW w:w="1984" w:type="dxa"/>
            <w:tcBorders>
              <w:top w:val="nil"/>
              <w:left w:val="nil"/>
              <w:bottom w:val="nil"/>
              <w:right w:val="nil"/>
            </w:tcBorders>
          </w:tcPr>
          <w:p w14:paraId="44B2FF57">
            <w:pPr>
              <w:spacing w:before="20" w:after="20"/>
              <w:jc w:val="center"/>
              <w:rPr>
                <w:rFonts w:ascii="Times New Roman" w:hAnsi="Times New Roman"/>
                <w:sz w:val="21"/>
              </w:rPr>
            </w:pPr>
            <w:r>
              <w:rPr>
                <w:rFonts w:ascii="Times New Roman" w:hAnsi="Times New Roman"/>
                <w:sz w:val="21"/>
              </w:rPr>
              <w:t>0.17</w:t>
            </w:r>
          </w:p>
        </w:tc>
      </w:tr>
      <w:tr w14:paraId="7B9CA8AC">
        <w:tblPrEx>
          <w:tblCellMar>
            <w:top w:w="0" w:type="dxa"/>
            <w:left w:w="108" w:type="dxa"/>
            <w:bottom w:w="0" w:type="dxa"/>
            <w:right w:w="108" w:type="dxa"/>
          </w:tblCellMar>
        </w:tblPrEx>
        <w:trPr>
          <w:jc w:val="center"/>
        </w:trPr>
        <w:tc>
          <w:tcPr>
            <w:tcW w:w="4535" w:type="dxa"/>
            <w:tcBorders>
              <w:top w:val="nil"/>
              <w:left w:val="nil"/>
              <w:bottom w:val="nil"/>
              <w:right w:val="nil"/>
            </w:tcBorders>
          </w:tcPr>
          <w:p w14:paraId="62A223B7">
            <w:pPr>
              <w:spacing w:before="20" w:after="20"/>
              <w:jc w:val="left"/>
              <w:rPr>
                <w:rFonts w:ascii="Times New Roman" w:hAnsi="Times New Roman"/>
                <w:sz w:val="21"/>
              </w:rPr>
            </w:pPr>
            <w:r>
              <w:rPr>
                <w:rFonts w:ascii="Times New Roman" w:hAnsi="Times New Roman" w:eastAsia="宋体"/>
                <w:b w:val="0"/>
                <w:sz w:val="21"/>
              </w:rPr>
              <w:t>Vigorous physical activity, %</w:t>
            </w:r>
          </w:p>
        </w:tc>
        <w:tc>
          <w:tcPr>
            <w:tcW w:w="1984" w:type="dxa"/>
            <w:tcBorders>
              <w:top w:val="nil"/>
              <w:left w:val="nil"/>
              <w:bottom w:val="nil"/>
              <w:right w:val="nil"/>
            </w:tcBorders>
          </w:tcPr>
          <w:p w14:paraId="5596FBC6">
            <w:pPr>
              <w:spacing w:before="20" w:after="20"/>
              <w:jc w:val="center"/>
              <w:rPr>
                <w:rFonts w:ascii="Times New Roman" w:hAnsi="Times New Roman"/>
                <w:sz w:val="21"/>
              </w:rPr>
            </w:pPr>
            <w:r>
              <w:rPr>
                <w:rFonts w:ascii="Times New Roman" w:hAnsi="Times New Roman"/>
                <w:sz w:val="21"/>
              </w:rPr>
              <w:t>43</w:t>
            </w:r>
          </w:p>
        </w:tc>
        <w:tc>
          <w:tcPr>
            <w:tcW w:w="1984" w:type="dxa"/>
            <w:tcBorders>
              <w:top w:val="nil"/>
              <w:left w:val="nil"/>
              <w:bottom w:val="nil"/>
              <w:right w:val="nil"/>
            </w:tcBorders>
          </w:tcPr>
          <w:p w14:paraId="572F5A78">
            <w:pPr>
              <w:spacing w:before="20" w:after="20"/>
              <w:jc w:val="center"/>
              <w:rPr>
                <w:rFonts w:ascii="Times New Roman" w:hAnsi="Times New Roman"/>
                <w:sz w:val="21"/>
              </w:rPr>
            </w:pPr>
            <w:r>
              <w:rPr>
                <w:rFonts w:ascii="Times New Roman" w:hAnsi="Times New Roman"/>
                <w:sz w:val="21"/>
              </w:rPr>
              <w:t>40</w:t>
            </w:r>
          </w:p>
        </w:tc>
        <w:tc>
          <w:tcPr>
            <w:tcW w:w="1984" w:type="dxa"/>
            <w:tcBorders>
              <w:top w:val="nil"/>
              <w:left w:val="nil"/>
              <w:bottom w:val="nil"/>
              <w:right w:val="nil"/>
            </w:tcBorders>
          </w:tcPr>
          <w:p w14:paraId="6213F57B">
            <w:pPr>
              <w:spacing w:before="20" w:after="20"/>
              <w:jc w:val="center"/>
              <w:rPr>
                <w:rFonts w:ascii="Times New Roman" w:hAnsi="Times New Roman"/>
                <w:sz w:val="21"/>
              </w:rPr>
            </w:pPr>
            <w:r>
              <w:rPr>
                <w:rFonts w:ascii="Times New Roman" w:hAnsi="Times New Roman"/>
                <w:sz w:val="21"/>
              </w:rPr>
              <w:t>0.06</w:t>
            </w:r>
          </w:p>
        </w:tc>
      </w:tr>
      <w:tr w14:paraId="4352E09B">
        <w:tblPrEx>
          <w:tblCellMar>
            <w:top w:w="0" w:type="dxa"/>
            <w:left w:w="108" w:type="dxa"/>
            <w:bottom w:w="0" w:type="dxa"/>
            <w:right w:w="108" w:type="dxa"/>
          </w:tblCellMar>
        </w:tblPrEx>
        <w:trPr>
          <w:jc w:val="center"/>
        </w:trPr>
        <w:tc>
          <w:tcPr>
            <w:tcW w:w="4535" w:type="dxa"/>
            <w:tcBorders>
              <w:top w:val="nil"/>
              <w:left w:val="nil"/>
              <w:bottom w:val="single" w:color="000000" w:sz="8" w:space="0"/>
              <w:right w:val="nil"/>
            </w:tcBorders>
          </w:tcPr>
          <w:p w14:paraId="1C4FC4D9">
            <w:pPr>
              <w:spacing w:before="20" w:after="20"/>
              <w:jc w:val="left"/>
              <w:rPr>
                <w:rFonts w:ascii="Times New Roman" w:hAnsi="Times New Roman"/>
                <w:sz w:val="21"/>
              </w:rPr>
            </w:pPr>
            <w:r>
              <w:rPr>
                <w:rFonts w:ascii="Times New Roman" w:hAnsi="Times New Roman" w:eastAsia="宋体"/>
                <w:b/>
                <w:sz w:val="21"/>
              </w:rPr>
              <w:t>Incident MI during follow-up, %</w:t>
            </w:r>
          </w:p>
        </w:tc>
        <w:tc>
          <w:tcPr>
            <w:tcW w:w="1984" w:type="dxa"/>
            <w:tcBorders>
              <w:top w:val="nil"/>
              <w:left w:val="nil"/>
              <w:bottom w:val="single" w:color="000000" w:sz="8" w:space="0"/>
              <w:right w:val="nil"/>
            </w:tcBorders>
          </w:tcPr>
          <w:p w14:paraId="5FC6DAB8">
            <w:pPr>
              <w:spacing w:before="20" w:after="20"/>
              <w:jc w:val="center"/>
              <w:rPr>
                <w:rFonts w:ascii="Times New Roman" w:hAnsi="Times New Roman"/>
                <w:sz w:val="21"/>
              </w:rPr>
            </w:pPr>
            <w:r>
              <w:rPr>
                <w:rFonts w:ascii="Times New Roman" w:hAnsi="Times New Roman"/>
                <w:sz w:val="21"/>
              </w:rPr>
              <w:t>10.4</w:t>
            </w:r>
          </w:p>
        </w:tc>
        <w:tc>
          <w:tcPr>
            <w:tcW w:w="1984" w:type="dxa"/>
            <w:tcBorders>
              <w:top w:val="nil"/>
              <w:left w:val="nil"/>
              <w:bottom w:val="single" w:color="000000" w:sz="8" w:space="0"/>
              <w:right w:val="nil"/>
            </w:tcBorders>
          </w:tcPr>
          <w:p w14:paraId="7D622512">
            <w:pPr>
              <w:spacing w:before="20" w:after="20"/>
              <w:jc w:val="center"/>
              <w:rPr>
                <w:rFonts w:ascii="Times New Roman" w:hAnsi="Times New Roman"/>
                <w:sz w:val="21"/>
              </w:rPr>
            </w:pPr>
            <w:r>
              <w:rPr>
                <w:rFonts w:ascii="Times New Roman" w:hAnsi="Times New Roman"/>
                <w:sz w:val="21"/>
              </w:rPr>
              <w:t>10.4</w:t>
            </w:r>
          </w:p>
        </w:tc>
        <w:tc>
          <w:tcPr>
            <w:tcW w:w="1984" w:type="dxa"/>
            <w:tcBorders>
              <w:top w:val="nil"/>
              <w:left w:val="nil"/>
              <w:bottom w:val="single" w:color="000000" w:sz="8" w:space="0"/>
              <w:right w:val="nil"/>
            </w:tcBorders>
          </w:tcPr>
          <w:p w14:paraId="62BE8538">
            <w:pPr>
              <w:spacing w:before="20" w:after="20"/>
              <w:jc w:val="center"/>
              <w:rPr>
                <w:rFonts w:ascii="Times New Roman" w:hAnsi="Times New Roman"/>
                <w:sz w:val="21"/>
              </w:rPr>
            </w:pPr>
            <w:r>
              <w:rPr>
                <w:rFonts w:ascii="Times New Roman" w:hAnsi="Times New Roman"/>
                <w:sz w:val="21"/>
              </w:rPr>
              <w:t>0.00</w:t>
            </w:r>
          </w:p>
        </w:tc>
      </w:tr>
      <w:tr w14:paraId="75E6D8E6">
        <w:tblPrEx>
          <w:tblCellMar>
            <w:top w:w="0" w:type="dxa"/>
            <w:left w:w="108" w:type="dxa"/>
            <w:bottom w:w="0" w:type="dxa"/>
            <w:right w:w="108" w:type="dxa"/>
          </w:tblCellMar>
        </w:tblPrEx>
        <w:trPr>
          <w:jc w:val="center"/>
        </w:trPr>
        <w:tc>
          <w:tcPr>
            <w:tcW w:w="4535" w:type="dxa"/>
            <w:tcBorders>
              <w:top w:val="nil"/>
              <w:left w:val="nil"/>
              <w:bottom w:val="single" w:color="000000" w:sz="8" w:space="0"/>
              <w:right w:val="nil"/>
            </w:tcBorders>
          </w:tcPr>
          <w:p w14:paraId="2B003627">
            <w:pPr>
              <w:spacing w:before="20" w:after="20"/>
              <w:jc w:val="left"/>
              <w:rPr>
                <w:rFonts w:ascii="Times New Roman" w:hAnsi="Times New Roman"/>
                <w:sz w:val="21"/>
              </w:rPr>
            </w:pPr>
            <w:r>
              <w:rPr>
                <w:rFonts w:ascii="Times New Roman" w:hAnsi="Times New Roman"/>
                <w:sz w:val="21"/>
              </w:rPr>
              <w:t>Non-Hispanic White, %</w:t>
            </w:r>
          </w:p>
        </w:tc>
        <w:tc>
          <w:tcPr>
            <w:tcW w:w="1984" w:type="dxa"/>
            <w:tcBorders>
              <w:top w:val="nil"/>
              <w:left w:val="nil"/>
              <w:bottom w:val="single" w:color="000000" w:sz="8" w:space="0"/>
              <w:right w:val="nil"/>
            </w:tcBorders>
          </w:tcPr>
          <w:p w14:paraId="3ED3F37D">
            <w:pPr>
              <w:spacing w:before="20" w:after="20"/>
              <w:jc w:val="center"/>
              <w:rPr>
                <w:rFonts w:ascii="Times New Roman" w:hAnsi="Times New Roman"/>
                <w:sz w:val="21"/>
              </w:rPr>
            </w:pPr>
            <w:r>
              <w:rPr>
                <w:rFonts w:ascii="Times New Roman" w:hAnsi="Times New Roman"/>
                <w:sz w:val="21"/>
              </w:rPr>
              <w:t>67</w:t>
            </w:r>
          </w:p>
        </w:tc>
        <w:tc>
          <w:tcPr>
            <w:tcW w:w="1984" w:type="dxa"/>
            <w:tcBorders>
              <w:top w:val="nil"/>
              <w:left w:val="nil"/>
              <w:bottom w:val="single" w:color="000000" w:sz="8" w:space="0"/>
              <w:right w:val="nil"/>
            </w:tcBorders>
          </w:tcPr>
          <w:p w14:paraId="1824E519">
            <w:pPr>
              <w:spacing w:before="20" w:after="20"/>
              <w:jc w:val="center"/>
              <w:rPr>
                <w:rFonts w:ascii="Times New Roman" w:hAnsi="Times New Roman"/>
                <w:sz w:val="21"/>
              </w:rPr>
            </w:pPr>
            <w:r>
              <w:rPr>
                <w:rFonts w:ascii="Times New Roman" w:hAnsi="Times New Roman"/>
                <w:sz w:val="21"/>
              </w:rPr>
              <w:t>72</w:t>
            </w:r>
          </w:p>
        </w:tc>
        <w:tc>
          <w:tcPr>
            <w:tcW w:w="1984" w:type="dxa"/>
            <w:tcBorders>
              <w:top w:val="nil"/>
              <w:left w:val="nil"/>
              <w:bottom w:val="single" w:color="000000" w:sz="8" w:space="0"/>
              <w:right w:val="nil"/>
            </w:tcBorders>
          </w:tcPr>
          <w:p w14:paraId="4681C0B4">
            <w:pPr>
              <w:spacing w:before="20" w:after="20"/>
              <w:jc w:val="center"/>
              <w:rPr>
                <w:rFonts w:ascii="Times New Roman" w:hAnsi="Times New Roman"/>
                <w:sz w:val="21"/>
              </w:rPr>
            </w:pPr>
            <w:r>
              <w:rPr>
                <w:rFonts w:ascii="Times New Roman" w:hAnsi="Times New Roman"/>
                <w:sz w:val="21"/>
              </w:rPr>
              <w:t>−0.11</w:t>
            </w:r>
          </w:p>
        </w:tc>
      </w:tr>
      <w:tr w14:paraId="3134B424">
        <w:tblPrEx>
          <w:tblCellMar>
            <w:top w:w="0" w:type="dxa"/>
            <w:left w:w="108" w:type="dxa"/>
            <w:bottom w:w="0" w:type="dxa"/>
            <w:right w:w="108" w:type="dxa"/>
          </w:tblCellMar>
        </w:tblPrEx>
        <w:trPr>
          <w:jc w:val="center"/>
        </w:trPr>
        <w:tc>
          <w:tcPr>
            <w:tcW w:w="4535" w:type="dxa"/>
            <w:tcBorders>
              <w:top w:val="nil"/>
              <w:left w:val="nil"/>
              <w:bottom w:val="single" w:color="000000" w:sz="8" w:space="0"/>
              <w:right w:val="nil"/>
            </w:tcBorders>
          </w:tcPr>
          <w:p w14:paraId="51D0CC5B">
            <w:pPr>
              <w:spacing w:before="20" w:after="20"/>
              <w:jc w:val="left"/>
              <w:rPr>
                <w:rFonts w:ascii="Times New Roman" w:hAnsi="Times New Roman"/>
                <w:sz w:val="21"/>
              </w:rPr>
            </w:pPr>
            <w:r>
              <w:rPr>
                <w:rFonts w:ascii="Times New Roman" w:hAnsi="Times New Roman"/>
                <w:sz w:val="21"/>
              </w:rPr>
              <w:t>Household income, median, US $</w:t>
            </w:r>
          </w:p>
        </w:tc>
        <w:tc>
          <w:tcPr>
            <w:tcW w:w="1984" w:type="dxa"/>
            <w:tcBorders>
              <w:top w:val="nil"/>
              <w:left w:val="nil"/>
              <w:bottom w:val="single" w:color="000000" w:sz="8" w:space="0"/>
              <w:right w:val="nil"/>
            </w:tcBorders>
          </w:tcPr>
          <w:p w14:paraId="1FEE980B">
            <w:pPr>
              <w:spacing w:before="20" w:after="20"/>
              <w:jc w:val="center"/>
              <w:rPr>
                <w:rFonts w:ascii="Times New Roman" w:hAnsi="Times New Roman"/>
                <w:sz w:val="21"/>
              </w:rPr>
            </w:pPr>
            <w:r>
              <w:rPr>
                <w:rFonts w:ascii="Times New Roman" w:hAnsi="Times New Roman"/>
                <w:sz w:val="21"/>
              </w:rPr>
              <w:t>32,000</w:t>
            </w:r>
          </w:p>
        </w:tc>
        <w:tc>
          <w:tcPr>
            <w:tcW w:w="1984" w:type="dxa"/>
            <w:tcBorders>
              <w:top w:val="nil"/>
              <w:left w:val="nil"/>
              <w:bottom w:val="single" w:color="000000" w:sz="8" w:space="0"/>
              <w:right w:val="nil"/>
            </w:tcBorders>
          </w:tcPr>
          <w:p w14:paraId="5D8DBA68">
            <w:pPr>
              <w:spacing w:before="20" w:after="20"/>
              <w:jc w:val="center"/>
              <w:rPr>
                <w:rFonts w:ascii="Times New Roman" w:hAnsi="Times New Roman"/>
                <w:sz w:val="21"/>
              </w:rPr>
            </w:pPr>
            <w:r>
              <w:rPr>
                <w:rFonts w:ascii="Times New Roman" w:hAnsi="Times New Roman"/>
                <w:sz w:val="21"/>
              </w:rPr>
              <w:t>31,000</w:t>
            </w:r>
          </w:p>
        </w:tc>
        <w:tc>
          <w:tcPr>
            <w:tcW w:w="1984" w:type="dxa"/>
            <w:tcBorders>
              <w:top w:val="nil"/>
              <w:left w:val="nil"/>
              <w:bottom w:val="single" w:color="000000" w:sz="8" w:space="0"/>
              <w:right w:val="nil"/>
            </w:tcBorders>
          </w:tcPr>
          <w:p w14:paraId="6171680F">
            <w:pPr>
              <w:spacing w:before="20" w:after="20"/>
              <w:jc w:val="center"/>
              <w:rPr>
                <w:rFonts w:ascii="Times New Roman" w:hAnsi="Times New Roman"/>
                <w:sz w:val="21"/>
              </w:rPr>
            </w:pPr>
            <w:r>
              <w:rPr>
                <w:rFonts w:ascii="Times New Roman" w:hAnsi="Times New Roman"/>
                <w:sz w:val="21"/>
              </w:rPr>
              <w:t>0.04</w:t>
            </w:r>
          </w:p>
        </w:tc>
      </w:tr>
      <w:tr w14:paraId="2172F847">
        <w:tblPrEx>
          <w:tblCellMar>
            <w:top w:w="0" w:type="dxa"/>
            <w:left w:w="108" w:type="dxa"/>
            <w:bottom w:w="0" w:type="dxa"/>
            <w:right w:w="108" w:type="dxa"/>
          </w:tblCellMar>
        </w:tblPrEx>
        <w:trPr>
          <w:jc w:val="center"/>
        </w:trPr>
        <w:tc>
          <w:tcPr>
            <w:tcW w:w="4535" w:type="dxa"/>
            <w:tcBorders>
              <w:top w:val="nil"/>
              <w:left w:val="nil"/>
              <w:bottom w:val="single" w:color="000000" w:sz="8" w:space="0"/>
              <w:right w:val="nil"/>
            </w:tcBorders>
          </w:tcPr>
          <w:p w14:paraId="7EAD97B1">
            <w:pPr>
              <w:spacing w:before="20" w:after="20"/>
              <w:jc w:val="left"/>
              <w:rPr>
                <w:rFonts w:ascii="Times New Roman" w:hAnsi="Times New Roman"/>
                <w:sz w:val="21"/>
              </w:rPr>
            </w:pPr>
            <w:r>
              <w:rPr>
                <w:rFonts w:ascii="Times New Roman" w:hAnsi="Times New Roman"/>
                <w:sz w:val="21"/>
              </w:rPr>
              <w:t>Married or partnered, %</w:t>
            </w:r>
          </w:p>
        </w:tc>
        <w:tc>
          <w:tcPr>
            <w:tcW w:w="1984" w:type="dxa"/>
            <w:tcBorders>
              <w:top w:val="nil"/>
              <w:left w:val="nil"/>
              <w:bottom w:val="single" w:color="000000" w:sz="8" w:space="0"/>
              <w:right w:val="nil"/>
            </w:tcBorders>
          </w:tcPr>
          <w:p w14:paraId="2712DD81">
            <w:pPr>
              <w:spacing w:before="20" w:after="20"/>
              <w:jc w:val="center"/>
              <w:rPr>
                <w:rFonts w:ascii="Times New Roman" w:hAnsi="Times New Roman"/>
                <w:sz w:val="21"/>
              </w:rPr>
            </w:pPr>
            <w:r>
              <w:rPr>
                <w:rFonts w:ascii="Times New Roman" w:hAnsi="Times New Roman"/>
                <w:sz w:val="21"/>
              </w:rPr>
              <w:t>56</w:t>
            </w:r>
          </w:p>
        </w:tc>
        <w:tc>
          <w:tcPr>
            <w:tcW w:w="1984" w:type="dxa"/>
            <w:tcBorders>
              <w:top w:val="nil"/>
              <w:left w:val="nil"/>
              <w:bottom w:val="single" w:color="000000" w:sz="8" w:space="0"/>
              <w:right w:val="nil"/>
            </w:tcBorders>
          </w:tcPr>
          <w:p w14:paraId="0D362B44">
            <w:pPr>
              <w:spacing w:before="20" w:after="20"/>
              <w:jc w:val="center"/>
              <w:rPr>
                <w:rFonts w:ascii="Times New Roman" w:hAnsi="Times New Roman"/>
                <w:sz w:val="21"/>
              </w:rPr>
            </w:pPr>
            <w:r>
              <w:rPr>
                <w:rFonts w:ascii="Times New Roman" w:hAnsi="Times New Roman"/>
                <w:sz w:val="21"/>
              </w:rPr>
              <w:t>53</w:t>
            </w:r>
          </w:p>
        </w:tc>
        <w:tc>
          <w:tcPr>
            <w:tcW w:w="1984" w:type="dxa"/>
            <w:tcBorders>
              <w:top w:val="nil"/>
              <w:left w:val="nil"/>
              <w:bottom w:val="single" w:color="000000" w:sz="8" w:space="0"/>
              <w:right w:val="nil"/>
            </w:tcBorders>
          </w:tcPr>
          <w:p w14:paraId="35B8FBFD">
            <w:pPr>
              <w:spacing w:before="20" w:after="20"/>
              <w:jc w:val="center"/>
              <w:rPr>
                <w:rFonts w:ascii="Times New Roman" w:hAnsi="Times New Roman"/>
                <w:sz w:val="21"/>
              </w:rPr>
            </w:pPr>
            <w:r>
              <w:rPr>
                <w:rFonts w:ascii="Times New Roman" w:hAnsi="Times New Roman"/>
                <w:sz w:val="21"/>
              </w:rPr>
              <w:t>0.07</w:t>
            </w:r>
          </w:p>
        </w:tc>
      </w:tr>
      <w:tr w14:paraId="20A32CA3">
        <w:tblPrEx>
          <w:tblCellMar>
            <w:top w:w="0" w:type="dxa"/>
            <w:left w:w="108" w:type="dxa"/>
            <w:bottom w:w="0" w:type="dxa"/>
            <w:right w:w="108" w:type="dxa"/>
          </w:tblCellMar>
        </w:tblPrEx>
        <w:trPr>
          <w:jc w:val="center"/>
        </w:trPr>
        <w:tc>
          <w:tcPr>
            <w:tcW w:w="4535" w:type="dxa"/>
            <w:tcBorders>
              <w:top w:val="nil"/>
              <w:left w:val="nil"/>
              <w:bottom w:val="single" w:color="000000" w:sz="8" w:space="0"/>
              <w:right w:val="nil"/>
            </w:tcBorders>
          </w:tcPr>
          <w:p w14:paraId="76BE1D37">
            <w:pPr>
              <w:spacing w:before="20" w:after="20"/>
              <w:jc w:val="left"/>
              <w:rPr>
                <w:rFonts w:ascii="Times New Roman" w:hAnsi="Times New Roman"/>
                <w:sz w:val="21"/>
              </w:rPr>
            </w:pPr>
            <w:r>
              <w:rPr>
                <w:rFonts w:ascii="Times New Roman" w:hAnsi="Times New Roman"/>
                <w:sz w:val="21"/>
              </w:rPr>
              <w:t>Body mass index, mean, kg/m²</w:t>
            </w:r>
          </w:p>
        </w:tc>
        <w:tc>
          <w:tcPr>
            <w:tcW w:w="1984" w:type="dxa"/>
            <w:tcBorders>
              <w:top w:val="nil"/>
              <w:left w:val="nil"/>
              <w:bottom w:val="single" w:color="000000" w:sz="8" w:space="0"/>
              <w:right w:val="nil"/>
            </w:tcBorders>
          </w:tcPr>
          <w:p w14:paraId="3AD82279">
            <w:pPr>
              <w:spacing w:before="20" w:after="20"/>
              <w:jc w:val="center"/>
              <w:rPr>
                <w:rFonts w:ascii="Times New Roman" w:hAnsi="Times New Roman"/>
                <w:sz w:val="21"/>
              </w:rPr>
            </w:pPr>
            <w:r>
              <w:rPr>
                <w:rFonts w:ascii="Times New Roman" w:hAnsi="Times New Roman"/>
                <w:sz w:val="21"/>
              </w:rPr>
              <w:t>28.3</w:t>
            </w:r>
          </w:p>
        </w:tc>
        <w:tc>
          <w:tcPr>
            <w:tcW w:w="1984" w:type="dxa"/>
            <w:tcBorders>
              <w:top w:val="nil"/>
              <w:left w:val="nil"/>
              <w:bottom w:val="single" w:color="000000" w:sz="8" w:space="0"/>
              <w:right w:val="nil"/>
            </w:tcBorders>
          </w:tcPr>
          <w:p w14:paraId="41567C92">
            <w:pPr>
              <w:spacing w:before="20" w:after="20"/>
              <w:jc w:val="center"/>
              <w:rPr>
                <w:rFonts w:ascii="Times New Roman" w:hAnsi="Times New Roman"/>
                <w:sz w:val="21"/>
              </w:rPr>
            </w:pPr>
            <w:r>
              <w:rPr>
                <w:rFonts w:ascii="Times New Roman" w:hAnsi="Times New Roman"/>
                <w:sz w:val="21"/>
              </w:rPr>
              <w:t>27.4</w:t>
            </w:r>
          </w:p>
        </w:tc>
        <w:tc>
          <w:tcPr>
            <w:tcW w:w="1984" w:type="dxa"/>
            <w:tcBorders>
              <w:top w:val="nil"/>
              <w:left w:val="nil"/>
              <w:bottom w:val="single" w:color="000000" w:sz="8" w:space="0"/>
              <w:right w:val="nil"/>
            </w:tcBorders>
          </w:tcPr>
          <w:p w14:paraId="25183F8A">
            <w:pPr>
              <w:spacing w:before="20" w:after="20"/>
              <w:jc w:val="center"/>
              <w:rPr>
                <w:rFonts w:ascii="Times New Roman" w:hAnsi="Times New Roman"/>
                <w:sz w:val="21"/>
              </w:rPr>
            </w:pPr>
            <w:r>
              <w:rPr>
                <w:rFonts w:ascii="Times New Roman" w:hAnsi="Times New Roman"/>
                <w:sz w:val="21"/>
              </w:rPr>
              <w:t>0.17</w:t>
            </w:r>
          </w:p>
        </w:tc>
      </w:tr>
      <w:tr w14:paraId="134B6828">
        <w:tblPrEx>
          <w:tblCellMar>
            <w:top w:w="0" w:type="dxa"/>
            <w:left w:w="108" w:type="dxa"/>
            <w:bottom w:w="0" w:type="dxa"/>
            <w:right w:w="108" w:type="dxa"/>
          </w:tblCellMar>
        </w:tblPrEx>
        <w:trPr>
          <w:jc w:val="center"/>
        </w:trPr>
        <w:tc>
          <w:tcPr>
            <w:tcW w:w="4535" w:type="dxa"/>
            <w:tcBorders>
              <w:top w:val="nil"/>
              <w:left w:val="nil"/>
              <w:bottom w:val="single" w:color="000000" w:sz="8" w:space="0"/>
              <w:right w:val="nil"/>
            </w:tcBorders>
          </w:tcPr>
          <w:p w14:paraId="2B415DBF">
            <w:pPr>
              <w:spacing w:before="20" w:after="20"/>
              <w:jc w:val="left"/>
              <w:rPr>
                <w:rFonts w:ascii="Times New Roman" w:hAnsi="Times New Roman"/>
                <w:sz w:val="21"/>
              </w:rPr>
            </w:pPr>
            <w:r>
              <w:rPr>
                <w:rFonts w:ascii="Times New Roman" w:hAnsi="Times New Roman"/>
                <w:sz w:val="21"/>
              </w:rPr>
              <w:t>Follow-up, mean, years</w:t>
            </w:r>
          </w:p>
        </w:tc>
        <w:tc>
          <w:tcPr>
            <w:tcW w:w="1984" w:type="dxa"/>
            <w:tcBorders>
              <w:top w:val="nil"/>
              <w:left w:val="nil"/>
              <w:bottom w:val="single" w:color="000000" w:sz="8" w:space="0"/>
              <w:right w:val="nil"/>
            </w:tcBorders>
          </w:tcPr>
          <w:p w14:paraId="3A0558A2">
            <w:pPr>
              <w:spacing w:before="20" w:after="20"/>
              <w:jc w:val="center"/>
              <w:rPr>
                <w:rFonts w:ascii="Times New Roman" w:hAnsi="Times New Roman"/>
                <w:sz w:val="21"/>
              </w:rPr>
            </w:pPr>
            <w:r>
              <w:rPr>
                <w:rFonts w:ascii="Times New Roman" w:hAnsi="Times New Roman"/>
                <w:sz w:val="21"/>
              </w:rPr>
              <w:t>7.0</w:t>
            </w:r>
          </w:p>
        </w:tc>
        <w:tc>
          <w:tcPr>
            <w:tcW w:w="1984" w:type="dxa"/>
            <w:tcBorders>
              <w:top w:val="nil"/>
              <w:left w:val="nil"/>
              <w:bottom w:val="single" w:color="000000" w:sz="8" w:space="0"/>
              <w:right w:val="nil"/>
            </w:tcBorders>
          </w:tcPr>
          <w:p w14:paraId="2BB3B239">
            <w:pPr>
              <w:spacing w:before="20" w:after="20"/>
              <w:jc w:val="center"/>
              <w:rPr>
                <w:rFonts w:ascii="Times New Roman" w:hAnsi="Times New Roman"/>
                <w:sz w:val="21"/>
              </w:rPr>
            </w:pPr>
            <w:r>
              <w:rPr>
                <w:rFonts w:ascii="Times New Roman" w:hAnsi="Times New Roman"/>
                <w:sz w:val="21"/>
              </w:rPr>
              <w:t>6.2</w:t>
            </w:r>
          </w:p>
        </w:tc>
        <w:tc>
          <w:tcPr>
            <w:tcW w:w="1984" w:type="dxa"/>
            <w:tcBorders>
              <w:top w:val="nil"/>
              <w:left w:val="nil"/>
              <w:bottom w:val="single" w:color="000000" w:sz="8" w:space="0"/>
              <w:right w:val="nil"/>
            </w:tcBorders>
          </w:tcPr>
          <w:p w14:paraId="28BFC6B0">
            <w:pPr>
              <w:spacing w:before="20" w:after="20"/>
              <w:jc w:val="center"/>
              <w:rPr>
                <w:rFonts w:ascii="Times New Roman" w:hAnsi="Times New Roman"/>
                <w:sz w:val="21"/>
              </w:rPr>
            </w:pPr>
            <w:r>
              <w:rPr>
                <w:rFonts w:ascii="Times New Roman" w:hAnsi="Times New Roman"/>
                <w:sz w:val="21"/>
              </w:rPr>
              <w:t>0.18</w:t>
            </w:r>
          </w:p>
        </w:tc>
      </w:tr>
      <w:tr w14:paraId="657A3CCD">
        <w:tblPrEx>
          <w:tblCellMar>
            <w:top w:w="0" w:type="dxa"/>
            <w:left w:w="108" w:type="dxa"/>
            <w:bottom w:w="0" w:type="dxa"/>
            <w:right w:w="108" w:type="dxa"/>
          </w:tblCellMar>
        </w:tblPrEx>
        <w:trPr>
          <w:jc w:val="center"/>
        </w:trPr>
        <w:tc>
          <w:tcPr>
            <w:tcW w:w="4535" w:type="dxa"/>
            <w:tcBorders>
              <w:top w:val="nil"/>
              <w:left w:val="nil"/>
              <w:bottom w:val="single" w:color="000000" w:sz="8" w:space="0"/>
              <w:right w:val="nil"/>
            </w:tcBorders>
          </w:tcPr>
          <w:p w14:paraId="2DFA8B6F">
            <w:pPr>
              <w:spacing w:before="20" w:after="20"/>
              <w:jc w:val="left"/>
              <w:rPr>
                <w:rFonts w:ascii="Times New Roman" w:hAnsi="Times New Roman"/>
                <w:sz w:val="21"/>
              </w:rPr>
            </w:pPr>
            <w:r>
              <w:rPr>
                <w:rFonts w:ascii="Times New Roman" w:hAnsi="Times New Roman"/>
                <w:sz w:val="21"/>
              </w:rPr>
              <w:t>MI incidence, per 1,000 person-years</w:t>
            </w:r>
          </w:p>
        </w:tc>
        <w:tc>
          <w:tcPr>
            <w:tcW w:w="1984" w:type="dxa"/>
            <w:tcBorders>
              <w:top w:val="nil"/>
              <w:left w:val="nil"/>
              <w:bottom w:val="single" w:color="000000" w:sz="8" w:space="0"/>
              <w:right w:val="nil"/>
            </w:tcBorders>
          </w:tcPr>
          <w:p w14:paraId="3099BE89">
            <w:pPr>
              <w:spacing w:before="20" w:after="20"/>
              <w:jc w:val="center"/>
              <w:rPr>
                <w:rFonts w:ascii="Times New Roman" w:hAnsi="Times New Roman"/>
                <w:sz w:val="21"/>
              </w:rPr>
            </w:pPr>
            <w:r>
              <w:rPr>
                <w:rFonts w:ascii="Times New Roman" w:hAnsi="Times New Roman"/>
                <w:sz w:val="21"/>
              </w:rPr>
              <w:t>15.0</w:t>
            </w:r>
          </w:p>
        </w:tc>
        <w:tc>
          <w:tcPr>
            <w:tcW w:w="1984" w:type="dxa"/>
            <w:tcBorders>
              <w:top w:val="nil"/>
              <w:left w:val="nil"/>
              <w:bottom w:val="single" w:color="000000" w:sz="8" w:space="0"/>
              <w:right w:val="nil"/>
            </w:tcBorders>
          </w:tcPr>
          <w:p w14:paraId="28032CB3">
            <w:pPr>
              <w:spacing w:before="20" w:after="20"/>
              <w:jc w:val="center"/>
              <w:rPr>
                <w:rFonts w:ascii="Times New Roman" w:hAnsi="Times New Roman"/>
                <w:sz w:val="21"/>
              </w:rPr>
            </w:pPr>
            <w:r>
              <w:rPr>
                <w:rFonts w:ascii="Times New Roman" w:hAnsi="Times New Roman"/>
                <w:sz w:val="21"/>
              </w:rPr>
              <w:t>16.9</w:t>
            </w:r>
          </w:p>
        </w:tc>
        <w:tc>
          <w:tcPr>
            <w:tcW w:w="1984" w:type="dxa"/>
            <w:tcBorders>
              <w:top w:val="nil"/>
              <w:left w:val="nil"/>
              <w:bottom w:val="single" w:color="000000" w:sz="8" w:space="0"/>
              <w:right w:val="nil"/>
            </w:tcBorders>
          </w:tcPr>
          <w:p w14:paraId="36E63855">
            <w:pPr>
              <w:spacing w:before="20" w:after="20"/>
              <w:jc w:val="center"/>
              <w:rPr>
                <w:rFonts w:ascii="Times New Roman" w:hAnsi="Times New Roman"/>
                <w:sz w:val="21"/>
              </w:rPr>
            </w:pPr>
            <w:r>
              <w:rPr>
                <w:rFonts w:ascii="Times New Roman" w:hAnsi="Times New Roman"/>
                <w:sz w:val="21"/>
              </w:rPr>
              <w:t>—</w:t>
            </w:r>
          </w:p>
        </w:tc>
      </w:tr>
    </w:tbl>
    <w:p w14:paraId="76FE7A81">
      <w:pPr>
        <w:spacing w:before="60"/>
      </w:pPr>
      <w:r>
        <w:rPr>
          <w:rFonts w:ascii="Times New Roman" w:hAnsi="Times New Roman" w:eastAsia="宋体"/>
          <w:sz w:val="18"/>
        </w:rPr>
        <w:t>Participants aged 70–74 years differed only modestly from the remainder of the cohort: no measured characteristic exceeded a standardised difference of 0.20, the largest differences being in internet use itself (0.20), body mass index (0.17), smoking history (0.17) and diabetes (0.14), while household income, education, Medicaid coverage and marital status were closely comparable. The crude proportion developing MI was the same in the two groups (10.4%); the incidence rate was somewhat lower in this stratum (15.0 vs 16.9 per 1,000 person-years) because its mean follow-up was longer (7.0 vs 6.2 years). None of these differences provides an obvious explanation for the lower stratum-specific hazard ratio. The stronger point estimate observed in this stratum (HR 0.51, 95% CI 0.31–0.83) was not accompanied by a significant interaction across age groups (P for interaction = .57). Given that eight interaction tests were conducted without correction for multiplicity, we interpret this stratum-specific estimate as most likely reflecting chance variation, and we do not offer a substantive explanation for it in the main text.</w:t>
      </w:r>
    </w:p>
    <w:p w14:paraId="22C2904B">
      <w:pPr>
        <w:spacing w:before="60"/>
      </w:pPr>
      <w:r>
        <w:rPr>
          <w:rFonts w:ascii="Times New Roman" w:hAnsi="Times New Roman" w:eastAsia="宋体"/>
          <w:sz w:val="18"/>
        </w:rPr>
        <w:t>Standardised differences are reported because no formal hypothesis tests were planned for this descriptive comparison; values below 0.10 are conventionally regarded as negligible and values below 0.20 as small.</w:t>
      </w:r>
    </w:p>
    <w:p w14:paraId="475B2E09">
      <w:r>
        <w:br w:type="page"/>
      </w:r>
    </w:p>
    <w:p w14:paraId="2541F69A">
      <w:r>
        <w:rPr>
          <w:rFonts w:ascii="Times New Roman" w:hAnsi="Times New Roman" w:eastAsia="宋体"/>
          <w:b/>
          <w:sz w:val="24"/>
        </w:rPr>
        <w:t>Supplementary Figure S1. Directed acyclic graph used for covariate selection</w:t>
      </w:r>
    </w:p>
    <w:p w14:paraId="2541F69A">
      <w:pPr>
        <w:jc w:val="center"/>
      </w:pPr>
      <w:r>
        <w:drawing>
          <wp:inline xmlns:a="http://schemas.openxmlformats.org/drawingml/2006/main" xmlns:pic="http://schemas.openxmlformats.org/drawingml/2006/picture">
            <wp:extent cx="5486400" cy="4114800"/>
            <wp:docPr id="1" name="Picture 1"/>
            <wp:cNvGraphicFramePr>
              <a:graphicFrameLocks noChangeAspect="1"/>
            </wp:cNvGraphicFramePr>
            <a:graphic>
              <a:graphicData uri="http://schemas.openxmlformats.org/drawingml/2006/picture">
                <pic:pic>
                  <pic:nvPicPr>
                    <pic:cNvPr id="0" name="SupplFigure1_DAG.png"/>
                    <pic:cNvPicPr/>
                  </pic:nvPicPr>
                  <pic:blipFill>
                    <a:blip r:embed="rId9"/>
                    <a:stretch>
                      <a:fillRect/>
                    </a:stretch>
                  </pic:blipFill>
                  <pic:spPr>
                    <a:xfrm>
                      <a:off x="0" y="0"/>
                      <a:ext cx="5486400" cy="4114800"/>
                    </a:xfrm>
                    <a:prstGeom prst="rect"/>
                  </pic:spPr>
                </pic:pic>
              </a:graphicData>
            </a:graphic>
          </wp:inline>
        </w:drawing>
      </w:r>
    </w:p>
    <w:p w14:paraId="166E50F6">
      <w:pPr>
        <w:spacing w:before="60"/>
      </w:pPr>
      <w:r>
        <w:rPr>
          <w:rFonts w:ascii="Times New Roman" w:hAnsi="Times New Roman" w:eastAsia="宋体"/>
          <w:sz w:val="18"/>
        </w:rPr>
        <w:t>The directed acyclic graph specifies the assumed causal structure linking internet use to incident myocardial infarction. Variables classified as common causes of both exposure and outcome (demographic characteristics, socioeconomic position, baseline comorbidities and smoking history) were adjusted for in the primary model. Variables classified as plausible mediators — depressive and anxiety symptoms, physical activity, body mass index, social participation and regular physician access — were deliberately left unadjusted in the primary model, because conditioning on a mediator biases the estimate of the total effect; these variables were added only in an exploratory model (Model 5). Unmeasured confounding, in particular residual socioeconomic position, remains an open backdoor path and was quantified using E-value analysis.</w:t>
      </w:r>
      <w:bookmarkStart w:id="0" w:name="_GoBack"/>
      <w:bookmarkEnd w:id="0"/>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MS Mincho">
    <w:panose1 w:val="02020609040205080304"/>
    <w:charset w:val="80"/>
    <w:family w:val="roman"/>
    <w:pitch w:val="default"/>
    <w:sig w:usb0="A00002BF" w:usb1="68C7FCFB" w:usb2="00000010" w:usb3="00000000" w:csb0="4002009F" w:csb1="DFD7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FB74A6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qFormat="1"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宋体" w:cstheme="minorBidi"/>
      <w:sz w:val="24"/>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5"/>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7"/>
    <w:unhideWhenUsed/>
    <w:uiPriority w:val="99"/>
    <w:pPr>
      <w:tabs>
        <w:tab w:val="center" w:pos="4680"/>
        <w:tab w:val="right" w:pos="9360"/>
      </w:tabs>
      <w:spacing w:after="0" w:line="240" w:lineRule="auto"/>
    </w:pPr>
  </w:style>
  <w:style w:type="paragraph" w:styleId="25">
    <w:name w:val="header"/>
    <w:basedOn w:val="1"/>
    <w:link w:val="136"/>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36">
    <w:name w:val="Header Char"/>
    <w:basedOn w:val="132"/>
    <w:link w:val="25"/>
    <w:uiPriority w:val="99"/>
  </w:style>
  <w:style w:type="character" w:customStyle="1" w:styleId="137">
    <w:name w:val="Footer Char"/>
    <w:basedOn w:val="132"/>
    <w:link w:val="24"/>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1689</Words>
  <Characters>9381</Characters>
  <Lines>0</Lines>
  <Paragraphs>0</Paragraphs>
  <TotalTime>1</TotalTime>
  <ScaleCrop>false</ScaleCrop>
  <LinksUpToDate>false</LinksUpToDate>
  <CharactersWithSpaces>10859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author</cp:lastModifiedBy>
  <dcterms:modified xsi:type="dcterms:W3CDTF">2026-07-26T13:10:13Z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eyJoZGlkIjoiMGIxMjVhZjhmNzk2Y2JjZTg1MDZjYjExNGI3MDBiMGMiLCJ1c2VySWQiOiIxMzc1ODA3MzY2In0=</vt:lpwstr>
  </property>
  <property fmtid="{D5CDD505-2E9C-101B-9397-08002B2CF9AE}" pid="3" name="KSOProductBuildVer">
    <vt:lpwstr>2052-12.1.0.26895</vt:lpwstr>
  </property>
  <property fmtid="{D5CDD505-2E9C-101B-9397-08002B2CF9AE}" pid="4" name="ICV">
    <vt:lpwstr>2CB4479337C24ACB8D1872C60E835AC1_12</vt:lpwstr>
  </property>
</Properties>
</file>