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64176">
      <w:r>
        <w:rPr>
          <w:rFonts w:ascii="Times New Roman" w:hAnsi="Times New Roman" w:eastAsia="宋体"/>
          <w:b/>
          <w:sz w:val="24"/>
        </w:rPr>
        <w:t>STROBE Statement — Checklist of items that should be included in reports of cohort studies</w:t>
      </w:r>
      <w:bookmarkStart w:id="0" w:name="_GoBack"/>
      <w:bookmarkEnd w:id="0"/>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4D42CE6E">
        <w:tblPrEx>
          <w:tblCellMar>
            <w:top w:w="0" w:type="dxa"/>
            <w:left w:w="108" w:type="dxa"/>
            <w:bottom w:w="0" w:type="dxa"/>
            <w:right w:w="108" w:type="dxa"/>
          </w:tblCellMar>
        </w:tblPrEx>
        <w:trPr>
          <w:jc w:val="center"/>
        </w:trPr>
        <w:tc>
          <w:tcPr>
            <w:tcW w:w="907" w:type="dxa"/>
            <w:tcBorders>
              <w:top w:val="single" w:color="000000" w:sz="8" w:space="0"/>
              <w:left w:val="nil"/>
              <w:bottom w:val="single" w:color="000000" w:sz="8" w:space="0"/>
              <w:right w:val="nil"/>
            </w:tcBorders>
          </w:tcPr>
          <w:p w14:paraId="3094EB31">
            <w:pPr>
              <w:spacing w:before="20" w:after="20"/>
              <w:jc w:val="left"/>
              <w:rPr>
                <w:rFonts w:ascii="Times New Roman" w:hAnsi="Times New Roman"/>
                <w:sz w:val="21"/>
              </w:rPr>
            </w:pPr>
            <w:r>
              <w:rPr>
                <w:rFonts w:ascii="Times New Roman" w:hAnsi="Times New Roman" w:eastAsia="宋体"/>
                <w:b/>
                <w:sz w:val="21"/>
              </w:rPr>
              <w:t>Item No</w:t>
            </w:r>
          </w:p>
        </w:tc>
        <w:tc>
          <w:tcPr>
            <w:tcW w:w="5669" w:type="dxa"/>
            <w:tcBorders>
              <w:top w:val="single" w:color="000000" w:sz="8" w:space="0"/>
              <w:left w:val="nil"/>
              <w:bottom w:val="single" w:color="000000" w:sz="8" w:space="0"/>
              <w:right w:val="nil"/>
            </w:tcBorders>
          </w:tcPr>
          <w:p w14:paraId="1CE4440B">
            <w:pPr>
              <w:spacing w:before="20" w:after="20"/>
              <w:jc w:val="center"/>
              <w:rPr>
                <w:rFonts w:ascii="Times New Roman" w:hAnsi="Times New Roman"/>
                <w:sz w:val="21"/>
              </w:rPr>
            </w:pPr>
            <w:r>
              <w:rPr>
                <w:rFonts w:ascii="Times New Roman" w:hAnsi="Times New Roman" w:eastAsia="宋体"/>
                <w:b/>
                <w:sz w:val="21"/>
              </w:rPr>
              <w:t>Recommendation</w:t>
            </w:r>
          </w:p>
        </w:tc>
        <w:tc>
          <w:tcPr>
            <w:tcW w:w="3402" w:type="dxa"/>
            <w:tcBorders>
              <w:top w:val="single" w:color="000000" w:sz="8" w:space="0"/>
              <w:left w:val="nil"/>
              <w:bottom w:val="single" w:color="000000" w:sz="8" w:space="0"/>
              <w:right w:val="nil"/>
            </w:tcBorders>
          </w:tcPr>
          <w:p w14:paraId="49986B64">
            <w:pPr>
              <w:spacing w:before="20" w:after="20"/>
              <w:jc w:val="center"/>
              <w:rPr>
                <w:rFonts w:ascii="Times New Roman" w:hAnsi="Times New Roman"/>
                <w:sz w:val="21"/>
              </w:rPr>
            </w:pPr>
            <w:r>
              <w:rPr>
                <w:rFonts w:ascii="Times New Roman" w:hAnsi="Times New Roman" w:eastAsia="宋体"/>
                <w:b/>
                <w:sz w:val="21"/>
              </w:rPr>
              <w:t>Reported in</w:t>
            </w:r>
          </w:p>
        </w:tc>
      </w:tr>
      <w:tr w14:paraId="06EBB7D0">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10208901">
            <w:pPr>
              <w:spacing w:before="20" w:after="20"/>
              <w:jc w:val="left"/>
              <w:rPr>
                <w:rFonts w:ascii="Times New Roman" w:hAnsi="Times New Roman"/>
                <w:sz w:val="21"/>
              </w:rPr>
            </w:pPr>
            <w:r>
              <w:rPr>
                <w:rFonts w:ascii="Times New Roman" w:hAnsi="Times New Roman" w:eastAsia="宋体"/>
                <w:b/>
                <w:sz w:val="21"/>
              </w:rPr>
              <w:t>Title and abstract</w:t>
            </w:r>
          </w:p>
        </w:tc>
        <w:tc>
          <w:tcPr>
            <w:tcW w:w="5669" w:type="dxa"/>
            <w:tcBorders>
              <w:top w:val="nil"/>
              <w:left w:val="nil"/>
              <w:bottom w:val="nil"/>
              <w:right w:val="nil"/>
            </w:tcBorders>
          </w:tcPr>
          <w:p w14:paraId="00237186">
            <w:pPr>
              <w:spacing w:before="20" w:after="20"/>
              <w:jc w:val="center"/>
              <w:rPr>
                <w:rFonts w:ascii="Times New Roman" w:hAnsi="Times New Roman"/>
                <w:sz w:val="21"/>
              </w:rPr>
            </w:pPr>
          </w:p>
        </w:tc>
        <w:tc>
          <w:tcPr>
            <w:tcW w:w="3402" w:type="dxa"/>
            <w:tcBorders>
              <w:top w:val="nil"/>
              <w:left w:val="nil"/>
              <w:bottom w:val="nil"/>
              <w:right w:val="nil"/>
            </w:tcBorders>
          </w:tcPr>
          <w:p w14:paraId="25196E7D">
            <w:pPr>
              <w:spacing w:before="20" w:after="20"/>
              <w:jc w:val="center"/>
              <w:rPr>
                <w:rFonts w:ascii="Times New Roman" w:hAnsi="Times New Roman"/>
                <w:sz w:val="21"/>
              </w:rPr>
            </w:pPr>
          </w:p>
        </w:tc>
      </w:tr>
      <w:tr w14:paraId="2331399B">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51D70FED">
            <w:pPr>
              <w:spacing w:before="20" w:after="20"/>
              <w:jc w:val="left"/>
              <w:rPr>
                <w:rFonts w:ascii="Times New Roman" w:hAnsi="Times New Roman"/>
                <w:sz w:val="21"/>
              </w:rPr>
            </w:pPr>
            <w:r>
              <w:rPr>
                <w:rFonts w:ascii="Times New Roman" w:hAnsi="Times New Roman" w:eastAsia="宋体"/>
                <w:b w:val="0"/>
                <w:sz w:val="21"/>
              </w:rPr>
              <w:t>1</w:t>
            </w:r>
          </w:p>
        </w:tc>
        <w:tc>
          <w:tcPr>
            <w:tcW w:w="5669" w:type="dxa"/>
            <w:tcBorders>
              <w:top w:val="nil"/>
              <w:left w:val="nil"/>
              <w:bottom w:val="nil"/>
              <w:right w:val="nil"/>
            </w:tcBorders>
          </w:tcPr>
          <w:p w14:paraId="743048FC">
            <w:pPr>
              <w:spacing w:before="20" w:after="20"/>
              <w:jc w:val="center"/>
              <w:rPr>
                <w:rFonts w:ascii="Times New Roman" w:hAnsi="Times New Roman"/>
                <w:sz w:val="21"/>
              </w:rPr>
            </w:pPr>
            <w:r>
              <w:rPr>
                <w:rFonts w:ascii="Times New Roman" w:hAnsi="Times New Roman" w:eastAsia="宋体"/>
                <w:b w:val="0"/>
                <w:sz w:val="21"/>
              </w:rPr>
              <w:t>(a) Indicate the study's design with a commonly used term in the title or the abstract</w:t>
            </w:r>
          </w:p>
        </w:tc>
        <w:tc>
          <w:tcPr>
            <w:tcW w:w="3402" w:type="dxa"/>
            <w:tcBorders>
              <w:top w:val="nil"/>
              <w:left w:val="nil"/>
              <w:bottom w:val="nil"/>
              <w:right w:val="nil"/>
            </w:tcBorders>
          </w:tcPr>
          <w:p w14:paraId="6B098189">
            <w:pPr>
              <w:spacing w:before="20" w:after="20"/>
              <w:jc w:val="center"/>
              <w:rPr>
                <w:rFonts w:ascii="Times New Roman" w:hAnsi="Times New Roman"/>
                <w:sz w:val="21"/>
              </w:rPr>
            </w:pPr>
            <w:r>
              <w:rPr>
                <w:rFonts w:ascii="Times New Roman" w:hAnsi="Times New Roman" w:eastAsia="宋体"/>
                <w:b w:val="0"/>
                <w:sz w:val="21"/>
              </w:rPr>
              <w:t>Title; Abstract, Methods</w:t>
            </w:r>
          </w:p>
        </w:tc>
      </w:tr>
      <w:tr w14:paraId="6292C045">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3793A78">
            <w:pPr>
              <w:spacing w:before="20" w:after="20"/>
              <w:jc w:val="left"/>
              <w:rPr>
                <w:rFonts w:ascii="Times New Roman" w:hAnsi="Times New Roman"/>
                <w:sz w:val="21"/>
              </w:rPr>
            </w:pPr>
          </w:p>
        </w:tc>
        <w:tc>
          <w:tcPr>
            <w:tcW w:w="5669" w:type="dxa"/>
            <w:tcBorders>
              <w:top w:val="nil"/>
              <w:left w:val="nil"/>
              <w:bottom w:val="nil"/>
              <w:right w:val="nil"/>
            </w:tcBorders>
          </w:tcPr>
          <w:p w14:paraId="47E0929A">
            <w:pPr>
              <w:spacing w:before="20" w:after="20"/>
              <w:jc w:val="center"/>
              <w:rPr>
                <w:rFonts w:ascii="Times New Roman" w:hAnsi="Times New Roman"/>
                <w:sz w:val="21"/>
              </w:rPr>
            </w:pPr>
            <w:r>
              <w:rPr>
                <w:rFonts w:ascii="Times New Roman" w:hAnsi="Times New Roman" w:eastAsia="宋体"/>
                <w:b w:val="0"/>
                <w:sz w:val="21"/>
              </w:rPr>
              <w:t>(b) Provide in the abstract an informative and balanced summary of what was done and what was found</w:t>
            </w:r>
          </w:p>
        </w:tc>
        <w:tc>
          <w:tcPr>
            <w:tcW w:w="3402" w:type="dxa"/>
            <w:tcBorders>
              <w:top w:val="nil"/>
              <w:left w:val="nil"/>
              <w:bottom w:val="nil"/>
              <w:right w:val="nil"/>
            </w:tcBorders>
          </w:tcPr>
          <w:p w14:paraId="6DAE0413">
            <w:pPr>
              <w:spacing w:before="20" w:after="20"/>
              <w:jc w:val="center"/>
              <w:rPr>
                <w:rFonts w:ascii="Times New Roman" w:hAnsi="Times New Roman"/>
                <w:sz w:val="21"/>
              </w:rPr>
            </w:pPr>
            <w:r>
              <w:rPr>
                <w:rFonts w:ascii="Times New Roman" w:hAnsi="Times New Roman" w:eastAsia="宋体"/>
                <w:b w:val="0"/>
                <w:sz w:val="21"/>
              </w:rPr>
              <w:t>Abstract</w:t>
            </w:r>
          </w:p>
        </w:tc>
      </w:tr>
      <w:tr w14:paraId="510B5473">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00B40290">
            <w:pPr>
              <w:spacing w:before="20" w:after="20"/>
              <w:jc w:val="left"/>
              <w:rPr>
                <w:rFonts w:ascii="Times New Roman" w:hAnsi="Times New Roman"/>
                <w:sz w:val="21"/>
              </w:rPr>
            </w:pPr>
            <w:r>
              <w:rPr>
                <w:rFonts w:ascii="Times New Roman" w:hAnsi="Times New Roman" w:eastAsia="宋体"/>
                <w:b/>
                <w:sz w:val="21"/>
              </w:rPr>
              <w:t>Introduction</w:t>
            </w:r>
          </w:p>
        </w:tc>
        <w:tc>
          <w:tcPr>
            <w:tcW w:w="5669" w:type="dxa"/>
            <w:tcBorders>
              <w:top w:val="nil"/>
              <w:left w:val="nil"/>
              <w:bottom w:val="nil"/>
              <w:right w:val="nil"/>
            </w:tcBorders>
          </w:tcPr>
          <w:p w14:paraId="28E368A7">
            <w:pPr>
              <w:spacing w:before="20" w:after="20"/>
              <w:jc w:val="center"/>
              <w:rPr>
                <w:rFonts w:ascii="Times New Roman" w:hAnsi="Times New Roman"/>
                <w:sz w:val="21"/>
              </w:rPr>
            </w:pPr>
          </w:p>
        </w:tc>
        <w:tc>
          <w:tcPr>
            <w:tcW w:w="3402" w:type="dxa"/>
            <w:tcBorders>
              <w:top w:val="nil"/>
              <w:left w:val="nil"/>
              <w:bottom w:val="nil"/>
              <w:right w:val="nil"/>
            </w:tcBorders>
          </w:tcPr>
          <w:p w14:paraId="487318B3">
            <w:pPr>
              <w:spacing w:before="20" w:after="20"/>
              <w:jc w:val="center"/>
              <w:rPr>
                <w:rFonts w:ascii="Times New Roman" w:hAnsi="Times New Roman"/>
                <w:sz w:val="21"/>
              </w:rPr>
            </w:pPr>
          </w:p>
        </w:tc>
      </w:tr>
      <w:tr w14:paraId="452F7E31">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0927D04F">
            <w:pPr>
              <w:spacing w:before="20" w:after="20"/>
              <w:jc w:val="left"/>
              <w:rPr>
                <w:rFonts w:ascii="Times New Roman" w:hAnsi="Times New Roman"/>
                <w:sz w:val="21"/>
              </w:rPr>
            </w:pPr>
            <w:r>
              <w:rPr>
                <w:rFonts w:ascii="Times New Roman" w:hAnsi="Times New Roman" w:eastAsia="宋体"/>
                <w:b w:val="0"/>
                <w:sz w:val="21"/>
              </w:rPr>
              <w:t>2</w:t>
            </w:r>
          </w:p>
        </w:tc>
        <w:tc>
          <w:tcPr>
            <w:tcW w:w="5669" w:type="dxa"/>
            <w:tcBorders>
              <w:top w:val="nil"/>
              <w:left w:val="nil"/>
              <w:bottom w:val="nil"/>
              <w:right w:val="nil"/>
            </w:tcBorders>
          </w:tcPr>
          <w:p w14:paraId="4CF49692">
            <w:pPr>
              <w:spacing w:before="20" w:after="20"/>
              <w:jc w:val="center"/>
              <w:rPr>
                <w:rFonts w:ascii="Times New Roman" w:hAnsi="Times New Roman"/>
                <w:sz w:val="21"/>
              </w:rPr>
            </w:pPr>
            <w:r>
              <w:rPr>
                <w:rFonts w:ascii="Times New Roman" w:hAnsi="Times New Roman" w:eastAsia="宋体"/>
                <w:b w:val="0"/>
                <w:sz w:val="21"/>
              </w:rPr>
              <w:t>Background/rationale: explain the scientific background and rationale for the investigation being reported</w:t>
            </w:r>
          </w:p>
        </w:tc>
        <w:tc>
          <w:tcPr>
            <w:tcW w:w="3402" w:type="dxa"/>
            <w:tcBorders>
              <w:top w:val="nil"/>
              <w:left w:val="nil"/>
              <w:bottom w:val="nil"/>
              <w:right w:val="nil"/>
            </w:tcBorders>
          </w:tcPr>
          <w:p w14:paraId="5FE7C769">
            <w:pPr>
              <w:spacing w:before="20" w:after="20"/>
              <w:jc w:val="center"/>
              <w:rPr>
                <w:rFonts w:ascii="Times New Roman" w:hAnsi="Times New Roman"/>
                <w:sz w:val="21"/>
              </w:rPr>
            </w:pPr>
            <w:r>
              <w:rPr>
                <w:rFonts w:ascii="Times New Roman" w:hAnsi="Times New Roman"/>
                <w:sz w:val="21"/>
              </w:rPr>
              <w:t>Background, paras 1–2</w:t>
            </w:r>
          </w:p>
        </w:tc>
      </w:tr>
      <w:tr w14:paraId="6CA0DC37">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70416DA4">
            <w:pPr>
              <w:spacing w:before="20" w:after="20"/>
              <w:jc w:val="left"/>
              <w:rPr>
                <w:rFonts w:ascii="Times New Roman" w:hAnsi="Times New Roman"/>
                <w:sz w:val="21"/>
              </w:rPr>
            </w:pPr>
            <w:r>
              <w:rPr>
                <w:rFonts w:ascii="Times New Roman" w:hAnsi="Times New Roman" w:eastAsia="宋体"/>
                <w:b w:val="0"/>
                <w:sz w:val="21"/>
              </w:rPr>
              <w:t>3</w:t>
            </w:r>
          </w:p>
        </w:tc>
        <w:tc>
          <w:tcPr>
            <w:tcW w:w="5669" w:type="dxa"/>
            <w:tcBorders>
              <w:top w:val="nil"/>
              <w:left w:val="nil"/>
              <w:bottom w:val="nil"/>
              <w:right w:val="nil"/>
            </w:tcBorders>
          </w:tcPr>
          <w:p w14:paraId="65F631F3">
            <w:pPr>
              <w:spacing w:before="20" w:after="20"/>
              <w:jc w:val="center"/>
              <w:rPr>
                <w:rFonts w:ascii="Times New Roman" w:hAnsi="Times New Roman"/>
                <w:sz w:val="21"/>
              </w:rPr>
            </w:pPr>
            <w:r>
              <w:rPr>
                <w:rFonts w:ascii="Times New Roman" w:hAnsi="Times New Roman" w:eastAsia="宋体"/>
                <w:b w:val="0"/>
                <w:sz w:val="21"/>
              </w:rPr>
              <w:t>Objectives: state specific objectives, including any prespecified hypotheses</w:t>
            </w:r>
          </w:p>
        </w:tc>
        <w:tc>
          <w:tcPr>
            <w:tcW w:w="3402" w:type="dxa"/>
            <w:tcBorders>
              <w:top w:val="nil"/>
              <w:left w:val="nil"/>
              <w:bottom w:val="nil"/>
              <w:right w:val="nil"/>
            </w:tcBorders>
          </w:tcPr>
          <w:p w14:paraId="131CCF5E">
            <w:pPr>
              <w:spacing w:before="20" w:after="20"/>
              <w:jc w:val="center"/>
              <w:rPr>
                <w:rFonts w:ascii="Times New Roman" w:hAnsi="Times New Roman"/>
                <w:sz w:val="21"/>
              </w:rPr>
            </w:pPr>
            <w:r>
              <w:rPr>
                <w:rFonts w:ascii="Times New Roman" w:hAnsi="Times New Roman"/>
                <w:sz w:val="21"/>
              </w:rPr>
              <w:t>Background, final para (objectives); Methods, 'Data source and study design'. The study was not prospectively registered, no analyses were preregistered and no hypotheses were prespecified, as stated explicitly in the Methods.</w:t>
            </w:r>
          </w:p>
        </w:tc>
      </w:tr>
      <w:tr w14:paraId="61C52DD5">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747F4071">
            <w:pPr>
              <w:spacing w:before="20" w:after="20"/>
              <w:jc w:val="left"/>
              <w:rPr>
                <w:rFonts w:ascii="Times New Roman" w:hAnsi="Times New Roman"/>
                <w:sz w:val="21"/>
              </w:rPr>
            </w:pPr>
            <w:r>
              <w:rPr>
                <w:rFonts w:ascii="Times New Roman" w:hAnsi="Times New Roman" w:eastAsia="宋体"/>
                <w:b/>
                <w:sz w:val="21"/>
              </w:rPr>
              <w:t>Methods</w:t>
            </w:r>
          </w:p>
        </w:tc>
        <w:tc>
          <w:tcPr>
            <w:tcW w:w="5669" w:type="dxa"/>
            <w:tcBorders>
              <w:top w:val="nil"/>
              <w:left w:val="nil"/>
              <w:bottom w:val="nil"/>
              <w:right w:val="nil"/>
            </w:tcBorders>
          </w:tcPr>
          <w:p w14:paraId="2AFB5646">
            <w:pPr>
              <w:spacing w:before="20" w:after="20"/>
              <w:jc w:val="center"/>
              <w:rPr>
                <w:rFonts w:ascii="Times New Roman" w:hAnsi="Times New Roman"/>
                <w:sz w:val="21"/>
              </w:rPr>
            </w:pPr>
          </w:p>
        </w:tc>
        <w:tc>
          <w:tcPr>
            <w:tcW w:w="3402" w:type="dxa"/>
            <w:tcBorders>
              <w:top w:val="nil"/>
              <w:left w:val="nil"/>
              <w:bottom w:val="nil"/>
              <w:right w:val="nil"/>
            </w:tcBorders>
          </w:tcPr>
          <w:p w14:paraId="0652FFAE">
            <w:pPr>
              <w:spacing w:before="20" w:after="20"/>
              <w:jc w:val="center"/>
              <w:rPr>
                <w:rFonts w:ascii="Times New Roman" w:hAnsi="Times New Roman"/>
                <w:sz w:val="21"/>
              </w:rPr>
            </w:pPr>
          </w:p>
        </w:tc>
      </w:tr>
      <w:tr w14:paraId="2AAD7DB8">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5383E99F">
            <w:pPr>
              <w:spacing w:before="20" w:after="20"/>
              <w:jc w:val="left"/>
              <w:rPr>
                <w:rFonts w:ascii="Times New Roman" w:hAnsi="Times New Roman"/>
                <w:sz w:val="21"/>
              </w:rPr>
            </w:pPr>
            <w:r>
              <w:rPr>
                <w:rFonts w:ascii="Times New Roman" w:hAnsi="Times New Roman" w:eastAsia="宋体"/>
                <w:b w:val="0"/>
                <w:sz w:val="21"/>
              </w:rPr>
              <w:t>4</w:t>
            </w:r>
          </w:p>
        </w:tc>
        <w:tc>
          <w:tcPr>
            <w:tcW w:w="5669" w:type="dxa"/>
            <w:tcBorders>
              <w:top w:val="nil"/>
              <w:left w:val="nil"/>
              <w:bottom w:val="nil"/>
              <w:right w:val="nil"/>
            </w:tcBorders>
          </w:tcPr>
          <w:p w14:paraId="3B38D753">
            <w:pPr>
              <w:spacing w:before="20" w:after="20"/>
              <w:jc w:val="center"/>
              <w:rPr>
                <w:rFonts w:ascii="Times New Roman" w:hAnsi="Times New Roman"/>
                <w:sz w:val="21"/>
              </w:rPr>
            </w:pPr>
            <w:r>
              <w:rPr>
                <w:rFonts w:ascii="Times New Roman" w:hAnsi="Times New Roman" w:eastAsia="宋体"/>
                <w:b w:val="0"/>
                <w:sz w:val="21"/>
              </w:rPr>
              <w:t>Study design: present key elements of study design early in the paper</w:t>
            </w:r>
          </w:p>
        </w:tc>
        <w:tc>
          <w:tcPr>
            <w:tcW w:w="3402" w:type="dxa"/>
            <w:tcBorders>
              <w:top w:val="nil"/>
              <w:left w:val="nil"/>
              <w:bottom w:val="nil"/>
              <w:right w:val="nil"/>
            </w:tcBorders>
          </w:tcPr>
          <w:p w14:paraId="2F290BDC">
            <w:pPr>
              <w:spacing w:before="20" w:after="20"/>
              <w:jc w:val="center"/>
              <w:rPr>
                <w:rFonts w:ascii="Times New Roman" w:hAnsi="Times New Roman"/>
                <w:sz w:val="21"/>
              </w:rPr>
            </w:pPr>
            <w:r>
              <w:rPr>
                <w:rFonts w:ascii="Times New Roman" w:hAnsi="Times New Roman"/>
                <w:sz w:val="21"/>
              </w:rPr>
              <w:t>Methods, 'Data source and study design'</w:t>
            </w:r>
          </w:p>
        </w:tc>
      </w:tr>
      <w:tr w14:paraId="3CA23D4D">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447C1A08">
            <w:pPr>
              <w:spacing w:before="20" w:after="20"/>
              <w:jc w:val="left"/>
              <w:rPr>
                <w:rFonts w:ascii="Times New Roman" w:hAnsi="Times New Roman"/>
                <w:sz w:val="21"/>
              </w:rPr>
            </w:pPr>
            <w:r>
              <w:rPr>
                <w:rFonts w:ascii="Times New Roman" w:hAnsi="Times New Roman" w:eastAsia="宋体"/>
                <w:b w:val="0"/>
                <w:sz w:val="21"/>
              </w:rPr>
              <w:t>5</w:t>
            </w:r>
          </w:p>
        </w:tc>
        <w:tc>
          <w:tcPr>
            <w:tcW w:w="5669" w:type="dxa"/>
            <w:tcBorders>
              <w:top w:val="nil"/>
              <w:left w:val="nil"/>
              <w:bottom w:val="nil"/>
              <w:right w:val="nil"/>
            </w:tcBorders>
          </w:tcPr>
          <w:p w14:paraId="0D619E71">
            <w:pPr>
              <w:spacing w:before="20" w:after="20"/>
              <w:jc w:val="center"/>
              <w:rPr>
                <w:rFonts w:ascii="Times New Roman" w:hAnsi="Times New Roman"/>
                <w:sz w:val="21"/>
              </w:rPr>
            </w:pPr>
            <w:r>
              <w:rPr>
                <w:rFonts w:ascii="Times New Roman" w:hAnsi="Times New Roman" w:eastAsia="宋体"/>
                <w:b w:val="0"/>
                <w:sz w:val="21"/>
              </w:rPr>
              <w:t>Setting: describe the setting, locations, and relevant dates, including periods of recruitment, exposure, follow-up, and data collection</w:t>
            </w:r>
          </w:p>
        </w:tc>
        <w:tc>
          <w:tcPr>
            <w:tcW w:w="3402" w:type="dxa"/>
            <w:tcBorders>
              <w:top w:val="nil"/>
              <w:left w:val="nil"/>
              <w:bottom w:val="nil"/>
              <w:right w:val="nil"/>
            </w:tcBorders>
          </w:tcPr>
          <w:p w14:paraId="7D6C794D">
            <w:pPr>
              <w:spacing w:before="20" w:after="20"/>
              <w:jc w:val="center"/>
              <w:rPr>
                <w:rFonts w:ascii="Times New Roman" w:hAnsi="Times New Roman"/>
                <w:sz w:val="21"/>
              </w:rPr>
            </w:pPr>
            <w:r>
              <w:rPr>
                <w:rFonts w:ascii="Times New Roman" w:hAnsi="Times New Roman"/>
                <w:sz w:val="21"/>
              </w:rPr>
              <w:t>Methods, 'Data source and study design' (NHATS Rounds 1–14, 2011–2024)</w:t>
            </w:r>
          </w:p>
        </w:tc>
      </w:tr>
      <w:tr w14:paraId="7393A576">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02903107">
            <w:pPr>
              <w:spacing w:before="20" w:after="20"/>
              <w:jc w:val="left"/>
              <w:rPr>
                <w:rFonts w:ascii="Times New Roman" w:hAnsi="Times New Roman"/>
                <w:sz w:val="21"/>
              </w:rPr>
            </w:pPr>
            <w:r>
              <w:rPr>
                <w:rFonts w:ascii="Times New Roman" w:hAnsi="Times New Roman" w:eastAsia="宋体"/>
                <w:b w:val="0"/>
                <w:sz w:val="21"/>
              </w:rPr>
              <w:t>6</w:t>
            </w:r>
          </w:p>
        </w:tc>
        <w:tc>
          <w:tcPr>
            <w:tcW w:w="5669" w:type="dxa"/>
            <w:tcBorders>
              <w:top w:val="nil"/>
              <w:left w:val="nil"/>
              <w:bottom w:val="nil"/>
              <w:right w:val="nil"/>
            </w:tcBorders>
          </w:tcPr>
          <w:p w14:paraId="5EEA91A4">
            <w:pPr>
              <w:spacing w:before="20" w:after="20"/>
              <w:jc w:val="center"/>
              <w:rPr>
                <w:rFonts w:ascii="Times New Roman" w:hAnsi="Times New Roman"/>
                <w:sz w:val="21"/>
              </w:rPr>
            </w:pPr>
            <w:r>
              <w:rPr>
                <w:rFonts w:ascii="Times New Roman" w:hAnsi="Times New Roman" w:eastAsia="宋体"/>
                <w:b w:val="0"/>
                <w:sz w:val="21"/>
              </w:rPr>
              <w:t>(a) Participants: give the eligibility criteria, and the sources and methods of selection of participants. Describe methods of follow-up</w:t>
            </w:r>
          </w:p>
        </w:tc>
        <w:tc>
          <w:tcPr>
            <w:tcW w:w="3402" w:type="dxa"/>
            <w:tcBorders>
              <w:top w:val="nil"/>
              <w:left w:val="nil"/>
              <w:bottom w:val="nil"/>
              <w:right w:val="nil"/>
            </w:tcBorders>
          </w:tcPr>
          <w:p w14:paraId="09DD0CAC">
            <w:pPr>
              <w:spacing w:before="20" w:after="20"/>
              <w:jc w:val="center"/>
              <w:rPr>
                <w:rFonts w:ascii="Times New Roman" w:hAnsi="Times New Roman"/>
                <w:sz w:val="21"/>
              </w:rPr>
            </w:pPr>
            <w:r>
              <w:rPr>
                <w:rFonts w:ascii="Times New Roman" w:hAnsi="Times New Roman" w:eastAsia="宋体"/>
                <w:b w:val="0"/>
                <w:sz w:val="21"/>
              </w:rPr>
              <w:t>Methods, 'Study population'; Figure 1</w:t>
            </w:r>
          </w:p>
        </w:tc>
      </w:tr>
      <w:tr w14:paraId="212EB0D0">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657D4ACF">
            <w:pPr>
              <w:spacing w:before="20" w:after="20"/>
              <w:jc w:val="left"/>
              <w:rPr>
                <w:rFonts w:ascii="Times New Roman" w:hAnsi="Times New Roman"/>
                <w:sz w:val="21"/>
              </w:rPr>
            </w:pPr>
          </w:p>
        </w:tc>
        <w:tc>
          <w:tcPr>
            <w:tcW w:w="5669" w:type="dxa"/>
            <w:tcBorders>
              <w:top w:val="nil"/>
              <w:left w:val="nil"/>
              <w:bottom w:val="nil"/>
              <w:right w:val="nil"/>
            </w:tcBorders>
          </w:tcPr>
          <w:p w14:paraId="3366E7D4">
            <w:pPr>
              <w:spacing w:before="20" w:after="20"/>
              <w:jc w:val="center"/>
              <w:rPr>
                <w:rFonts w:ascii="Times New Roman" w:hAnsi="Times New Roman"/>
                <w:sz w:val="21"/>
              </w:rPr>
            </w:pPr>
            <w:r>
              <w:rPr>
                <w:rFonts w:ascii="Times New Roman" w:hAnsi="Times New Roman" w:eastAsia="宋体"/>
                <w:b w:val="0"/>
                <w:sz w:val="21"/>
              </w:rPr>
              <w:t>(b) For matched studies, give matching criteria and number of exposed and unexposed</w:t>
            </w:r>
          </w:p>
        </w:tc>
        <w:tc>
          <w:tcPr>
            <w:tcW w:w="3402" w:type="dxa"/>
            <w:tcBorders>
              <w:top w:val="nil"/>
              <w:left w:val="nil"/>
              <w:bottom w:val="nil"/>
              <w:right w:val="nil"/>
            </w:tcBorders>
          </w:tcPr>
          <w:p w14:paraId="7E05DB5D">
            <w:pPr>
              <w:spacing w:before="20" w:after="20"/>
              <w:jc w:val="center"/>
              <w:rPr>
                <w:rFonts w:ascii="Times New Roman" w:hAnsi="Times New Roman"/>
                <w:sz w:val="21"/>
              </w:rPr>
            </w:pPr>
            <w:r>
              <w:rPr>
                <w:rFonts w:ascii="Times New Roman" w:hAnsi="Times New Roman" w:eastAsia="宋体"/>
                <w:b w:val="0"/>
                <w:sz w:val="21"/>
              </w:rPr>
              <w:t>Not applicable</w:t>
            </w:r>
          </w:p>
        </w:tc>
      </w:tr>
      <w:tr w14:paraId="5E528919">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988E6F1">
            <w:pPr>
              <w:spacing w:before="20" w:after="20"/>
              <w:jc w:val="left"/>
              <w:rPr>
                <w:rFonts w:ascii="Times New Roman" w:hAnsi="Times New Roman"/>
                <w:sz w:val="21"/>
              </w:rPr>
            </w:pPr>
            <w:r>
              <w:rPr>
                <w:rFonts w:ascii="Times New Roman" w:hAnsi="Times New Roman" w:eastAsia="宋体"/>
                <w:b w:val="0"/>
                <w:sz w:val="21"/>
              </w:rPr>
              <w:t>7</w:t>
            </w:r>
          </w:p>
        </w:tc>
        <w:tc>
          <w:tcPr>
            <w:tcW w:w="5669" w:type="dxa"/>
            <w:tcBorders>
              <w:top w:val="nil"/>
              <w:left w:val="nil"/>
              <w:bottom w:val="nil"/>
              <w:right w:val="nil"/>
            </w:tcBorders>
          </w:tcPr>
          <w:p w14:paraId="6185E9E5">
            <w:pPr>
              <w:spacing w:before="20" w:after="20"/>
              <w:jc w:val="center"/>
              <w:rPr>
                <w:rFonts w:ascii="Times New Roman" w:hAnsi="Times New Roman"/>
                <w:sz w:val="21"/>
              </w:rPr>
            </w:pPr>
            <w:r>
              <w:rPr>
                <w:rFonts w:ascii="Times New Roman" w:hAnsi="Times New Roman" w:eastAsia="宋体"/>
                <w:b w:val="0"/>
                <w:sz w:val="21"/>
              </w:rPr>
              <w:t>Variables: clearly define all outcomes, exposures, predictors, potential confounders, and effect modifiers. Give diagnostic criteria, if applicable</w:t>
            </w:r>
          </w:p>
        </w:tc>
        <w:tc>
          <w:tcPr>
            <w:tcW w:w="3402" w:type="dxa"/>
            <w:tcBorders>
              <w:top w:val="nil"/>
              <w:left w:val="nil"/>
              <w:bottom w:val="nil"/>
              <w:right w:val="nil"/>
            </w:tcBorders>
          </w:tcPr>
          <w:p w14:paraId="2AF2F21F">
            <w:pPr>
              <w:spacing w:before="20" w:after="20"/>
              <w:jc w:val="center"/>
              <w:rPr>
                <w:rFonts w:ascii="Times New Roman" w:hAnsi="Times New Roman"/>
                <w:sz w:val="21"/>
              </w:rPr>
            </w:pPr>
            <w:r>
              <w:rPr>
                <w:rFonts w:ascii="Times New Roman" w:hAnsi="Times New Roman"/>
                <w:sz w:val="21"/>
              </w:rPr>
              <w:t>Methods, 'Exposure and outcome', 'Covariates'; Supplementary Figure S1 (DAG)</w:t>
            </w:r>
          </w:p>
        </w:tc>
      </w:tr>
      <w:tr w14:paraId="798AAA8C">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76E1B73C">
            <w:pPr>
              <w:spacing w:before="20" w:after="20"/>
              <w:jc w:val="left"/>
              <w:rPr>
                <w:rFonts w:ascii="Times New Roman" w:hAnsi="Times New Roman"/>
                <w:sz w:val="21"/>
              </w:rPr>
            </w:pPr>
            <w:r>
              <w:rPr>
                <w:rFonts w:ascii="Times New Roman" w:hAnsi="Times New Roman" w:eastAsia="宋体"/>
                <w:b w:val="0"/>
                <w:sz w:val="21"/>
              </w:rPr>
              <w:t>8</w:t>
            </w:r>
          </w:p>
        </w:tc>
        <w:tc>
          <w:tcPr>
            <w:tcW w:w="5669" w:type="dxa"/>
            <w:tcBorders>
              <w:top w:val="nil"/>
              <w:left w:val="nil"/>
              <w:bottom w:val="nil"/>
              <w:right w:val="nil"/>
            </w:tcBorders>
          </w:tcPr>
          <w:p w14:paraId="4FC59E6F">
            <w:pPr>
              <w:spacing w:before="20" w:after="20"/>
              <w:jc w:val="center"/>
              <w:rPr>
                <w:rFonts w:ascii="Times New Roman" w:hAnsi="Times New Roman"/>
                <w:sz w:val="21"/>
              </w:rPr>
            </w:pPr>
            <w:r>
              <w:rPr>
                <w:rFonts w:ascii="Times New Roman" w:hAnsi="Times New Roman" w:eastAsia="宋体"/>
                <w:b w:val="0"/>
                <w:sz w:val="21"/>
              </w:rPr>
              <w:t>Data sources/measurement: for each variable of interest, give sources of data and details of methods of assessment. Describe comparability of assessment methods if there is more than one group</w:t>
            </w:r>
          </w:p>
        </w:tc>
        <w:tc>
          <w:tcPr>
            <w:tcW w:w="3402" w:type="dxa"/>
            <w:tcBorders>
              <w:top w:val="nil"/>
              <w:left w:val="nil"/>
              <w:bottom w:val="nil"/>
              <w:right w:val="nil"/>
            </w:tcBorders>
          </w:tcPr>
          <w:p w14:paraId="5B02262C">
            <w:pPr>
              <w:spacing w:before="20" w:after="20"/>
              <w:jc w:val="center"/>
              <w:rPr>
                <w:rFonts w:ascii="Times New Roman" w:hAnsi="Times New Roman"/>
                <w:sz w:val="21"/>
              </w:rPr>
            </w:pPr>
            <w:r>
              <w:rPr>
                <w:rFonts w:ascii="Times New Roman" w:hAnsi="Times New Roman"/>
                <w:sz w:val="21"/>
              </w:rPr>
              <w:t>Methods, 'Exposure and outcome', 'Covariates'. Both exposure and outcome are self-reported and were ascertained identically in both groups.</w:t>
            </w:r>
          </w:p>
        </w:tc>
      </w:tr>
      <w:tr w14:paraId="35B9F83C">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31179114">
            <w:pPr>
              <w:spacing w:before="20" w:after="20"/>
              <w:jc w:val="left"/>
              <w:rPr>
                <w:rFonts w:ascii="Times New Roman" w:hAnsi="Times New Roman"/>
                <w:sz w:val="21"/>
              </w:rPr>
            </w:pPr>
            <w:r>
              <w:rPr>
                <w:rFonts w:ascii="Times New Roman" w:hAnsi="Times New Roman" w:eastAsia="宋体"/>
                <w:b w:val="0"/>
                <w:sz w:val="21"/>
              </w:rPr>
              <w:t>9</w:t>
            </w:r>
          </w:p>
        </w:tc>
        <w:tc>
          <w:tcPr>
            <w:tcW w:w="5669" w:type="dxa"/>
            <w:tcBorders>
              <w:top w:val="nil"/>
              <w:left w:val="nil"/>
              <w:bottom w:val="nil"/>
              <w:right w:val="nil"/>
            </w:tcBorders>
          </w:tcPr>
          <w:p w14:paraId="1E23CCE2">
            <w:pPr>
              <w:spacing w:before="20" w:after="20"/>
              <w:jc w:val="center"/>
              <w:rPr>
                <w:rFonts w:ascii="Times New Roman" w:hAnsi="Times New Roman"/>
                <w:sz w:val="21"/>
              </w:rPr>
            </w:pPr>
            <w:r>
              <w:rPr>
                <w:rFonts w:ascii="Times New Roman" w:hAnsi="Times New Roman" w:eastAsia="宋体"/>
                <w:b w:val="0"/>
                <w:sz w:val="21"/>
              </w:rPr>
              <w:t>Bias: describe any efforts to address potential sources of bias</w:t>
            </w:r>
          </w:p>
        </w:tc>
        <w:tc>
          <w:tcPr>
            <w:tcW w:w="3402" w:type="dxa"/>
            <w:tcBorders>
              <w:top w:val="nil"/>
              <w:left w:val="nil"/>
              <w:bottom w:val="nil"/>
              <w:right w:val="nil"/>
            </w:tcBorders>
          </w:tcPr>
          <w:p w14:paraId="4C793F84">
            <w:pPr>
              <w:spacing w:before="20" w:after="20"/>
              <w:jc w:val="center"/>
              <w:rPr>
                <w:rFonts w:ascii="Times New Roman" w:hAnsi="Times New Roman"/>
                <w:sz w:val="21"/>
              </w:rPr>
            </w:pPr>
            <w:r>
              <w:rPr>
                <w:rFonts w:ascii="Times New Roman" w:hAnsi="Times New Roman"/>
                <w:sz w:val="21"/>
              </w:rPr>
              <w:t>Methods, 'Statistical analysis' (DAG-based confounder selection, IPTW, latency analyses, E-value); Discussion, 'Strengths and limitations'</w:t>
            </w:r>
          </w:p>
        </w:tc>
      </w:tr>
      <w:tr w14:paraId="4CA05783">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02C06314">
            <w:pPr>
              <w:spacing w:before="20" w:after="20"/>
              <w:jc w:val="left"/>
              <w:rPr>
                <w:rFonts w:ascii="Times New Roman" w:hAnsi="Times New Roman"/>
                <w:sz w:val="21"/>
              </w:rPr>
            </w:pPr>
            <w:r>
              <w:rPr>
                <w:rFonts w:ascii="Times New Roman" w:hAnsi="Times New Roman" w:eastAsia="宋体"/>
                <w:b w:val="0"/>
                <w:sz w:val="21"/>
              </w:rPr>
              <w:t>10</w:t>
            </w:r>
          </w:p>
        </w:tc>
        <w:tc>
          <w:tcPr>
            <w:tcW w:w="5669" w:type="dxa"/>
            <w:tcBorders>
              <w:top w:val="nil"/>
              <w:left w:val="nil"/>
              <w:bottom w:val="nil"/>
              <w:right w:val="nil"/>
            </w:tcBorders>
          </w:tcPr>
          <w:p w14:paraId="40B18C0E">
            <w:pPr>
              <w:spacing w:before="20" w:after="20"/>
              <w:jc w:val="center"/>
              <w:rPr>
                <w:rFonts w:ascii="Times New Roman" w:hAnsi="Times New Roman"/>
                <w:sz w:val="21"/>
              </w:rPr>
            </w:pPr>
            <w:r>
              <w:rPr>
                <w:rFonts w:ascii="Times New Roman" w:hAnsi="Times New Roman" w:eastAsia="宋体"/>
                <w:b w:val="0"/>
                <w:sz w:val="21"/>
              </w:rPr>
              <w:t>Study size: explain how the study size was arrived at</w:t>
            </w:r>
          </w:p>
        </w:tc>
        <w:tc>
          <w:tcPr>
            <w:tcW w:w="3402" w:type="dxa"/>
            <w:tcBorders>
              <w:top w:val="nil"/>
              <w:left w:val="nil"/>
              <w:bottom w:val="nil"/>
              <w:right w:val="nil"/>
            </w:tcBorders>
          </w:tcPr>
          <w:p w14:paraId="092C30D2">
            <w:pPr>
              <w:spacing w:before="20" w:after="20"/>
              <w:jc w:val="center"/>
              <w:rPr>
                <w:rFonts w:ascii="Times New Roman" w:hAnsi="Times New Roman"/>
                <w:sz w:val="21"/>
              </w:rPr>
            </w:pPr>
            <w:r>
              <w:rPr>
                <w:rFonts w:ascii="Times New Roman" w:hAnsi="Times New Roman"/>
                <w:sz w:val="21"/>
              </w:rPr>
              <w:t>Results, para 1; Figure 1. The study size was determined by the number of eligible NHATS participants; no a priori sample size calculation was performed.</w:t>
            </w:r>
          </w:p>
        </w:tc>
      </w:tr>
      <w:tr w14:paraId="04BDA8B2">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43A4B814">
            <w:pPr>
              <w:spacing w:before="20" w:after="20"/>
              <w:jc w:val="left"/>
              <w:rPr>
                <w:rFonts w:ascii="Times New Roman" w:hAnsi="Times New Roman"/>
                <w:sz w:val="21"/>
              </w:rPr>
            </w:pPr>
            <w:r>
              <w:rPr>
                <w:rFonts w:ascii="Times New Roman" w:hAnsi="Times New Roman" w:eastAsia="宋体"/>
                <w:b w:val="0"/>
                <w:sz w:val="21"/>
              </w:rPr>
              <w:t>11</w:t>
            </w:r>
          </w:p>
        </w:tc>
        <w:tc>
          <w:tcPr>
            <w:tcW w:w="5669" w:type="dxa"/>
            <w:tcBorders>
              <w:top w:val="nil"/>
              <w:left w:val="nil"/>
              <w:bottom w:val="nil"/>
              <w:right w:val="nil"/>
            </w:tcBorders>
          </w:tcPr>
          <w:p w14:paraId="722C097C">
            <w:pPr>
              <w:spacing w:before="20" w:after="20"/>
              <w:jc w:val="center"/>
              <w:rPr>
                <w:rFonts w:ascii="Times New Roman" w:hAnsi="Times New Roman"/>
                <w:sz w:val="21"/>
              </w:rPr>
            </w:pPr>
            <w:r>
              <w:rPr>
                <w:rFonts w:ascii="Times New Roman" w:hAnsi="Times New Roman" w:eastAsia="宋体"/>
                <w:b w:val="0"/>
                <w:sz w:val="21"/>
              </w:rPr>
              <w:t>Quantitative variables: explain how quantitative variables were handled in the analyses. If applicable, describe which groupings were chosen and why</w:t>
            </w:r>
          </w:p>
        </w:tc>
        <w:tc>
          <w:tcPr>
            <w:tcW w:w="3402" w:type="dxa"/>
            <w:tcBorders>
              <w:top w:val="nil"/>
              <w:left w:val="nil"/>
              <w:bottom w:val="nil"/>
              <w:right w:val="nil"/>
            </w:tcBorders>
          </w:tcPr>
          <w:p w14:paraId="60017696">
            <w:pPr>
              <w:spacing w:before="20" w:after="20"/>
              <w:jc w:val="center"/>
              <w:rPr>
                <w:rFonts w:ascii="Times New Roman" w:hAnsi="Times New Roman"/>
                <w:sz w:val="21"/>
              </w:rPr>
            </w:pPr>
            <w:r>
              <w:rPr>
                <w:rFonts w:ascii="Times New Roman" w:hAnsi="Times New Roman"/>
                <w:sz w:val="21"/>
              </w:rPr>
              <w:t>Methods, 'Covariates' and 'Statistical analysis'. Age is available only in 5-year categories in the NHATS public-use files and was modelled as ordinal; household income was modelled in quartiles; race or ethnicity was modelled as a categorical variable with non-Hispanic White as the reference.</w:t>
            </w:r>
          </w:p>
        </w:tc>
      </w:tr>
      <w:tr w14:paraId="6419741B">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3C90436">
            <w:pPr>
              <w:spacing w:before="20" w:after="20"/>
              <w:jc w:val="left"/>
              <w:rPr>
                <w:rFonts w:ascii="Times New Roman" w:hAnsi="Times New Roman"/>
                <w:sz w:val="21"/>
              </w:rPr>
            </w:pPr>
            <w:r>
              <w:rPr>
                <w:rFonts w:ascii="Times New Roman" w:hAnsi="Times New Roman" w:eastAsia="宋体"/>
                <w:b w:val="0"/>
                <w:sz w:val="21"/>
              </w:rPr>
              <w:t>12</w:t>
            </w:r>
          </w:p>
        </w:tc>
        <w:tc>
          <w:tcPr>
            <w:tcW w:w="5669" w:type="dxa"/>
            <w:tcBorders>
              <w:top w:val="nil"/>
              <w:left w:val="nil"/>
              <w:bottom w:val="nil"/>
              <w:right w:val="nil"/>
            </w:tcBorders>
          </w:tcPr>
          <w:p w14:paraId="5A244888">
            <w:pPr>
              <w:spacing w:before="20" w:after="20"/>
              <w:jc w:val="center"/>
              <w:rPr>
                <w:rFonts w:ascii="Times New Roman" w:hAnsi="Times New Roman"/>
                <w:sz w:val="21"/>
              </w:rPr>
            </w:pPr>
            <w:r>
              <w:rPr>
                <w:rFonts w:ascii="Times New Roman" w:hAnsi="Times New Roman" w:eastAsia="宋体"/>
                <w:b w:val="0"/>
                <w:sz w:val="21"/>
              </w:rPr>
              <w:t>(a) Statistical methods: describe all statistical methods, including those used to control for confounding</w:t>
            </w:r>
          </w:p>
        </w:tc>
        <w:tc>
          <w:tcPr>
            <w:tcW w:w="3402" w:type="dxa"/>
            <w:tcBorders>
              <w:top w:val="nil"/>
              <w:left w:val="nil"/>
              <w:bottom w:val="nil"/>
              <w:right w:val="nil"/>
            </w:tcBorders>
          </w:tcPr>
          <w:p w14:paraId="43F42040">
            <w:pPr>
              <w:spacing w:before="20" w:after="20"/>
              <w:jc w:val="center"/>
              <w:rPr>
                <w:rFonts w:ascii="Times New Roman" w:hAnsi="Times New Roman"/>
                <w:sz w:val="21"/>
              </w:rPr>
            </w:pPr>
            <w:r>
              <w:rPr>
                <w:rFonts w:ascii="Times New Roman" w:hAnsi="Times New Roman" w:eastAsia="宋体"/>
                <w:b w:val="0"/>
                <w:sz w:val="21"/>
              </w:rPr>
              <w:t>Methods, 'Statistical analysis'</w:t>
            </w:r>
          </w:p>
        </w:tc>
      </w:tr>
      <w:tr w14:paraId="797A9904">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1313EA28">
            <w:pPr>
              <w:spacing w:before="20" w:after="20"/>
              <w:jc w:val="left"/>
              <w:rPr>
                <w:rFonts w:ascii="Times New Roman" w:hAnsi="Times New Roman"/>
                <w:sz w:val="21"/>
              </w:rPr>
            </w:pPr>
          </w:p>
        </w:tc>
        <w:tc>
          <w:tcPr>
            <w:tcW w:w="5669" w:type="dxa"/>
            <w:tcBorders>
              <w:top w:val="nil"/>
              <w:left w:val="nil"/>
              <w:bottom w:val="nil"/>
              <w:right w:val="nil"/>
            </w:tcBorders>
          </w:tcPr>
          <w:p w14:paraId="11918FB2">
            <w:pPr>
              <w:spacing w:before="20" w:after="20"/>
              <w:jc w:val="center"/>
              <w:rPr>
                <w:rFonts w:ascii="Times New Roman" w:hAnsi="Times New Roman"/>
                <w:sz w:val="21"/>
              </w:rPr>
            </w:pPr>
            <w:r>
              <w:rPr>
                <w:rFonts w:ascii="Times New Roman" w:hAnsi="Times New Roman" w:eastAsia="宋体"/>
                <w:b w:val="0"/>
                <w:sz w:val="21"/>
              </w:rPr>
              <w:t>(b) Describe any methods used to examine subgroups and interactions</w:t>
            </w:r>
          </w:p>
        </w:tc>
        <w:tc>
          <w:tcPr>
            <w:tcW w:w="3402" w:type="dxa"/>
            <w:tcBorders>
              <w:top w:val="nil"/>
              <w:left w:val="nil"/>
              <w:bottom w:val="nil"/>
              <w:right w:val="nil"/>
            </w:tcBorders>
          </w:tcPr>
          <w:p w14:paraId="31EEFB87">
            <w:pPr>
              <w:spacing w:before="20" w:after="20"/>
              <w:jc w:val="center"/>
              <w:rPr>
                <w:rFonts w:ascii="Times New Roman" w:hAnsi="Times New Roman"/>
                <w:sz w:val="21"/>
              </w:rPr>
            </w:pPr>
            <w:r>
              <w:rPr>
                <w:rFonts w:ascii="Times New Roman" w:hAnsi="Times New Roman" w:eastAsia="宋体"/>
                <w:b w:val="0"/>
                <w:sz w:val="21"/>
              </w:rPr>
              <w:t>Methods, 'Statistical analysis'. Subgroup analyses were exploratory; interactions were tested by likelihood ratio tests without correction for multiplicity.</w:t>
            </w:r>
          </w:p>
        </w:tc>
      </w:tr>
      <w:tr w14:paraId="48953569">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42224F9">
            <w:pPr>
              <w:spacing w:before="20" w:after="20"/>
              <w:jc w:val="left"/>
              <w:rPr>
                <w:rFonts w:ascii="Times New Roman" w:hAnsi="Times New Roman"/>
                <w:sz w:val="21"/>
              </w:rPr>
            </w:pPr>
          </w:p>
        </w:tc>
        <w:tc>
          <w:tcPr>
            <w:tcW w:w="5669" w:type="dxa"/>
            <w:tcBorders>
              <w:top w:val="nil"/>
              <w:left w:val="nil"/>
              <w:bottom w:val="nil"/>
              <w:right w:val="nil"/>
            </w:tcBorders>
          </w:tcPr>
          <w:p w14:paraId="52F57C43">
            <w:pPr>
              <w:spacing w:before="20" w:after="20"/>
              <w:jc w:val="center"/>
              <w:rPr>
                <w:rFonts w:ascii="Times New Roman" w:hAnsi="Times New Roman"/>
                <w:sz w:val="21"/>
              </w:rPr>
            </w:pPr>
            <w:r>
              <w:rPr>
                <w:rFonts w:ascii="Times New Roman" w:hAnsi="Times New Roman" w:eastAsia="宋体"/>
                <w:b w:val="0"/>
                <w:sz w:val="21"/>
              </w:rPr>
              <w:t>(c) Explain how missing data were addressed</w:t>
            </w:r>
          </w:p>
        </w:tc>
        <w:tc>
          <w:tcPr>
            <w:tcW w:w="3402" w:type="dxa"/>
            <w:tcBorders>
              <w:top w:val="nil"/>
              <w:left w:val="nil"/>
              <w:bottom w:val="nil"/>
              <w:right w:val="nil"/>
            </w:tcBorders>
          </w:tcPr>
          <w:p w14:paraId="03617926">
            <w:pPr>
              <w:spacing w:before="20" w:after="20"/>
              <w:jc w:val="center"/>
              <w:rPr>
                <w:rFonts w:ascii="Times New Roman" w:hAnsi="Times New Roman"/>
                <w:sz w:val="21"/>
              </w:rPr>
            </w:pPr>
            <w:r>
              <w:rPr>
                <w:rFonts w:ascii="Times New Roman" w:hAnsi="Times New Roman"/>
                <w:sz w:val="21"/>
              </w:rPr>
              <w:t>Methods, 'Statistical analysis'. Complete-case analysis for the primary model, using the first of the five NHATS-released household-income imputations; all five were pooled by Rubin's rules in a sensitivity analysis (Supplementary Table S1). Numbers with missing data are given in a footnote to Table 1.</w:t>
            </w:r>
          </w:p>
        </w:tc>
      </w:tr>
      <w:tr w14:paraId="43F93CCA">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47C16B41">
            <w:pPr>
              <w:spacing w:before="20" w:after="20"/>
              <w:jc w:val="left"/>
              <w:rPr>
                <w:rFonts w:ascii="Times New Roman" w:hAnsi="Times New Roman"/>
                <w:sz w:val="21"/>
              </w:rPr>
            </w:pPr>
          </w:p>
        </w:tc>
        <w:tc>
          <w:tcPr>
            <w:tcW w:w="5669" w:type="dxa"/>
            <w:tcBorders>
              <w:top w:val="nil"/>
              <w:left w:val="nil"/>
              <w:bottom w:val="nil"/>
              <w:right w:val="nil"/>
            </w:tcBorders>
          </w:tcPr>
          <w:p w14:paraId="0475DC9A">
            <w:pPr>
              <w:spacing w:before="20" w:after="20"/>
              <w:jc w:val="center"/>
              <w:rPr>
                <w:rFonts w:ascii="Times New Roman" w:hAnsi="Times New Roman"/>
                <w:sz w:val="21"/>
              </w:rPr>
            </w:pPr>
            <w:r>
              <w:rPr>
                <w:rFonts w:ascii="Times New Roman" w:hAnsi="Times New Roman" w:eastAsia="宋体"/>
                <w:b w:val="0"/>
                <w:sz w:val="21"/>
              </w:rPr>
              <w:t>(d) If applicable, explain how loss to follow-up was addressed</w:t>
            </w:r>
          </w:p>
        </w:tc>
        <w:tc>
          <w:tcPr>
            <w:tcW w:w="3402" w:type="dxa"/>
            <w:tcBorders>
              <w:top w:val="nil"/>
              <w:left w:val="nil"/>
              <w:bottom w:val="nil"/>
              <w:right w:val="nil"/>
            </w:tcBorders>
          </w:tcPr>
          <w:p w14:paraId="3CD7298E">
            <w:pPr>
              <w:spacing w:before="20" w:after="20"/>
              <w:jc w:val="center"/>
              <w:rPr>
                <w:rFonts w:ascii="Times New Roman" w:hAnsi="Times New Roman"/>
                <w:sz w:val="21"/>
              </w:rPr>
            </w:pPr>
            <w:r>
              <w:rPr>
                <w:rFonts w:ascii="Times New Roman" w:hAnsi="Times New Roman"/>
                <w:sz w:val="21"/>
              </w:rPr>
              <w:t>Methods, 'Exposure and outcome'. Participants were censored at their last completed interview. Participants with no follow-up interview were excluded (Figure 1).</w:t>
            </w:r>
          </w:p>
        </w:tc>
      </w:tr>
      <w:tr w14:paraId="67505609">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7A6260B4">
            <w:pPr>
              <w:spacing w:before="20" w:after="20"/>
              <w:jc w:val="left"/>
              <w:rPr>
                <w:rFonts w:ascii="Times New Roman" w:hAnsi="Times New Roman"/>
                <w:sz w:val="21"/>
              </w:rPr>
            </w:pPr>
          </w:p>
        </w:tc>
        <w:tc>
          <w:tcPr>
            <w:tcW w:w="5669" w:type="dxa"/>
            <w:tcBorders>
              <w:top w:val="nil"/>
              <w:left w:val="nil"/>
              <w:bottom w:val="nil"/>
              <w:right w:val="nil"/>
            </w:tcBorders>
          </w:tcPr>
          <w:p w14:paraId="4951E833">
            <w:pPr>
              <w:spacing w:before="20" w:after="20"/>
              <w:jc w:val="center"/>
              <w:rPr>
                <w:rFonts w:ascii="Times New Roman" w:hAnsi="Times New Roman"/>
                <w:sz w:val="21"/>
              </w:rPr>
            </w:pPr>
            <w:r>
              <w:rPr>
                <w:rFonts w:ascii="Times New Roman" w:hAnsi="Times New Roman" w:eastAsia="宋体"/>
                <w:b w:val="0"/>
                <w:sz w:val="21"/>
              </w:rPr>
              <w:t>(e) Describe any sensitivity analyses</w:t>
            </w:r>
          </w:p>
        </w:tc>
        <w:tc>
          <w:tcPr>
            <w:tcW w:w="3402" w:type="dxa"/>
            <w:tcBorders>
              <w:top w:val="nil"/>
              <w:left w:val="nil"/>
              <w:bottom w:val="nil"/>
              <w:right w:val="nil"/>
            </w:tcBorders>
          </w:tcPr>
          <w:p w14:paraId="5F1AD868">
            <w:pPr>
              <w:spacing w:before="20" w:after="20"/>
              <w:jc w:val="center"/>
              <w:rPr>
                <w:rFonts w:ascii="Times New Roman" w:hAnsi="Times New Roman"/>
                <w:sz w:val="21"/>
              </w:rPr>
            </w:pPr>
            <w:r>
              <w:rPr>
                <w:rFonts w:ascii="Times New Roman" w:hAnsi="Times New Roman"/>
                <w:sz w:val="21"/>
              </w:rPr>
              <w:t>Methods, 'Statistical analysis'; Additional file 1, Supplementary Tables S1–S6</w:t>
            </w:r>
          </w:p>
        </w:tc>
      </w:tr>
      <w:tr w14:paraId="2848EC5F">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0E7BEC50">
            <w:pPr>
              <w:spacing w:before="20" w:after="20"/>
              <w:jc w:val="left"/>
              <w:rPr>
                <w:rFonts w:ascii="Times New Roman" w:hAnsi="Times New Roman"/>
                <w:sz w:val="21"/>
              </w:rPr>
            </w:pPr>
            <w:r>
              <w:rPr>
                <w:rFonts w:ascii="Times New Roman" w:hAnsi="Times New Roman" w:eastAsia="宋体"/>
                <w:b/>
                <w:sz w:val="21"/>
              </w:rPr>
              <w:t>Results</w:t>
            </w:r>
          </w:p>
        </w:tc>
        <w:tc>
          <w:tcPr>
            <w:tcW w:w="5669" w:type="dxa"/>
            <w:tcBorders>
              <w:top w:val="nil"/>
              <w:left w:val="nil"/>
              <w:bottom w:val="nil"/>
              <w:right w:val="nil"/>
            </w:tcBorders>
          </w:tcPr>
          <w:p w14:paraId="15461953">
            <w:pPr>
              <w:spacing w:before="20" w:after="20"/>
              <w:jc w:val="center"/>
              <w:rPr>
                <w:rFonts w:ascii="Times New Roman" w:hAnsi="Times New Roman"/>
                <w:sz w:val="21"/>
              </w:rPr>
            </w:pPr>
          </w:p>
        </w:tc>
        <w:tc>
          <w:tcPr>
            <w:tcW w:w="3402" w:type="dxa"/>
            <w:tcBorders>
              <w:top w:val="nil"/>
              <w:left w:val="nil"/>
              <w:bottom w:val="nil"/>
              <w:right w:val="nil"/>
            </w:tcBorders>
          </w:tcPr>
          <w:p w14:paraId="53BB1B14">
            <w:pPr>
              <w:spacing w:before="20" w:after="20"/>
              <w:jc w:val="center"/>
              <w:rPr>
                <w:rFonts w:ascii="Times New Roman" w:hAnsi="Times New Roman"/>
                <w:sz w:val="21"/>
              </w:rPr>
            </w:pPr>
          </w:p>
        </w:tc>
      </w:tr>
      <w:tr w14:paraId="229F2FB2">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334C905E">
            <w:pPr>
              <w:spacing w:before="20" w:after="20"/>
              <w:jc w:val="left"/>
              <w:rPr>
                <w:rFonts w:ascii="Times New Roman" w:hAnsi="Times New Roman"/>
                <w:sz w:val="21"/>
              </w:rPr>
            </w:pPr>
            <w:r>
              <w:rPr>
                <w:rFonts w:ascii="Times New Roman" w:hAnsi="Times New Roman" w:eastAsia="宋体"/>
                <w:b w:val="0"/>
                <w:sz w:val="21"/>
              </w:rPr>
              <w:t>13</w:t>
            </w:r>
          </w:p>
        </w:tc>
        <w:tc>
          <w:tcPr>
            <w:tcW w:w="5669" w:type="dxa"/>
            <w:tcBorders>
              <w:top w:val="nil"/>
              <w:left w:val="nil"/>
              <w:bottom w:val="nil"/>
              <w:right w:val="nil"/>
            </w:tcBorders>
          </w:tcPr>
          <w:p w14:paraId="64D000C1">
            <w:pPr>
              <w:spacing w:before="20" w:after="20"/>
              <w:jc w:val="center"/>
              <w:rPr>
                <w:rFonts w:ascii="Times New Roman" w:hAnsi="Times New Roman"/>
                <w:sz w:val="21"/>
              </w:rPr>
            </w:pPr>
            <w:r>
              <w:rPr>
                <w:rFonts w:ascii="Times New Roman" w:hAnsi="Times New Roman" w:eastAsia="宋体"/>
                <w:b w:val="0"/>
                <w:sz w:val="21"/>
              </w:rPr>
              <w:t>(a) Participants: report numbers of individuals at each stage of study, and (b) give reasons for non-participation at each stage, and (c) consider use of a flow diagram</w:t>
            </w:r>
          </w:p>
        </w:tc>
        <w:tc>
          <w:tcPr>
            <w:tcW w:w="3402" w:type="dxa"/>
            <w:tcBorders>
              <w:top w:val="nil"/>
              <w:left w:val="nil"/>
              <w:bottom w:val="nil"/>
              <w:right w:val="nil"/>
            </w:tcBorders>
          </w:tcPr>
          <w:p w14:paraId="7E4A26CF">
            <w:pPr>
              <w:spacing w:before="20" w:after="20"/>
              <w:jc w:val="center"/>
              <w:rPr>
                <w:rFonts w:ascii="Times New Roman" w:hAnsi="Times New Roman"/>
                <w:sz w:val="21"/>
              </w:rPr>
            </w:pPr>
            <w:r>
              <w:rPr>
                <w:rFonts w:ascii="Times New Roman" w:hAnsi="Times New Roman" w:eastAsia="宋体"/>
                <w:b w:val="0"/>
                <w:sz w:val="21"/>
              </w:rPr>
              <w:t>Results, para 1; Figure 1 (all counts reported with percentages of the 8,245 enrolled)</w:t>
            </w:r>
          </w:p>
        </w:tc>
      </w:tr>
      <w:tr w14:paraId="334AE7BC">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5EF0203B">
            <w:pPr>
              <w:spacing w:before="20" w:after="20"/>
              <w:jc w:val="left"/>
              <w:rPr>
                <w:rFonts w:ascii="Times New Roman" w:hAnsi="Times New Roman"/>
                <w:sz w:val="21"/>
              </w:rPr>
            </w:pPr>
            <w:r>
              <w:rPr>
                <w:rFonts w:ascii="Times New Roman" w:hAnsi="Times New Roman" w:eastAsia="宋体"/>
                <w:b w:val="0"/>
                <w:sz w:val="21"/>
              </w:rPr>
              <w:t>14</w:t>
            </w:r>
          </w:p>
        </w:tc>
        <w:tc>
          <w:tcPr>
            <w:tcW w:w="5669" w:type="dxa"/>
            <w:tcBorders>
              <w:top w:val="nil"/>
              <w:left w:val="nil"/>
              <w:bottom w:val="nil"/>
              <w:right w:val="nil"/>
            </w:tcBorders>
          </w:tcPr>
          <w:p w14:paraId="378244EC">
            <w:pPr>
              <w:spacing w:before="20" w:after="20"/>
              <w:jc w:val="center"/>
              <w:rPr>
                <w:rFonts w:ascii="Times New Roman" w:hAnsi="Times New Roman"/>
                <w:sz w:val="21"/>
              </w:rPr>
            </w:pPr>
            <w:r>
              <w:rPr>
                <w:rFonts w:ascii="Times New Roman" w:hAnsi="Times New Roman" w:eastAsia="宋体"/>
                <w:b w:val="0"/>
                <w:sz w:val="21"/>
              </w:rPr>
              <w:t>(a) Descriptive data: give characteristics of study participants and information on exposures and potential confounders; (b) indicate number of participants with missing data for each variable of interest; (c) summarise follow-up time</w:t>
            </w:r>
          </w:p>
        </w:tc>
        <w:tc>
          <w:tcPr>
            <w:tcW w:w="3402" w:type="dxa"/>
            <w:tcBorders>
              <w:top w:val="nil"/>
              <w:left w:val="nil"/>
              <w:bottom w:val="nil"/>
              <w:right w:val="nil"/>
            </w:tcBorders>
          </w:tcPr>
          <w:p w14:paraId="753E6B6B">
            <w:pPr>
              <w:spacing w:before="20" w:after="20"/>
              <w:jc w:val="center"/>
              <w:rPr>
                <w:rFonts w:ascii="Times New Roman" w:hAnsi="Times New Roman"/>
                <w:sz w:val="21"/>
              </w:rPr>
            </w:pPr>
            <w:r>
              <w:rPr>
                <w:rFonts w:ascii="Times New Roman" w:hAnsi="Times New Roman"/>
                <w:sz w:val="21"/>
              </w:rPr>
              <w:t>Table 1, with a footnote giving the number of participants with missing data for each variable; Results, para 1. Median follow-up 5 years (maximum 13 years); 26,121 person-years.</w:t>
            </w:r>
          </w:p>
        </w:tc>
      </w:tr>
      <w:tr w14:paraId="75ADC375">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6A00FB14">
            <w:pPr>
              <w:spacing w:before="20" w:after="20"/>
              <w:jc w:val="left"/>
              <w:rPr>
                <w:rFonts w:ascii="Times New Roman" w:hAnsi="Times New Roman"/>
                <w:sz w:val="21"/>
              </w:rPr>
            </w:pPr>
            <w:r>
              <w:rPr>
                <w:rFonts w:ascii="Times New Roman" w:hAnsi="Times New Roman" w:eastAsia="宋体"/>
                <w:b w:val="0"/>
                <w:sz w:val="21"/>
              </w:rPr>
              <w:t>15</w:t>
            </w:r>
          </w:p>
        </w:tc>
        <w:tc>
          <w:tcPr>
            <w:tcW w:w="5669" w:type="dxa"/>
            <w:tcBorders>
              <w:top w:val="nil"/>
              <w:left w:val="nil"/>
              <w:bottom w:val="nil"/>
              <w:right w:val="nil"/>
            </w:tcBorders>
          </w:tcPr>
          <w:p w14:paraId="6EA57DDB">
            <w:pPr>
              <w:spacing w:before="20" w:after="20"/>
              <w:jc w:val="center"/>
              <w:rPr>
                <w:rFonts w:ascii="Times New Roman" w:hAnsi="Times New Roman"/>
                <w:sz w:val="21"/>
              </w:rPr>
            </w:pPr>
            <w:r>
              <w:rPr>
                <w:rFonts w:ascii="Times New Roman" w:hAnsi="Times New Roman" w:eastAsia="宋体"/>
                <w:b w:val="0"/>
                <w:sz w:val="21"/>
              </w:rPr>
              <w:t>Outcome data: report numbers of outcome events or summary measures over time</w:t>
            </w:r>
          </w:p>
        </w:tc>
        <w:tc>
          <w:tcPr>
            <w:tcW w:w="3402" w:type="dxa"/>
            <w:tcBorders>
              <w:top w:val="nil"/>
              <w:left w:val="nil"/>
              <w:bottom w:val="nil"/>
              <w:right w:val="nil"/>
            </w:tcBorders>
          </w:tcPr>
          <w:p w14:paraId="76C578E8">
            <w:pPr>
              <w:spacing w:before="20" w:after="20"/>
              <w:jc w:val="center"/>
              <w:rPr>
                <w:rFonts w:ascii="Times New Roman" w:hAnsi="Times New Roman"/>
                <w:sz w:val="21"/>
              </w:rPr>
            </w:pPr>
            <w:r>
              <w:rPr>
                <w:rFonts w:ascii="Times New Roman" w:hAnsi="Times New Roman" w:eastAsia="宋体"/>
                <w:b w:val="0"/>
                <w:sz w:val="21"/>
              </w:rPr>
              <w:t>Results; Table 2; Figure 2. 429 incident MI events; incidence 12.8 vs 20.4 per 1,000 person-years in users and non-users.</w:t>
            </w:r>
          </w:p>
        </w:tc>
      </w:tr>
      <w:tr w14:paraId="145D6476">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08CC43E">
            <w:pPr>
              <w:spacing w:before="20" w:after="20"/>
              <w:jc w:val="left"/>
              <w:rPr>
                <w:rFonts w:ascii="Times New Roman" w:hAnsi="Times New Roman"/>
                <w:sz w:val="21"/>
              </w:rPr>
            </w:pPr>
            <w:r>
              <w:rPr>
                <w:rFonts w:ascii="Times New Roman" w:hAnsi="Times New Roman" w:eastAsia="宋体"/>
                <w:b w:val="0"/>
                <w:sz w:val="21"/>
              </w:rPr>
              <w:t>16</w:t>
            </w:r>
          </w:p>
        </w:tc>
        <w:tc>
          <w:tcPr>
            <w:tcW w:w="5669" w:type="dxa"/>
            <w:tcBorders>
              <w:top w:val="nil"/>
              <w:left w:val="nil"/>
              <w:bottom w:val="nil"/>
              <w:right w:val="nil"/>
            </w:tcBorders>
          </w:tcPr>
          <w:p w14:paraId="7D78B57A">
            <w:pPr>
              <w:spacing w:before="20" w:after="20"/>
              <w:jc w:val="center"/>
              <w:rPr>
                <w:rFonts w:ascii="Times New Roman" w:hAnsi="Times New Roman"/>
                <w:sz w:val="21"/>
              </w:rPr>
            </w:pPr>
            <w:r>
              <w:rPr>
                <w:rFonts w:ascii="Times New Roman" w:hAnsi="Times New Roman" w:eastAsia="宋体"/>
                <w:b w:val="0"/>
                <w:sz w:val="21"/>
              </w:rPr>
              <w:t>(a) Main results: give unadjusted estimates and, if applicable, confounder-adjusted estimates and their precision. Make clear which confounders were adjusted for and why they were included; (b) report category boundaries when continuous variables were categorized; (c) if relevant, consider translating estimates of relative risk into absolute risk</w:t>
            </w:r>
          </w:p>
        </w:tc>
        <w:tc>
          <w:tcPr>
            <w:tcW w:w="3402" w:type="dxa"/>
            <w:tcBorders>
              <w:top w:val="nil"/>
              <w:left w:val="nil"/>
              <w:bottom w:val="nil"/>
              <w:right w:val="nil"/>
            </w:tcBorders>
          </w:tcPr>
          <w:p w14:paraId="60892047">
            <w:pPr>
              <w:spacing w:before="20" w:after="20"/>
              <w:jc w:val="center"/>
              <w:rPr>
                <w:rFonts w:ascii="Times New Roman" w:hAnsi="Times New Roman"/>
                <w:sz w:val="21"/>
              </w:rPr>
            </w:pPr>
            <w:r>
              <w:rPr>
                <w:rFonts w:ascii="Times New Roman" w:hAnsi="Times New Roman" w:eastAsia="宋体"/>
                <w:b w:val="0"/>
                <w:sz w:val="21"/>
              </w:rPr>
              <w:t>Table 2 (Models 1–5, with covariates added at each step); Supplementary Figure S1 for the rationale. Cumulative incidence at 13 years reported in the Results (15.1% vs 21.9%).</w:t>
            </w:r>
          </w:p>
        </w:tc>
      </w:tr>
      <w:tr w14:paraId="12E36C97">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2189F81">
            <w:pPr>
              <w:spacing w:before="20" w:after="20"/>
              <w:jc w:val="left"/>
              <w:rPr>
                <w:rFonts w:ascii="Times New Roman" w:hAnsi="Times New Roman"/>
                <w:sz w:val="21"/>
              </w:rPr>
            </w:pPr>
            <w:r>
              <w:rPr>
                <w:rFonts w:ascii="Times New Roman" w:hAnsi="Times New Roman" w:eastAsia="宋体"/>
                <w:b w:val="0"/>
                <w:sz w:val="21"/>
              </w:rPr>
              <w:t>17</w:t>
            </w:r>
          </w:p>
        </w:tc>
        <w:tc>
          <w:tcPr>
            <w:tcW w:w="5669" w:type="dxa"/>
            <w:tcBorders>
              <w:top w:val="nil"/>
              <w:left w:val="nil"/>
              <w:bottom w:val="nil"/>
              <w:right w:val="nil"/>
            </w:tcBorders>
          </w:tcPr>
          <w:p w14:paraId="65298431">
            <w:pPr>
              <w:spacing w:before="20" w:after="20"/>
              <w:jc w:val="center"/>
              <w:rPr>
                <w:rFonts w:ascii="Times New Roman" w:hAnsi="Times New Roman"/>
                <w:sz w:val="21"/>
              </w:rPr>
            </w:pPr>
            <w:r>
              <w:rPr>
                <w:rFonts w:ascii="Times New Roman" w:hAnsi="Times New Roman" w:eastAsia="宋体"/>
                <w:b w:val="0"/>
                <w:sz w:val="21"/>
              </w:rPr>
              <w:t>Other analyses: report other analyses done — eg analyses of subgroups and interactions, and sensitivity analyses</w:t>
            </w:r>
          </w:p>
        </w:tc>
        <w:tc>
          <w:tcPr>
            <w:tcW w:w="3402" w:type="dxa"/>
            <w:tcBorders>
              <w:top w:val="nil"/>
              <w:left w:val="nil"/>
              <w:bottom w:val="nil"/>
              <w:right w:val="nil"/>
            </w:tcBorders>
          </w:tcPr>
          <w:p w14:paraId="670C9AC4">
            <w:pPr>
              <w:spacing w:before="20" w:after="20"/>
              <w:jc w:val="center"/>
              <w:rPr>
                <w:rFonts w:ascii="Times New Roman" w:hAnsi="Times New Roman"/>
                <w:sz w:val="21"/>
              </w:rPr>
            </w:pPr>
            <w:r>
              <w:rPr>
                <w:rFonts w:ascii="Times New Roman" w:hAnsi="Times New Roman" w:eastAsia="宋体"/>
                <w:b w:val="0"/>
                <w:sz w:val="21"/>
              </w:rPr>
              <w:t>Table 3; Figure 3; Supplementary Tables S1–S6</w:t>
            </w:r>
          </w:p>
        </w:tc>
      </w:tr>
      <w:tr w14:paraId="46821BAA">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501F1E53">
            <w:pPr>
              <w:spacing w:before="20" w:after="20"/>
              <w:jc w:val="left"/>
              <w:rPr>
                <w:rFonts w:ascii="Times New Roman" w:hAnsi="Times New Roman"/>
                <w:sz w:val="21"/>
              </w:rPr>
            </w:pPr>
            <w:r>
              <w:rPr>
                <w:rFonts w:ascii="Times New Roman" w:hAnsi="Times New Roman" w:eastAsia="宋体"/>
                <w:b/>
                <w:sz w:val="21"/>
              </w:rPr>
              <w:t>Discussion</w:t>
            </w:r>
          </w:p>
        </w:tc>
        <w:tc>
          <w:tcPr>
            <w:tcW w:w="5669" w:type="dxa"/>
            <w:tcBorders>
              <w:top w:val="nil"/>
              <w:left w:val="nil"/>
              <w:bottom w:val="nil"/>
              <w:right w:val="nil"/>
            </w:tcBorders>
          </w:tcPr>
          <w:p w14:paraId="5D13AF5C">
            <w:pPr>
              <w:spacing w:before="20" w:after="20"/>
              <w:jc w:val="center"/>
              <w:rPr>
                <w:rFonts w:ascii="Times New Roman" w:hAnsi="Times New Roman"/>
                <w:sz w:val="21"/>
              </w:rPr>
            </w:pPr>
          </w:p>
        </w:tc>
        <w:tc>
          <w:tcPr>
            <w:tcW w:w="3402" w:type="dxa"/>
            <w:tcBorders>
              <w:top w:val="nil"/>
              <w:left w:val="nil"/>
              <w:bottom w:val="nil"/>
              <w:right w:val="nil"/>
            </w:tcBorders>
          </w:tcPr>
          <w:p w14:paraId="00A5921D">
            <w:pPr>
              <w:spacing w:before="20" w:after="20"/>
              <w:jc w:val="center"/>
              <w:rPr>
                <w:rFonts w:ascii="Times New Roman" w:hAnsi="Times New Roman"/>
                <w:sz w:val="21"/>
              </w:rPr>
            </w:pPr>
          </w:p>
        </w:tc>
      </w:tr>
      <w:tr w14:paraId="56EEA1AD">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22C17A1C">
            <w:pPr>
              <w:spacing w:before="20" w:after="20"/>
              <w:jc w:val="left"/>
              <w:rPr>
                <w:rFonts w:ascii="Times New Roman" w:hAnsi="Times New Roman"/>
                <w:sz w:val="21"/>
              </w:rPr>
            </w:pPr>
            <w:r>
              <w:rPr>
                <w:rFonts w:ascii="Times New Roman" w:hAnsi="Times New Roman" w:eastAsia="宋体"/>
                <w:b w:val="0"/>
                <w:sz w:val="21"/>
              </w:rPr>
              <w:t>18</w:t>
            </w:r>
          </w:p>
        </w:tc>
        <w:tc>
          <w:tcPr>
            <w:tcW w:w="5669" w:type="dxa"/>
            <w:tcBorders>
              <w:top w:val="nil"/>
              <w:left w:val="nil"/>
              <w:bottom w:val="nil"/>
              <w:right w:val="nil"/>
            </w:tcBorders>
          </w:tcPr>
          <w:p w14:paraId="3EFD08A1">
            <w:pPr>
              <w:spacing w:before="20" w:after="20"/>
              <w:jc w:val="center"/>
              <w:rPr>
                <w:rFonts w:ascii="Times New Roman" w:hAnsi="Times New Roman"/>
                <w:sz w:val="21"/>
              </w:rPr>
            </w:pPr>
            <w:r>
              <w:rPr>
                <w:rFonts w:ascii="Times New Roman" w:hAnsi="Times New Roman" w:eastAsia="宋体"/>
                <w:b w:val="0"/>
                <w:sz w:val="21"/>
              </w:rPr>
              <w:t>Key results: summarise key results with reference to study objectives</w:t>
            </w:r>
          </w:p>
        </w:tc>
        <w:tc>
          <w:tcPr>
            <w:tcW w:w="3402" w:type="dxa"/>
            <w:tcBorders>
              <w:top w:val="nil"/>
              <w:left w:val="nil"/>
              <w:bottom w:val="nil"/>
              <w:right w:val="nil"/>
            </w:tcBorders>
          </w:tcPr>
          <w:p w14:paraId="06CEB131">
            <w:pPr>
              <w:spacing w:before="20" w:after="20"/>
              <w:jc w:val="center"/>
              <w:rPr>
                <w:rFonts w:ascii="Times New Roman" w:hAnsi="Times New Roman"/>
                <w:sz w:val="21"/>
              </w:rPr>
            </w:pPr>
            <w:r>
              <w:rPr>
                <w:rFonts w:ascii="Times New Roman" w:hAnsi="Times New Roman" w:eastAsia="宋体"/>
                <w:b w:val="0"/>
                <w:sz w:val="21"/>
              </w:rPr>
              <w:t>Discussion, para 1</w:t>
            </w:r>
          </w:p>
        </w:tc>
      </w:tr>
      <w:tr w14:paraId="57FA6AD7">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5DD820F0">
            <w:pPr>
              <w:spacing w:before="20" w:after="20"/>
              <w:jc w:val="left"/>
              <w:rPr>
                <w:rFonts w:ascii="Times New Roman" w:hAnsi="Times New Roman"/>
                <w:sz w:val="21"/>
              </w:rPr>
            </w:pPr>
            <w:r>
              <w:rPr>
                <w:rFonts w:ascii="Times New Roman" w:hAnsi="Times New Roman" w:eastAsia="宋体"/>
                <w:b w:val="0"/>
                <w:sz w:val="21"/>
              </w:rPr>
              <w:t>19</w:t>
            </w:r>
          </w:p>
        </w:tc>
        <w:tc>
          <w:tcPr>
            <w:tcW w:w="5669" w:type="dxa"/>
            <w:tcBorders>
              <w:top w:val="nil"/>
              <w:left w:val="nil"/>
              <w:bottom w:val="nil"/>
              <w:right w:val="nil"/>
            </w:tcBorders>
          </w:tcPr>
          <w:p w14:paraId="79E358ED">
            <w:pPr>
              <w:spacing w:before="20" w:after="20"/>
              <w:jc w:val="center"/>
              <w:rPr>
                <w:rFonts w:ascii="Times New Roman" w:hAnsi="Times New Roman"/>
                <w:sz w:val="21"/>
              </w:rPr>
            </w:pPr>
            <w:r>
              <w:rPr>
                <w:rFonts w:ascii="Times New Roman" w:hAnsi="Times New Roman" w:eastAsia="宋体"/>
                <w:b w:val="0"/>
                <w:sz w:val="21"/>
              </w:rPr>
              <w:t>Limitations: discuss limitations of the study, taking into account sources of potential bias or imprecision. Discuss both direction and magnitude of any potential bias</w:t>
            </w:r>
          </w:p>
        </w:tc>
        <w:tc>
          <w:tcPr>
            <w:tcW w:w="3402" w:type="dxa"/>
            <w:tcBorders>
              <w:top w:val="nil"/>
              <w:left w:val="nil"/>
              <w:bottom w:val="nil"/>
              <w:right w:val="nil"/>
            </w:tcBorders>
          </w:tcPr>
          <w:p w14:paraId="248E2865">
            <w:pPr>
              <w:spacing w:before="20" w:after="20"/>
              <w:jc w:val="center"/>
              <w:rPr>
                <w:rFonts w:ascii="Times New Roman" w:hAnsi="Times New Roman"/>
                <w:sz w:val="21"/>
              </w:rPr>
            </w:pPr>
            <w:r>
              <w:rPr>
                <w:rFonts w:ascii="Times New Roman" w:hAnsi="Times New Roman"/>
                <w:sz w:val="21"/>
              </w:rPr>
              <w:t>Discussion, 'Strengths and limitations'. Residual socioeconomic confounding, self-reported outcome and single measurement of exposure are each discussed. The expected direction of bias is stated where it can be established (residual confounding; non-differential exposure misclassification); for differential misclassification of the self-reported outcome we state that the direction cannot be determined without validation data.</w:t>
            </w:r>
          </w:p>
        </w:tc>
      </w:tr>
      <w:tr w14:paraId="5AB5785A">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362AD8FF">
            <w:pPr>
              <w:spacing w:before="20" w:after="20"/>
              <w:jc w:val="left"/>
              <w:rPr>
                <w:rFonts w:ascii="Times New Roman" w:hAnsi="Times New Roman"/>
                <w:sz w:val="21"/>
              </w:rPr>
            </w:pPr>
            <w:r>
              <w:rPr>
                <w:rFonts w:ascii="Times New Roman" w:hAnsi="Times New Roman" w:eastAsia="宋体"/>
                <w:b w:val="0"/>
                <w:sz w:val="21"/>
              </w:rPr>
              <w:t>20</w:t>
            </w:r>
          </w:p>
        </w:tc>
        <w:tc>
          <w:tcPr>
            <w:tcW w:w="5669" w:type="dxa"/>
            <w:tcBorders>
              <w:top w:val="nil"/>
              <w:left w:val="nil"/>
              <w:bottom w:val="nil"/>
              <w:right w:val="nil"/>
            </w:tcBorders>
          </w:tcPr>
          <w:p w14:paraId="37484BBC">
            <w:pPr>
              <w:spacing w:before="20" w:after="20"/>
              <w:jc w:val="center"/>
              <w:rPr>
                <w:rFonts w:ascii="Times New Roman" w:hAnsi="Times New Roman"/>
                <w:sz w:val="21"/>
              </w:rPr>
            </w:pPr>
            <w:r>
              <w:rPr>
                <w:rFonts w:ascii="Times New Roman" w:hAnsi="Times New Roman" w:eastAsia="宋体"/>
                <w:b w:val="0"/>
                <w:sz w:val="21"/>
              </w:rPr>
              <w:t>Interpretation: give a cautious overall interpretation of results considering objectives, limitations, multiplicity of analyses, results from similar studies, and other relevant evidence</w:t>
            </w:r>
          </w:p>
        </w:tc>
        <w:tc>
          <w:tcPr>
            <w:tcW w:w="3402" w:type="dxa"/>
            <w:tcBorders>
              <w:top w:val="nil"/>
              <w:left w:val="nil"/>
              <w:bottom w:val="nil"/>
              <w:right w:val="nil"/>
            </w:tcBorders>
          </w:tcPr>
          <w:p w14:paraId="1736A595">
            <w:pPr>
              <w:spacing w:before="20" w:after="20"/>
              <w:jc w:val="center"/>
              <w:rPr>
                <w:rFonts w:ascii="Times New Roman" w:hAnsi="Times New Roman"/>
                <w:sz w:val="21"/>
              </w:rPr>
            </w:pPr>
            <w:r>
              <w:rPr>
                <w:rFonts w:ascii="Times New Roman" w:hAnsi="Times New Roman" w:eastAsia="宋体"/>
                <w:b w:val="0"/>
                <w:sz w:val="21"/>
              </w:rPr>
              <w:t>Discussion, paras 2–5; Conclusions</w:t>
            </w:r>
          </w:p>
        </w:tc>
      </w:tr>
      <w:tr w14:paraId="6FFC729D">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6CC09B82">
            <w:pPr>
              <w:spacing w:before="20" w:after="20"/>
              <w:jc w:val="left"/>
              <w:rPr>
                <w:rFonts w:ascii="Times New Roman" w:hAnsi="Times New Roman"/>
                <w:sz w:val="21"/>
              </w:rPr>
            </w:pPr>
            <w:r>
              <w:rPr>
                <w:rFonts w:ascii="Times New Roman" w:hAnsi="Times New Roman" w:eastAsia="宋体"/>
                <w:b w:val="0"/>
                <w:sz w:val="21"/>
              </w:rPr>
              <w:t>21</w:t>
            </w:r>
          </w:p>
        </w:tc>
        <w:tc>
          <w:tcPr>
            <w:tcW w:w="5669" w:type="dxa"/>
            <w:tcBorders>
              <w:top w:val="nil"/>
              <w:left w:val="nil"/>
              <w:bottom w:val="nil"/>
              <w:right w:val="nil"/>
            </w:tcBorders>
          </w:tcPr>
          <w:p w14:paraId="260D5E85">
            <w:pPr>
              <w:spacing w:before="20" w:after="20"/>
              <w:jc w:val="center"/>
              <w:rPr>
                <w:rFonts w:ascii="Times New Roman" w:hAnsi="Times New Roman"/>
                <w:sz w:val="21"/>
              </w:rPr>
            </w:pPr>
            <w:r>
              <w:rPr>
                <w:rFonts w:ascii="Times New Roman" w:hAnsi="Times New Roman" w:eastAsia="宋体"/>
                <w:b w:val="0"/>
                <w:sz w:val="21"/>
              </w:rPr>
              <w:t>Generalisability: discuss the generalisability (external validity) of the study results</w:t>
            </w:r>
          </w:p>
        </w:tc>
        <w:tc>
          <w:tcPr>
            <w:tcW w:w="3402" w:type="dxa"/>
            <w:tcBorders>
              <w:top w:val="nil"/>
              <w:left w:val="nil"/>
              <w:bottom w:val="nil"/>
              <w:right w:val="nil"/>
            </w:tcBorders>
          </w:tcPr>
          <w:p w14:paraId="44F83E90">
            <w:pPr>
              <w:spacing w:before="20" w:after="20"/>
              <w:jc w:val="center"/>
              <w:rPr>
                <w:rFonts w:ascii="Times New Roman" w:hAnsi="Times New Roman"/>
                <w:sz w:val="21"/>
              </w:rPr>
            </w:pPr>
            <w:r>
              <w:rPr>
                <w:rFonts w:ascii="Times New Roman" w:hAnsi="Times New Roman"/>
                <w:sz w:val="21"/>
              </w:rPr>
              <w:t>Discussion, 'Strengths and limitations'. The 2015 replication cohort is presented as evidence bearing on generalisability across digital eras; the Limitations also state that NHATS samples US Medicare beneficiaries and that the findings should not be extrapolated to settings with different digital infrastructure or health systems.</w:t>
            </w:r>
          </w:p>
        </w:tc>
      </w:tr>
      <w:tr w14:paraId="4AF815D4">
        <w:tblPrEx>
          <w:tblCellMar>
            <w:top w:w="0" w:type="dxa"/>
            <w:left w:w="108" w:type="dxa"/>
            <w:bottom w:w="0" w:type="dxa"/>
            <w:right w:w="108" w:type="dxa"/>
          </w:tblCellMar>
        </w:tblPrEx>
        <w:trPr>
          <w:jc w:val="center"/>
        </w:trPr>
        <w:tc>
          <w:tcPr>
            <w:tcW w:w="907" w:type="dxa"/>
            <w:tcBorders>
              <w:top w:val="nil"/>
              <w:left w:val="nil"/>
              <w:bottom w:val="nil"/>
              <w:right w:val="nil"/>
            </w:tcBorders>
          </w:tcPr>
          <w:p w14:paraId="307815C0">
            <w:pPr>
              <w:spacing w:before="20" w:after="20"/>
              <w:jc w:val="left"/>
              <w:rPr>
                <w:rFonts w:ascii="Times New Roman" w:hAnsi="Times New Roman"/>
                <w:sz w:val="21"/>
              </w:rPr>
            </w:pPr>
            <w:r>
              <w:rPr>
                <w:rFonts w:ascii="Times New Roman" w:hAnsi="Times New Roman" w:eastAsia="宋体"/>
                <w:b/>
                <w:sz w:val="21"/>
              </w:rPr>
              <w:t>Other information</w:t>
            </w:r>
          </w:p>
        </w:tc>
        <w:tc>
          <w:tcPr>
            <w:tcW w:w="5669" w:type="dxa"/>
            <w:tcBorders>
              <w:top w:val="nil"/>
              <w:left w:val="nil"/>
              <w:bottom w:val="nil"/>
              <w:right w:val="nil"/>
            </w:tcBorders>
          </w:tcPr>
          <w:p w14:paraId="666CBABB">
            <w:pPr>
              <w:spacing w:before="20" w:after="20"/>
              <w:jc w:val="center"/>
              <w:rPr>
                <w:rFonts w:ascii="Times New Roman" w:hAnsi="Times New Roman"/>
                <w:sz w:val="21"/>
              </w:rPr>
            </w:pPr>
          </w:p>
        </w:tc>
        <w:tc>
          <w:tcPr>
            <w:tcW w:w="3402" w:type="dxa"/>
            <w:tcBorders>
              <w:top w:val="nil"/>
              <w:left w:val="nil"/>
              <w:bottom w:val="nil"/>
              <w:right w:val="nil"/>
            </w:tcBorders>
          </w:tcPr>
          <w:p w14:paraId="6A3254D2">
            <w:pPr>
              <w:spacing w:before="20" w:after="20"/>
              <w:jc w:val="center"/>
              <w:rPr>
                <w:rFonts w:ascii="Times New Roman" w:hAnsi="Times New Roman"/>
                <w:sz w:val="21"/>
              </w:rPr>
            </w:pPr>
          </w:p>
        </w:tc>
      </w:tr>
      <w:tr w14:paraId="12209000">
        <w:tblPrEx>
          <w:tblCellMar>
            <w:top w:w="0" w:type="dxa"/>
            <w:left w:w="108" w:type="dxa"/>
            <w:bottom w:w="0" w:type="dxa"/>
            <w:right w:w="108" w:type="dxa"/>
          </w:tblCellMar>
        </w:tblPrEx>
        <w:trPr>
          <w:jc w:val="center"/>
        </w:trPr>
        <w:tc>
          <w:tcPr>
            <w:tcW w:w="907" w:type="dxa"/>
            <w:tcBorders>
              <w:top w:val="nil"/>
              <w:left w:val="nil"/>
              <w:bottom w:val="single" w:color="000000" w:sz="8" w:space="0"/>
              <w:right w:val="nil"/>
            </w:tcBorders>
          </w:tcPr>
          <w:p w14:paraId="55F406BA">
            <w:pPr>
              <w:spacing w:before="20" w:after="20"/>
              <w:jc w:val="left"/>
              <w:rPr>
                <w:rFonts w:ascii="Times New Roman" w:hAnsi="Times New Roman"/>
                <w:sz w:val="21"/>
              </w:rPr>
            </w:pPr>
            <w:r>
              <w:rPr>
                <w:rFonts w:ascii="Times New Roman" w:hAnsi="Times New Roman" w:eastAsia="宋体"/>
                <w:b w:val="0"/>
                <w:sz w:val="21"/>
              </w:rPr>
              <w:t>22</w:t>
            </w:r>
          </w:p>
        </w:tc>
        <w:tc>
          <w:tcPr>
            <w:tcW w:w="5669" w:type="dxa"/>
            <w:tcBorders>
              <w:top w:val="nil"/>
              <w:left w:val="nil"/>
              <w:bottom w:val="single" w:color="000000" w:sz="8" w:space="0"/>
              <w:right w:val="nil"/>
            </w:tcBorders>
          </w:tcPr>
          <w:p w14:paraId="2A6B7256">
            <w:pPr>
              <w:spacing w:before="20" w:after="20"/>
              <w:jc w:val="center"/>
              <w:rPr>
                <w:rFonts w:ascii="Times New Roman" w:hAnsi="Times New Roman"/>
                <w:sz w:val="21"/>
              </w:rPr>
            </w:pPr>
            <w:r>
              <w:rPr>
                <w:rFonts w:ascii="Times New Roman" w:hAnsi="Times New Roman" w:eastAsia="宋体"/>
                <w:b w:val="0"/>
                <w:sz w:val="21"/>
              </w:rPr>
              <w:t>Funding: give the source of funding and the role of the funders for the present study and, if applicable, for the original study on which the present article is based</w:t>
            </w:r>
          </w:p>
        </w:tc>
        <w:tc>
          <w:tcPr>
            <w:tcW w:w="3402" w:type="dxa"/>
            <w:tcBorders>
              <w:top w:val="nil"/>
              <w:left w:val="nil"/>
              <w:bottom w:val="single" w:color="000000" w:sz="8" w:space="0"/>
              <w:right w:val="nil"/>
            </w:tcBorders>
          </w:tcPr>
          <w:p w14:paraId="40162033">
            <w:pPr>
              <w:spacing w:before="20" w:after="20"/>
              <w:jc w:val="center"/>
              <w:rPr>
                <w:rFonts w:ascii="Times New Roman" w:hAnsi="Times New Roman"/>
                <w:sz w:val="21"/>
              </w:rPr>
            </w:pPr>
            <w:r>
              <w:rPr>
                <w:rFonts w:ascii="Times New Roman" w:hAnsi="Times New Roman" w:eastAsia="宋体"/>
                <w:b w:val="0"/>
                <w:sz w:val="21"/>
              </w:rPr>
              <w:t>Declarations, 'Funding'</w:t>
            </w:r>
          </w:p>
        </w:tc>
      </w:tr>
    </w:tbl>
    <w:p w14:paraId="779FE3EE">
      <w:pPr>
        <w:spacing w:before="60"/>
      </w:pPr>
      <w:r>
        <w:rPr>
          <w:rFonts w:ascii="Times New Roman" w:hAnsi="Times New Roman" w:eastAsia="宋体"/>
          <w:sz w:val="18"/>
        </w:rPr>
        <w:t>An Explanation and Elaboration article discusses each checklist item and gives methodological background and published examples of transparent reporting. The STROBE checklist is best used in conjunction with this article (freely available on the websites of PLoS Medicine at http://www.plosmedicine.org/, Annals of Internal Medicine at http://www.annals.org/, and Epidemiology at http://www.epidem.com/). Information on the STROBE Initiative is available at www.strobe-statement.org.</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E57541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36">
    <w:name w:val="Header Char"/>
    <w:basedOn w:val="132"/>
    <w:link w:val="25"/>
    <w:uiPriority w:val="99"/>
  </w:style>
  <w:style w:type="character" w:customStyle="1" w:styleId="137">
    <w:name w:val="Footer Char"/>
    <w:basedOn w:val="132"/>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1082</Words>
  <Characters>6694</Characters>
  <Lines>0</Lines>
  <Paragraphs>0</Paragraphs>
  <TotalTime>0</TotalTime>
  <ScaleCrop>false</ScaleCrop>
  <LinksUpToDate>false</LinksUpToDate>
  <CharactersWithSpaces>7685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author</cp:lastModifiedBy>
  <dcterms:modified xsi:type="dcterms:W3CDTF">2026-07-26T13:08:49Z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eyJoZGlkIjoiMGIxMjVhZjhmNzk2Y2JjZTg1MDZjYjExNGI3MDBiMGMiLCJ1c2VySWQiOiIxMzc1ODA3MzY2In0=</vt:lpwstr>
  </property>
  <property fmtid="{D5CDD505-2E9C-101B-9397-08002B2CF9AE}" pid="3" name="KSOProductBuildVer">
    <vt:lpwstr>2052-12.1.0.26895</vt:lpwstr>
  </property>
  <property fmtid="{D5CDD505-2E9C-101B-9397-08002B2CF9AE}" pid="4" name="ICV">
    <vt:lpwstr>AAFBF12C8627404088B62B39625E2AD1_12</vt:lpwstr>
  </property>
</Properties>
</file>